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7F62" w:rsidR="00A6025E" w:rsidP="00841334" w:rsidRDefault="00F5772A" w14:paraId="50016EC6" w14:textId="3A37ADC6">
      <w:pPr>
        <w:spacing w:line="360" w:lineRule="auto"/>
        <w:jc w:val="center"/>
        <w:rPr>
          <w:rFonts w:ascii="Times New Roman" w:hAnsi="Times New Roman"/>
          <w:b/>
          <w:bCs/>
        </w:rPr>
      </w:pPr>
      <w:bookmarkStart w:name="_Toc416693506" w:id="0"/>
      <w:bookmarkStart w:name="_GoBack" w:id="1"/>
      <w:bookmarkEnd w:id="1"/>
      <w:r w:rsidRPr="490627EF">
        <w:rPr>
          <w:rFonts w:ascii="Times New Roman" w:hAnsi="Times New Roman"/>
          <w:b/>
          <w:bCs/>
          <w:sz w:val="24"/>
          <w:szCs w:val="24"/>
        </w:rPr>
        <w:t xml:space="preserve">Uchwała nr </w:t>
      </w:r>
      <w:r w:rsidRPr="490627EF" w:rsidR="00696702">
        <w:rPr>
          <w:rFonts w:ascii="Times New Roman" w:hAnsi="Times New Roman"/>
          <w:b/>
          <w:bCs/>
          <w:sz w:val="24"/>
          <w:szCs w:val="24"/>
        </w:rPr>
        <w:t>476</w:t>
      </w:r>
    </w:p>
    <w:p w:rsidRPr="00CB4EC3" w:rsidR="00F5772A" w:rsidP="00841334" w:rsidRDefault="00F5772A" w14:paraId="3EB96B9F" w14:textId="77777777">
      <w:pPr>
        <w:spacing w:line="360" w:lineRule="auto"/>
        <w:jc w:val="center"/>
        <w:rPr>
          <w:rFonts w:ascii="Times New Roman" w:hAnsi="Times New Roman"/>
          <w:b/>
          <w:bCs/>
          <w:sz w:val="24"/>
          <w:szCs w:val="24"/>
        </w:rPr>
      </w:pPr>
      <w:r w:rsidRPr="00CB4EC3">
        <w:rPr>
          <w:rFonts w:ascii="Times New Roman" w:hAnsi="Times New Roman"/>
          <w:b/>
          <w:bCs/>
          <w:sz w:val="24"/>
          <w:szCs w:val="24"/>
        </w:rPr>
        <w:t>Komitetu Monitorującego</w:t>
      </w:r>
    </w:p>
    <w:p w:rsidRPr="00CB4EC3" w:rsidR="00F5772A" w:rsidP="00841334" w:rsidRDefault="00F5772A" w14:paraId="1444DFF0" w14:textId="77777777">
      <w:pPr>
        <w:spacing w:line="360" w:lineRule="auto"/>
        <w:jc w:val="center"/>
        <w:rPr>
          <w:rFonts w:ascii="Times New Roman" w:hAnsi="Times New Roman"/>
          <w:b/>
          <w:bCs/>
          <w:sz w:val="24"/>
          <w:szCs w:val="24"/>
        </w:rPr>
      </w:pPr>
      <w:r w:rsidRPr="00CB4EC3">
        <w:rPr>
          <w:rFonts w:ascii="Times New Roman" w:hAnsi="Times New Roman"/>
          <w:b/>
          <w:bCs/>
          <w:sz w:val="24"/>
          <w:szCs w:val="24"/>
        </w:rPr>
        <w:t>Regionalny Program Operac</w:t>
      </w:r>
      <w:r w:rsidRPr="00CB4EC3" w:rsidR="00530452">
        <w:rPr>
          <w:rFonts w:ascii="Times New Roman" w:hAnsi="Times New Roman"/>
          <w:b/>
          <w:bCs/>
          <w:sz w:val="24"/>
          <w:szCs w:val="24"/>
        </w:rPr>
        <w:t>yjny Województwa Śląskiego 2014</w:t>
      </w:r>
      <w:r w:rsidRPr="00CB4EC3">
        <w:rPr>
          <w:rFonts w:ascii="Times New Roman" w:hAnsi="Times New Roman"/>
          <w:b/>
          <w:bCs/>
          <w:sz w:val="24"/>
          <w:szCs w:val="24"/>
        </w:rPr>
        <w:t>-2020</w:t>
      </w:r>
    </w:p>
    <w:p w:rsidRPr="00CB4EC3" w:rsidR="00A6025E" w:rsidP="00841334" w:rsidRDefault="00F5772A" w14:paraId="3F583A2D" w14:textId="2420F2B6">
      <w:pPr>
        <w:spacing w:line="360" w:lineRule="auto"/>
        <w:jc w:val="center"/>
        <w:rPr>
          <w:rFonts w:ascii="Times New Roman" w:hAnsi="Times New Roman"/>
          <w:b/>
          <w:bCs/>
          <w:sz w:val="24"/>
          <w:szCs w:val="24"/>
        </w:rPr>
      </w:pPr>
      <w:r w:rsidRPr="00CB4EC3">
        <w:rPr>
          <w:rFonts w:ascii="Times New Roman" w:hAnsi="Times New Roman"/>
          <w:b/>
          <w:bCs/>
          <w:sz w:val="24"/>
          <w:szCs w:val="24"/>
        </w:rPr>
        <w:t xml:space="preserve">z dnia </w:t>
      </w:r>
      <w:r w:rsidR="00E726FD">
        <w:rPr>
          <w:rFonts w:ascii="Times New Roman" w:hAnsi="Times New Roman"/>
          <w:b/>
          <w:bCs/>
          <w:sz w:val="24"/>
          <w:szCs w:val="24"/>
        </w:rPr>
        <w:t>30</w:t>
      </w:r>
      <w:r w:rsidR="000C16E8">
        <w:rPr>
          <w:rFonts w:ascii="Times New Roman" w:hAnsi="Times New Roman"/>
          <w:b/>
          <w:bCs/>
          <w:sz w:val="24"/>
          <w:szCs w:val="24"/>
        </w:rPr>
        <w:t xml:space="preserve"> marca 2022</w:t>
      </w:r>
      <w:r w:rsidR="008838CC">
        <w:rPr>
          <w:rFonts w:ascii="Times New Roman" w:hAnsi="Times New Roman"/>
          <w:b/>
          <w:bCs/>
          <w:sz w:val="24"/>
          <w:szCs w:val="24"/>
        </w:rPr>
        <w:t xml:space="preserve"> </w:t>
      </w:r>
      <w:r w:rsidRPr="00CB4EC3" w:rsidR="00EA0F60">
        <w:rPr>
          <w:rFonts w:ascii="Times New Roman" w:hAnsi="Times New Roman"/>
          <w:b/>
          <w:bCs/>
          <w:sz w:val="24"/>
          <w:szCs w:val="24"/>
        </w:rPr>
        <w:t>roku</w:t>
      </w:r>
    </w:p>
    <w:p w:rsidRPr="00EC5F89" w:rsidR="00841334" w:rsidP="00841334" w:rsidRDefault="00F5772A" w14:paraId="672A6659" w14:textId="21F180E5">
      <w:pPr>
        <w:spacing w:line="360" w:lineRule="auto"/>
        <w:jc w:val="center"/>
        <w:rPr>
          <w:rFonts w:ascii="Times New Roman" w:hAnsi="Times New Roman"/>
          <w:b/>
          <w:bCs/>
          <w:sz w:val="24"/>
          <w:szCs w:val="24"/>
        </w:rPr>
      </w:pPr>
      <w:r w:rsidRPr="58C7F40C">
        <w:rPr>
          <w:rFonts w:ascii="Times New Roman" w:hAnsi="Times New Roman"/>
          <w:b/>
          <w:bCs/>
          <w:sz w:val="24"/>
          <w:szCs w:val="24"/>
        </w:rPr>
        <w:t>w sprawie</w:t>
      </w:r>
    </w:p>
    <w:p w:rsidRPr="00841334" w:rsidR="00841334" w:rsidP="58C7F40C" w:rsidRDefault="0037477A" w14:paraId="5876A7B5" w14:textId="40AFFDA0">
      <w:pPr>
        <w:pStyle w:val="Default"/>
        <w:spacing w:line="360" w:lineRule="auto"/>
        <w:jc w:val="center"/>
        <w:rPr>
          <w:rFonts w:ascii="Times New Roman" w:hAnsi="Times New Roman" w:cs="Times New Roman"/>
          <w:b/>
          <w:bCs/>
          <w:i/>
          <w:iCs/>
        </w:rPr>
      </w:pPr>
      <w:r w:rsidRPr="58C7F40C">
        <w:rPr>
          <w:rFonts w:ascii="Times New Roman" w:hAnsi="Times New Roman"/>
          <w:b/>
          <w:bCs/>
          <w:i/>
          <w:iCs/>
        </w:rPr>
        <w:t>zatwierdzenia kryteriów</w:t>
      </w:r>
      <w:r w:rsidRPr="58C7F40C" w:rsidR="00CB4EC3">
        <w:rPr>
          <w:rFonts w:ascii="Times New Roman" w:hAnsi="Times New Roman"/>
          <w:b/>
          <w:bCs/>
          <w:i/>
          <w:iCs/>
        </w:rPr>
        <w:t xml:space="preserve"> </w:t>
      </w:r>
      <w:r w:rsidRPr="58C7F40C">
        <w:rPr>
          <w:rFonts w:ascii="Times New Roman" w:hAnsi="Times New Roman"/>
          <w:b/>
          <w:bCs/>
          <w:i/>
          <w:iCs/>
        </w:rPr>
        <w:t xml:space="preserve">merytorycznych specyficznych wyboru projektów </w:t>
      </w:r>
      <w:r w:rsidRPr="58C7F40C" w:rsidR="00F5772A">
        <w:rPr>
          <w:rFonts w:ascii="Times New Roman" w:hAnsi="Times New Roman"/>
          <w:b/>
          <w:bCs/>
          <w:i/>
          <w:iCs/>
        </w:rPr>
        <w:t>dla</w:t>
      </w:r>
      <w:r w:rsidRPr="58C7F40C" w:rsidR="00CE0868">
        <w:rPr>
          <w:i/>
          <w:iCs/>
        </w:rPr>
        <w:t xml:space="preserve"> D</w:t>
      </w:r>
      <w:r w:rsidRPr="58C7F40C" w:rsidR="00BA66A6">
        <w:rPr>
          <w:rFonts w:ascii="Times New Roman" w:hAnsi="Times New Roman" w:cs="Times New Roman"/>
          <w:b/>
          <w:bCs/>
          <w:i/>
          <w:iCs/>
        </w:rPr>
        <w:t>ziałania 14.1</w:t>
      </w:r>
      <w:r w:rsidRPr="58C7F40C" w:rsidR="00841334">
        <w:rPr>
          <w:rFonts w:ascii="Times New Roman" w:hAnsi="Times New Roman" w:cs="Times New Roman"/>
          <w:b/>
          <w:bCs/>
          <w:i/>
          <w:iCs/>
        </w:rPr>
        <w:t xml:space="preserve"> „</w:t>
      </w:r>
      <w:r w:rsidRPr="58C7F40C" w:rsidR="00BA66A6">
        <w:rPr>
          <w:rFonts w:ascii="Times New Roman" w:hAnsi="Times New Roman" w:cs="Times New Roman"/>
          <w:b/>
          <w:bCs/>
          <w:i/>
          <w:iCs/>
        </w:rPr>
        <w:t>Infrastruktura ochrony zdrowia - REACT-EU</w:t>
      </w:r>
      <w:r w:rsidRPr="58C7F40C" w:rsidR="00841334">
        <w:rPr>
          <w:rFonts w:ascii="Times New Roman" w:hAnsi="Times New Roman" w:cs="Times New Roman"/>
          <w:b/>
          <w:bCs/>
          <w:i/>
          <w:iCs/>
        </w:rPr>
        <w:t>” Osi Priorytetowej XIV Działania naprawcze w kontekście pandemii COVID-19 –</w:t>
      </w:r>
      <w:r w:rsidRPr="58C7F40C" w:rsidR="58C7F40C">
        <w:rPr>
          <w:rFonts w:ascii="Times New Roman" w:hAnsi="Times New Roman" w:cs="Times New Roman"/>
          <w:b/>
          <w:bCs/>
          <w:i/>
          <w:iCs/>
        </w:rPr>
        <w:t xml:space="preserve"> </w:t>
      </w:r>
      <w:r w:rsidRPr="58C7F40C" w:rsidR="00841334">
        <w:rPr>
          <w:rFonts w:ascii="Times New Roman" w:hAnsi="Times New Roman" w:cs="Times New Roman"/>
          <w:b/>
          <w:bCs/>
          <w:i/>
          <w:iCs/>
        </w:rPr>
        <w:t>REACT-EU,</w:t>
      </w:r>
      <w:r w:rsidRPr="58C7F40C" w:rsidR="00BA66A6">
        <w:rPr>
          <w:rFonts w:ascii="Times New Roman" w:hAnsi="Times New Roman" w:cs="Times New Roman"/>
          <w:b/>
          <w:bCs/>
          <w:i/>
          <w:iCs/>
        </w:rPr>
        <w:t xml:space="preserve"> Regionalnego Programu Operacyjnego Województwa Śląskiego na lata 2014-2020</w:t>
      </w:r>
    </w:p>
    <w:p w:rsidRPr="007E2F13" w:rsidR="00F5772A" w:rsidP="00CB4EC3" w:rsidRDefault="00F5772A" w14:paraId="0A37501D" w14:textId="77777777">
      <w:pPr>
        <w:spacing w:after="0"/>
        <w:jc w:val="center"/>
        <w:rPr>
          <w:rFonts w:ascii="Times New Roman" w:hAnsi="Times New Roman"/>
          <w:b/>
          <w:bCs/>
          <w:i/>
          <w:sz w:val="24"/>
          <w:szCs w:val="24"/>
        </w:rPr>
      </w:pPr>
    </w:p>
    <w:p w:rsidRPr="00066355" w:rsidR="00951860" w:rsidP="490627EF" w:rsidRDefault="00951860" w14:paraId="216E0D97" w14:textId="3BA003E8">
      <w:pPr>
        <w:jc w:val="both"/>
        <w:rPr>
          <w:rFonts w:ascii="Times New Roman" w:hAnsi="Times New Roman"/>
          <w:i/>
          <w:iCs/>
          <w:sz w:val="18"/>
          <w:szCs w:val="18"/>
        </w:rPr>
      </w:pPr>
      <w:r w:rsidRPr="490627EF">
        <w:rPr>
          <w:rFonts w:ascii="Times New Roman" w:hAnsi="Times New Roman"/>
          <w:i/>
          <w:iCs/>
          <w:sz w:val="18"/>
          <w:szCs w:val="18"/>
        </w:rPr>
        <w:t xml:space="preserve">Na podstawie art. 49 i 110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 UE. L. 2013. 347. 320 ze zm.) zwane dalej „rozporządzeniem ogólnym”; art. 14 ust. 10 ustawy z dnia 11 lipca 2014 r o zasadach realizacji programów w zakresie polityki spójności finansowanych w perspektywie finansowej 2014-2020 (Dz. U. z 2020 r., poz. 818.z </w:t>
      </w:r>
      <w:proofErr w:type="spellStart"/>
      <w:r w:rsidRPr="490627EF">
        <w:rPr>
          <w:rFonts w:ascii="Times New Roman" w:hAnsi="Times New Roman"/>
          <w:i/>
          <w:iCs/>
          <w:sz w:val="18"/>
          <w:szCs w:val="18"/>
        </w:rPr>
        <w:t>późn</w:t>
      </w:r>
      <w:proofErr w:type="spellEnd"/>
      <w:r w:rsidRPr="490627EF">
        <w:rPr>
          <w:rFonts w:ascii="Times New Roman" w:hAnsi="Times New Roman"/>
          <w:i/>
          <w:iCs/>
          <w:sz w:val="18"/>
          <w:szCs w:val="18"/>
        </w:rPr>
        <w:t>. zm.).</w:t>
      </w:r>
    </w:p>
    <w:p w:rsidRPr="0037477A" w:rsidR="00F5772A" w:rsidP="00CB4EC3" w:rsidRDefault="00F5772A" w14:paraId="276C8A27" w14:textId="77777777">
      <w:pPr>
        <w:spacing w:before="120" w:after="120"/>
        <w:jc w:val="center"/>
        <w:rPr>
          <w:rFonts w:ascii="Times New Roman" w:hAnsi="Times New Roman"/>
          <w:bCs/>
        </w:rPr>
      </w:pPr>
      <w:r w:rsidRPr="0037477A">
        <w:rPr>
          <w:rFonts w:ascii="Times New Roman" w:hAnsi="Times New Roman"/>
          <w:b/>
          <w:bCs/>
        </w:rPr>
        <w:t>§ 1</w:t>
      </w:r>
    </w:p>
    <w:p w:rsidRPr="00E33044" w:rsidR="00E33044" w:rsidP="00E33044" w:rsidRDefault="0037477A" w14:paraId="31A28840" w14:textId="77777777">
      <w:pPr>
        <w:pStyle w:val="Akapitzlist"/>
        <w:numPr>
          <w:ilvl w:val="0"/>
          <w:numId w:val="1"/>
        </w:numPr>
        <w:spacing w:line="360" w:lineRule="auto"/>
        <w:jc w:val="both"/>
        <w:rPr>
          <w:rFonts w:ascii="Times New Roman" w:hAnsi="Times New Roman" w:eastAsia="Times New Roman"/>
          <w:i/>
          <w:iCs/>
        </w:rPr>
      </w:pPr>
      <w:r w:rsidRPr="58C7F40C">
        <w:rPr>
          <w:rStyle w:val="Pogrubienie"/>
          <w:rFonts w:ascii="Times New Roman" w:hAnsi="Times New Roman"/>
          <w:b w:val="0"/>
          <w:bCs w:val="0"/>
        </w:rPr>
        <w:t xml:space="preserve">Zatwierdza się </w:t>
      </w:r>
      <w:r w:rsidRPr="58C7F40C" w:rsidR="00F5772A">
        <w:rPr>
          <w:rStyle w:val="Pogrubienie"/>
          <w:rFonts w:ascii="Times New Roman" w:hAnsi="Times New Roman"/>
          <w:b w:val="0"/>
          <w:bCs w:val="0"/>
        </w:rPr>
        <w:t xml:space="preserve">kryteria </w:t>
      </w:r>
      <w:r w:rsidRPr="58C7F40C">
        <w:rPr>
          <w:rStyle w:val="Pogrubienie"/>
          <w:rFonts w:ascii="Times New Roman" w:hAnsi="Times New Roman"/>
          <w:b w:val="0"/>
          <w:bCs w:val="0"/>
        </w:rPr>
        <w:t xml:space="preserve">merytoryczne specyficzne </w:t>
      </w:r>
      <w:r w:rsidRPr="58C7F40C" w:rsidR="00F5772A">
        <w:rPr>
          <w:rStyle w:val="Pogrubienie"/>
          <w:rFonts w:ascii="Times New Roman" w:hAnsi="Times New Roman"/>
          <w:b w:val="0"/>
          <w:bCs w:val="0"/>
        </w:rPr>
        <w:t>wyboru projektów</w:t>
      </w:r>
      <w:r w:rsidRPr="58C7F40C" w:rsidR="00F5772A">
        <w:rPr>
          <w:rFonts w:ascii="Times New Roman" w:hAnsi="Times New Roman"/>
        </w:rPr>
        <w:t xml:space="preserve"> </w:t>
      </w:r>
      <w:r w:rsidRPr="58C7F40C" w:rsidR="00A6025E">
        <w:rPr>
          <w:rFonts w:ascii="Times New Roman" w:hAnsi="Times New Roman"/>
        </w:rPr>
        <w:t xml:space="preserve">dla </w:t>
      </w:r>
      <w:r w:rsidRPr="58C7F40C" w:rsidR="00D96C48">
        <w:rPr>
          <w:rFonts w:ascii="Times New Roman" w:hAnsi="Times New Roman"/>
        </w:rPr>
        <w:t>D</w:t>
      </w:r>
      <w:r w:rsidRPr="58C7F40C">
        <w:rPr>
          <w:rFonts w:ascii="Times New Roman" w:hAnsi="Times New Roman"/>
        </w:rPr>
        <w:t>ziałania</w:t>
      </w:r>
      <w:r w:rsidRPr="58C7F40C" w:rsidR="00497E32">
        <w:rPr>
          <w:rFonts w:ascii="Times New Roman" w:hAnsi="Times New Roman"/>
        </w:rPr>
        <w:t xml:space="preserve"> </w:t>
      </w:r>
      <w:r w:rsidRPr="58C7F40C" w:rsidR="000B6B8A">
        <w:rPr>
          <w:rFonts w:ascii="Times New Roman" w:hAnsi="Times New Roman"/>
        </w:rPr>
        <w:t xml:space="preserve">14.1 </w:t>
      </w:r>
      <w:r w:rsidRPr="58C7F40C" w:rsidR="000B6B8A">
        <w:rPr>
          <w:rFonts w:ascii="Times New Roman" w:hAnsi="Times New Roman"/>
          <w:i/>
          <w:iCs/>
        </w:rPr>
        <w:t>Infrastruktura ochrony zdro</w:t>
      </w:r>
      <w:r w:rsidRPr="58C7F40C">
        <w:rPr>
          <w:rFonts w:ascii="Times New Roman" w:hAnsi="Times New Roman"/>
          <w:i/>
          <w:iCs/>
        </w:rPr>
        <w:t xml:space="preserve">wia – REACT-EU </w:t>
      </w:r>
      <w:r w:rsidRPr="58C7F40C" w:rsidR="58C7F40C">
        <w:rPr>
          <w:rFonts w:ascii="Times New Roman" w:hAnsi="Times New Roman"/>
        </w:rPr>
        <w:t>Osi Priorytetowej XIV:</w:t>
      </w:r>
      <w:r w:rsidRPr="58C7F40C" w:rsidR="58C7F40C">
        <w:rPr>
          <w:rFonts w:ascii="Times New Roman" w:hAnsi="Times New Roman"/>
          <w:i/>
          <w:iCs/>
        </w:rPr>
        <w:t xml:space="preserve"> Działania naprawcze w kontekście pandemii COVID-19 – REACT-EU,</w:t>
      </w:r>
      <w:r w:rsidRPr="58C7F40C" w:rsidR="000B6B8A">
        <w:rPr>
          <w:rFonts w:ascii="Times New Roman" w:hAnsi="Times New Roman"/>
          <w:i/>
          <w:iCs/>
        </w:rPr>
        <w:t xml:space="preserve"> </w:t>
      </w:r>
      <w:r w:rsidRPr="58C7F40C" w:rsidR="002A3FA9">
        <w:rPr>
          <w:rFonts w:ascii="Times New Roman" w:hAnsi="Times New Roman"/>
          <w:i/>
          <w:iCs/>
        </w:rPr>
        <w:t>Regionalnego Programu Operacyjnego Województwa Śląskiego 2014–2020.</w:t>
      </w:r>
    </w:p>
    <w:p w:rsidRPr="00E33044" w:rsidR="000B6B8A" w:rsidP="00E33044" w:rsidRDefault="002A3FA9" w14:paraId="02EB378F" w14:textId="260890AA">
      <w:pPr>
        <w:pStyle w:val="Akapitzlist"/>
        <w:numPr>
          <w:ilvl w:val="0"/>
          <w:numId w:val="1"/>
        </w:numPr>
        <w:spacing w:line="360" w:lineRule="auto"/>
        <w:jc w:val="both"/>
        <w:rPr>
          <w:rFonts w:ascii="Times New Roman" w:hAnsi="Times New Roman" w:eastAsia="Times New Roman"/>
          <w:i/>
          <w:iCs/>
        </w:rPr>
      </w:pPr>
      <w:r w:rsidRPr="00E33044">
        <w:rPr>
          <w:rFonts w:ascii="Times New Roman" w:hAnsi="Times New Roman"/>
        </w:rPr>
        <w:t xml:space="preserve">Kryteria wyboru projektów dla Działania </w:t>
      </w:r>
      <w:r w:rsidRPr="00E33044" w:rsidR="000B6B8A">
        <w:rPr>
          <w:rFonts w:ascii="Times New Roman" w:hAnsi="Times New Roman"/>
        </w:rPr>
        <w:t xml:space="preserve">14.1 </w:t>
      </w:r>
      <w:r w:rsidRPr="00E33044" w:rsidR="000B6B8A">
        <w:rPr>
          <w:rFonts w:ascii="Times New Roman" w:hAnsi="Times New Roman"/>
          <w:i/>
          <w:iCs/>
        </w:rPr>
        <w:t>Infrastruktura ochrony zdro</w:t>
      </w:r>
      <w:r w:rsidRPr="00E33044" w:rsidR="0037477A">
        <w:rPr>
          <w:rFonts w:ascii="Times New Roman" w:hAnsi="Times New Roman"/>
          <w:i/>
          <w:iCs/>
        </w:rPr>
        <w:t xml:space="preserve">wia – REACT-EU </w:t>
      </w:r>
      <w:r w:rsidRPr="00E33044" w:rsidR="58C7F40C">
        <w:rPr>
          <w:rFonts w:ascii="Times New Roman" w:hAnsi="Times New Roman"/>
        </w:rPr>
        <w:t>Osi Priorytetowej XIV:</w:t>
      </w:r>
      <w:r w:rsidRPr="00E33044" w:rsidR="58C7F40C">
        <w:rPr>
          <w:rFonts w:ascii="Times New Roman" w:hAnsi="Times New Roman"/>
          <w:i/>
          <w:iCs/>
        </w:rPr>
        <w:t xml:space="preserve"> Działania naprawcze w kontekście pandemii COVID-19 – REACT-EU,</w:t>
      </w:r>
      <w:r w:rsidRPr="00E33044" w:rsidR="000B6B8A">
        <w:rPr>
          <w:rFonts w:ascii="Times New Roman" w:hAnsi="Times New Roman"/>
          <w:i/>
          <w:iCs/>
        </w:rPr>
        <w:t xml:space="preserve"> </w:t>
      </w:r>
      <w:r w:rsidRPr="00E33044">
        <w:rPr>
          <w:rFonts w:ascii="Times New Roman" w:hAnsi="Times New Roman"/>
          <w:i/>
          <w:iCs/>
        </w:rPr>
        <w:t>Regionalnego Programu Operacyjnego Województwa Śląskiego 2014–2020</w:t>
      </w:r>
      <w:r w:rsidRPr="00E33044">
        <w:rPr>
          <w:rFonts w:ascii="Times New Roman" w:hAnsi="Times New Roman"/>
        </w:rPr>
        <w:t xml:space="preserve"> stanowią załącznik do niniejszej uchwały.   </w:t>
      </w:r>
    </w:p>
    <w:p w:rsidR="002A3FA9" w:rsidP="58C7F40C" w:rsidRDefault="00A6025E" w14:paraId="207CCF61" w14:textId="77777777">
      <w:pPr>
        <w:pStyle w:val="Akapitzlist"/>
        <w:tabs>
          <w:tab w:val="left" w:pos="4253"/>
        </w:tabs>
        <w:rPr>
          <w:rFonts w:ascii="Times New Roman" w:hAnsi="Times New Roman"/>
          <w:b/>
          <w:bCs/>
        </w:rPr>
      </w:pPr>
      <w:r w:rsidRPr="007707E2">
        <w:rPr>
          <w:rFonts w:ascii="Times New Roman" w:hAnsi="Times New Roman"/>
          <w:b/>
          <w:bCs/>
        </w:rPr>
        <w:t xml:space="preserve">    </w:t>
      </w:r>
    </w:p>
    <w:p w:rsidRPr="007707E2" w:rsidR="00F5772A" w:rsidP="58C7F40C" w:rsidRDefault="0037477A" w14:paraId="54B1E895" w14:textId="77777777">
      <w:pPr>
        <w:pStyle w:val="Akapitzlist"/>
        <w:tabs>
          <w:tab w:val="left" w:pos="4253"/>
        </w:tabs>
        <w:ind w:left="3540" w:firstLine="708"/>
        <w:rPr>
          <w:rFonts w:ascii="Times New Roman" w:hAnsi="Times New Roman"/>
          <w:b/>
          <w:bCs/>
        </w:rPr>
      </w:pPr>
      <w:r>
        <w:rPr>
          <w:rFonts w:ascii="Times New Roman" w:hAnsi="Times New Roman"/>
          <w:b/>
          <w:bCs/>
        </w:rPr>
        <w:t xml:space="preserve"> </w:t>
      </w:r>
      <w:r w:rsidRPr="007707E2" w:rsidR="00F5772A">
        <w:rPr>
          <w:rFonts w:ascii="Times New Roman" w:hAnsi="Times New Roman"/>
          <w:b/>
          <w:bCs/>
        </w:rPr>
        <w:t>§ 2</w:t>
      </w:r>
    </w:p>
    <w:p w:rsidRPr="007707E2" w:rsidR="00CB4EC3" w:rsidP="0037477A" w:rsidRDefault="00F5772A" w14:paraId="3801FE28" w14:textId="77777777">
      <w:pPr>
        <w:spacing w:before="120" w:after="120"/>
        <w:rPr>
          <w:rFonts w:ascii="Times New Roman" w:hAnsi="Times New Roman"/>
        </w:rPr>
      </w:pPr>
      <w:r w:rsidRPr="007707E2">
        <w:rPr>
          <w:rFonts w:ascii="Times New Roman" w:hAnsi="Times New Roman"/>
        </w:rPr>
        <w:t>Uchwała wchodzi w życie z dniem podjęcia.</w:t>
      </w:r>
    </w:p>
    <w:p w:rsidRPr="007707E2" w:rsidR="00F5772A" w:rsidP="00C546AF" w:rsidRDefault="00C546AF" w14:paraId="767B1A04" w14:textId="77777777">
      <w:pPr>
        <w:pStyle w:val="NormalnyWeb"/>
        <w:spacing w:line="276" w:lineRule="auto"/>
        <w:ind w:right="1275"/>
        <w:jc w:val="center"/>
        <w:rPr>
          <w:b/>
          <w:sz w:val="22"/>
          <w:szCs w:val="22"/>
        </w:rPr>
      </w:pPr>
      <w:r>
        <w:rPr>
          <w:b/>
          <w:sz w:val="22"/>
          <w:szCs w:val="22"/>
        </w:rPr>
        <w:t xml:space="preserve">                                                                                                      </w:t>
      </w:r>
      <w:r w:rsidRPr="007707E2" w:rsidR="00EA4B2A">
        <w:rPr>
          <w:b/>
          <w:sz w:val="22"/>
          <w:szCs w:val="22"/>
        </w:rPr>
        <w:t>Przewodniczący</w:t>
      </w:r>
      <w:r w:rsidRPr="007707E2" w:rsidR="00F5772A">
        <w:rPr>
          <w:b/>
          <w:sz w:val="22"/>
          <w:szCs w:val="22"/>
        </w:rPr>
        <w:t xml:space="preserve"> </w:t>
      </w:r>
    </w:p>
    <w:p w:rsidR="00C546AF" w:rsidP="00CB4EC3" w:rsidRDefault="00F5772A" w14:paraId="41C940EB" w14:textId="77777777">
      <w:pPr>
        <w:pStyle w:val="NormalnyWeb"/>
        <w:spacing w:line="276" w:lineRule="auto"/>
        <w:jc w:val="both"/>
        <w:rPr>
          <w:b/>
          <w:sz w:val="22"/>
          <w:szCs w:val="22"/>
        </w:rPr>
      </w:pPr>
      <w:r w:rsidRPr="007707E2">
        <w:rPr>
          <w:b/>
          <w:sz w:val="22"/>
          <w:szCs w:val="22"/>
        </w:rPr>
        <w:t xml:space="preserve">                                                                                                    </w:t>
      </w:r>
      <w:r w:rsidRPr="007707E2" w:rsidR="00323331">
        <w:rPr>
          <w:b/>
          <w:sz w:val="22"/>
          <w:szCs w:val="22"/>
        </w:rPr>
        <w:t>KM</w:t>
      </w:r>
      <w:r w:rsidRPr="007707E2">
        <w:rPr>
          <w:b/>
          <w:sz w:val="22"/>
          <w:szCs w:val="22"/>
        </w:rPr>
        <w:t xml:space="preserve">  RPO WSL </w:t>
      </w:r>
      <w:r w:rsidRPr="007707E2" w:rsidR="00EA0F60">
        <w:rPr>
          <w:b/>
          <w:sz w:val="22"/>
          <w:szCs w:val="22"/>
        </w:rPr>
        <w:t>2014-2020</w:t>
      </w:r>
      <w:r w:rsidRPr="007707E2" w:rsidR="007707E2">
        <w:rPr>
          <w:b/>
          <w:sz w:val="22"/>
          <w:szCs w:val="22"/>
        </w:rPr>
        <w:tab/>
      </w:r>
      <w:r w:rsidRPr="007707E2" w:rsidR="007707E2">
        <w:rPr>
          <w:b/>
          <w:sz w:val="22"/>
          <w:szCs w:val="22"/>
        </w:rPr>
        <w:tab/>
      </w:r>
      <w:r w:rsidRPr="007707E2" w:rsidR="007707E2">
        <w:rPr>
          <w:b/>
          <w:sz w:val="22"/>
          <w:szCs w:val="22"/>
        </w:rPr>
        <w:tab/>
      </w:r>
      <w:r w:rsidRPr="007707E2" w:rsidR="007707E2">
        <w:rPr>
          <w:b/>
          <w:sz w:val="22"/>
          <w:szCs w:val="22"/>
        </w:rPr>
        <w:tab/>
      </w:r>
      <w:r w:rsidRPr="007707E2" w:rsidR="007707E2">
        <w:rPr>
          <w:b/>
          <w:sz w:val="22"/>
          <w:szCs w:val="22"/>
        </w:rPr>
        <w:tab/>
      </w:r>
      <w:r w:rsidRPr="007707E2" w:rsidR="007707E2">
        <w:rPr>
          <w:b/>
          <w:sz w:val="22"/>
          <w:szCs w:val="22"/>
        </w:rPr>
        <w:tab/>
      </w:r>
    </w:p>
    <w:p w:rsidRPr="00CB4EC3" w:rsidR="00F5772A" w:rsidP="58C7F40C" w:rsidRDefault="00C546AF" w14:paraId="6A05A809" w14:textId="39D41F96">
      <w:pPr>
        <w:pStyle w:val="NormalnyWeb"/>
        <w:keepNext/>
        <w:spacing w:before="240" w:after="60" w:line="276" w:lineRule="auto"/>
        <w:ind w:left="4956" w:firstLine="708"/>
        <w:jc w:val="both"/>
        <w:rPr>
          <w:rFonts w:ascii="Calibri" w:hAnsi="Calibri"/>
          <w:b/>
          <w:bCs/>
          <w:sz w:val="22"/>
          <w:szCs w:val="22"/>
        </w:rPr>
        <w:sectPr w:rsidRPr="00CB4EC3" w:rsidR="00F5772A" w:rsidSect="0076572D">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sidRPr="58C7F40C">
        <w:rPr>
          <w:b/>
          <w:bCs/>
          <w:sz w:val="22"/>
          <w:szCs w:val="22"/>
        </w:rPr>
        <w:t xml:space="preserve">    </w:t>
      </w:r>
      <w:r w:rsidRPr="58C7F40C" w:rsidR="00A82C7E">
        <w:rPr>
          <w:b/>
          <w:bCs/>
          <w:sz w:val="22"/>
          <w:szCs w:val="22"/>
        </w:rPr>
        <w:t>Jakub Chełstowski</w:t>
      </w:r>
    </w:p>
    <w:p w:rsidR="009924C7" w:rsidP="58C7F40C" w:rsidRDefault="00D96C48" w14:paraId="5DF0CC43" w14:textId="5E35467C">
      <w:pPr>
        <w:spacing w:line="360" w:lineRule="auto"/>
        <w:rPr>
          <w:rFonts w:ascii="Times New Roman" w:hAnsi="Times New Roman"/>
          <w:sz w:val="24"/>
          <w:szCs w:val="24"/>
        </w:rPr>
      </w:pPr>
      <w:bookmarkStart w:name="_Toc84934792" w:id="2"/>
      <w:bookmarkEnd w:id="0"/>
      <w:r w:rsidRPr="58C7F40C">
        <w:rPr>
          <w:rFonts w:ascii="Times New Roman" w:hAnsi="Times New Roman"/>
          <w:sz w:val="24"/>
          <w:szCs w:val="24"/>
        </w:rPr>
        <w:lastRenderedPageBreak/>
        <w:t>Kryteria dla D</w:t>
      </w:r>
      <w:r w:rsidRPr="58C7F40C" w:rsidR="00B91CA4">
        <w:rPr>
          <w:rFonts w:ascii="Times New Roman" w:hAnsi="Times New Roman"/>
          <w:sz w:val="24"/>
          <w:szCs w:val="24"/>
        </w:rPr>
        <w:t xml:space="preserve">ziałania </w:t>
      </w:r>
      <w:r w:rsidRPr="58C7F40C">
        <w:rPr>
          <w:rFonts w:ascii="Times New Roman" w:hAnsi="Times New Roman"/>
          <w:sz w:val="24"/>
          <w:szCs w:val="24"/>
        </w:rPr>
        <w:t>14.1</w:t>
      </w:r>
      <w:r w:rsidRPr="58C7F40C" w:rsidR="00B91CA4">
        <w:rPr>
          <w:rFonts w:ascii="Times New Roman" w:hAnsi="Times New Roman"/>
          <w:sz w:val="24"/>
          <w:szCs w:val="24"/>
        </w:rPr>
        <w:t>, typ projektu</w:t>
      </w:r>
      <w:r w:rsidRPr="58C7F40C">
        <w:rPr>
          <w:rFonts w:ascii="Times New Roman" w:hAnsi="Times New Roman"/>
          <w:sz w:val="24"/>
          <w:szCs w:val="24"/>
        </w:rPr>
        <w:t>:</w:t>
      </w:r>
      <w:r w:rsidRPr="58C7F40C" w:rsidR="00B91CA4">
        <w:rPr>
          <w:rFonts w:ascii="Times New Roman" w:hAnsi="Times New Roman"/>
          <w:sz w:val="24"/>
          <w:szCs w:val="24"/>
        </w:rPr>
        <w:t xml:space="preserve"> </w:t>
      </w:r>
      <w:bookmarkEnd w:id="2"/>
      <w:r w:rsidRPr="58C7F40C">
        <w:rPr>
          <w:rFonts w:ascii="Times New Roman" w:hAnsi="Times New Roman"/>
          <w:sz w:val="24"/>
          <w:szCs w:val="24"/>
        </w:rPr>
        <w:t>Projekty inwestycyjne ukierunkowane na poprawę jakości i dostępności do specjalistycznych usług medycznych w zakresie chorób nowotworowych i zaburzeń psychicznych</w:t>
      </w:r>
    </w:p>
    <w:tbl>
      <w:tblPr>
        <w:tblW w:w="14805"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42"/>
        <w:gridCol w:w="1983"/>
        <w:gridCol w:w="5101"/>
        <w:gridCol w:w="1402"/>
        <w:gridCol w:w="3684"/>
        <w:gridCol w:w="1417"/>
        <w:gridCol w:w="776"/>
      </w:tblGrid>
      <w:tr w:rsidRPr="00D65C47" w:rsidR="00D65C47" w:rsidTr="00D65C47" w14:paraId="717211F0" w14:textId="77777777">
        <w:trPr>
          <w:trHeight w:val="20"/>
        </w:trPr>
        <w:tc>
          <w:tcPr>
            <w:tcW w:w="441" w:type="dxa"/>
            <w:tcBorders>
              <w:top w:val="single" w:color="auto" w:sz="4" w:space="0"/>
              <w:left w:val="single" w:color="auto" w:sz="4" w:space="0"/>
              <w:bottom w:val="single" w:color="auto" w:sz="4" w:space="0"/>
              <w:right w:val="single" w:color="auto" w:sz="4" w:space="0"/>
            </w:tcBorders>
            <w:shd w:val="clear" w:color="auto" w:fill="D8D8D8"/>
            <w:vAlign w:val="center"/>
            <w:hideMark/>
          </w:tcPr>
          <w:p w:rsidRPr="00D65C47" w:rsidR="00D65C47" w:rsidRDefault="00D65C47" w14:paraId="4840D583" w14:textId="77777777">
            <w:pPr>
              <w:spacing w:after="0" w:line="240" w:lineRule="auto"/>
              <w:rPr>
                <w:rFonts w:cs="Calibri"/>
                <w:b/>
                <w:color w:val="000000"/>
                <w:sz w:val="20"/>
                <w:szCs w:val="20"/>
                <w:lang w:eastAsia="pl-PL"/>
              </w:rPr>
            </w:pPr>
            <w:r w:rsidRPr="00D65C47">
              <w:rPr>
                <w:rFonts w:cs="Calibri"/>
                <w:b/>
                <w:color w:val="000000"/>
                <w:sz w:val="20"/>
                <w:szCs w:val="20"/>
                <w:lang w:eastAsia="pl-PL"/>
              </w:rPr>
              <w:t>Lp.</w:t>
            </w:r>
          </w:p>
        </w:tc>
        <w:tc>
          <w:tcPr>
            <w:tcW w:w="1984" w:type="dxa"/>
            <w:tcBorders>
              <w:top w:val="single" w:color="auto" w:sz="4" w:space="0"/>
              <w:left w:val="single" w:color="auto" w:sz="4" w:space="0"/>
              <w:bottom w:val="single" w:color="auto" w:sz="4" w:space="0"/>
              <w:right w:val="single" w:color="auto" w:sz="4" w:space="0"/>
            </w:tcBorders>
            <w:shd w:val="clear" w:color="auto" w:fill="D8D8D8"/>
            <w:vAlign w:val="center"/>
            <w:hideMark/>
          </w:tcPr>
          <w:p w:rsidRPr="00D65C47" w:rsidR="00D65C47" w:rsidRDefault="00D65C47" w14:paraId="5AF106D4" w14:textId="77777777">
            <w:pPr>
              <w:spacing w:after="0" w:line="240" w:lineRule="auto"/>
              <w:rPr>
                <w:rFonts w:cs="Calibri"/>
                <w:b/>
                <w:color w:val="000000"/>
                <w:sz w:val="20"/>
                <w:szCs w:val="20"/>
                <w:lang w:eastAsia="pl-PL"/>
              </w:rPr>
            </w:pPr>
            <w:r w:rsidRPr="00D65C47">
              <w:rPr>
                <w:rFonts w:cs="Calibri"/>
                <w:b/>
                <w:color w:val="000000"/>
                <w:sz w:val="20"/>
                <w:szCs w:val="20"/>
                <w:lang w:eastAsia="pl-PL"/>
              </w:rPr>
              <w:t>Kryterium</w:t>
            </w:r>
          </w:p>
        </w:tc>
        <w:tc>
          <w:tcPr>
            <w:tcW w:w="5103" w:type="dxa"/>
            <w:tcBorders>
              <w:top w:val="single" w:color="auto" w:sz="4" w:space="0"/>
              <w:left w:val="single" w:color="auto" w:sz="4" w:space="0"/>
              <w:bottom w:val="single" w:color="auto" w:sz="4" w:space="0"/>
              <w:right w:val="single" w:color="auto" w:sz="4" w:space="0"/>
            </w:tcBorders>
            <w:shd w:val="clear" w:color="auto" w:fill="D8D8D8"/>
            <w:vAlign w:val="center"/>
            <w:hideMark/>
          </w:tcPr>
          <w:p w:rsidRPr="00D65C47" w:rsidR="00D65C47" w:rsidRDefault="00D65C47" w14:paraId="0CA3E857" w14:textId="77777777">
            <w:pPr>
              <w:spacing w:after="0" w:line="240" w:lineRule="auto"/>
              <w:rPr>
                <w:rFonts w:cs="Calibri"/>
                <w:b/>
                <w:color w:val="000000"/>
                <w:sz w:val="20"/>
                <w:szCs w:val="20"/>
                <w:lang w:eastAsia="pl-PL"/>
              </w:rPr>
            </w:pPr>
            <w:r w:rsidRPr="00D65C47">
              <w:rPr>
                <w:rFonts w:cs="Calibri"/>
                <w:b/>
                <w:color w:val="000000"/>
                <w:sz w:val="20"/>
                <w:szCs w:val="20"/>
                <w:lang w:eastAsia="pl-PL"/>
              </w:rPr>
              <w:t>Definicja</w:t>
            </w:r>
          </w:p>
        </w:tc>
        <w:tc>
          <w:tcPr>
            <w:tcW w:w="1403" w:type="dxa"/>
            <w:tcBorders>
              <w:top w:val="single" w:color="auto" w:sz="4" w:space="0"/>
              <w:left w:val="single" w:color="auto" w:sz="4" w:space="0"/>
              <w:bottom w:val="single" w:color="auto" w:sz="4" w:space="0"/>
              <w:right w:val="single" w:color="auto" w:sz="4" w:space="0"/>
            </w:tcBorders>
            <w:shd w:val="clear" w:color="auto" w:fill="D8D8D8"/>
            <w:vAlign w:val="center"/>
            <w:hideMark/>
          </w:tcPr>
          <w:p w:rsidRPr="00D65C47" w:rsidR="00D65C47" w:rsidRDefault="00D65C47" w14:paraId="60760291" w14:textId="77777777">
            <w:pPr>
              <w:spacing w:after="0" w:line="240" w:lineRule="auto"/>
              <w:rPr>
                <w:rFonts w:cs="Calibri"/>
                <w:b/>
                <w:color w:val="000000"/>
                <w:sz w:val="20"/>
                <w:szCs w:val="20"/>
                <w:lang w:eastAsia="pl-PL"/>
              </w:rPr>
            </w:pPr>
            <w:r w:rsidRPr="00D65C47">
              <w:rPr>
                <w:rFonts w:cs="Calibri"/>
                <w:b/>
                <w:color w:val="000000"/>
                <w:sz w:val="20"/>
                <w:szCs w:val="20"/>
                <w:lang w:eastAsia="pl-PL"/>
              </w:rPr>
              <w:t>Rodzaj kryterium</w:t>
            </w:r>
          </w:p>
        </w:tc>
        <w:tc>
          <w:tcPr>
            <w:tcW w:w="3686" w:type="dxa"/>
            <w:tcBorders>
              <w:top w:val="single" w:color="auto" w:sz="4" w:space="0"/>
              <w:left w:val="single" w:color="auto" w:sz="4" w:space="0"/>
              <w:bottom w:val="single" w:color="auto" w:sz="4" w:space="0"/>
              <w:right w:val="single" w:color="auto" w:sz="4" w:space="0"/>
            </w:tcBorders>
            <w:shd w:val="clear" w:color="auto" w:fill="D8D8D8"/>
            <w:vAlign w:val="center"/>
            <w:hideMark/>
          </w:tcPr>
          <w:p w:rsidRPr="00D65C47" w:rsidR="00D65C47" w:rsidRDefault="00D65C47" w14:paraId="3FF39990" w14:textId="77777777">
            <w:pPr>
              <w:spacing w:after="0" w:line="240" w:lineRule="auto"/>
              <w:rPr>
                <w:rFonts w:cs="Calibri"/>
                <w:b/>
                <w:color w:val="000000"/>
                <w:sz w:val="20"/>
                <w:szCs w:val="20"/>
                <w:lang w:eastAsia="pl-PL"/>
              </w:rPr>
            </w:pPr>
            <w:r w:rsidRPr="00D65C47">
              <w:rPr>
                <w:rFonts w:cs="Calibri"/>
                <w:b/>
                <w:color w:val="000000"/>
                <w:sz w:val="20"/>
                <w:szCs w:val="20"/>
                <w:lang w:eastAsia="pl-PL"/>
              </w:rPr>
              <w:t>Sposób weryfikacji</w:t>
            </w:r>
          </w:p>
        </w:tc>
        <w:tc>
          <w:tcPr>
            <w:tcW w:w="1418" w:type="dxa"/>
            <w:tcBorders>
              <w:top w:val="single" w:color="auto" w:sz="4" w:space="0"/>
              <w:left w:val="single" w:color="auto" w:sz="4" w:space="0"/>
              <w:bottom w:val="single" w:color="auto" w:sz="4" w:space="0"/>
              <w:right w:val="single" w:color="auto" w:sz="4" w:space="0"/>
            </w:tcBorders>
            <w:shd w:val="clear" w:color="auto" w:fill="D8D8D8"/>
            <w:hideMark/>
          </w:tcPr>
          <w:p w:rsidRPr="00D65C47" w:rsidR="00D65C47" w:rsidRDefault="00D65C47" w14:paraId="7E56FA82" w14:textId="77777777">
            <w:pPr>
              <w:spacing w:after="0" w:line="240" w:lineRule="auto"/>
              <w:rPr>
                <w:rFonts w:cs="Calibri"/>
                <w:b/>
                <w:color w:val="000000"/>
                <w:sz w:val="20"/>
                <w:szCs w:val="20"/>
                <w:lang w:eastAsia="pl-PL"/>
              </w:rPr>
            </w:pPr>
            <w:r w:rsidRPr="00D65C47">
              <w:rPr>
                <w:rFonts w:cs="Calibri"/>
                <w:b/>
                <w:color w:val="000000"/>
                <w:sz w:val="20"/>
                <w:szCs w:val="20"/>
                <w:lang w:eastAsia="pl-PL"/>
              </w:rPr>
              <w:t>Etap Oceny Kryterium</w:t>
            </w:r>
          </w:p>
        </w:tc>
        <w:tc>
          <w:tcPr>
            <w:tcW w:w="776" w:type="dxa"/>
            <w:tcBorders>
              <w:top w:val="single" w:color="auto" w:sz="4" w:space="0"/>
              <w:left w:val="single" w:color="auto" w:sz="4" w:space="0"/>
              <w:bottom w:val="single" w:color="auto" w:sz="4" w:space="0"/>
              <w:right w:val="single" w:color="auto" w:sz="4" w:space="0"/>
            </w:tcBorders>
            <w:shd w:val="clear" w:color="auto" w:fill="D8D8D8"/>
            <w:hideMark/>
          </w:tcPr>
          <w:p w:rsidRPr="00D65C47" w:rsidR="00D65C47" w:rsidRDefault="00D65C47" w14:paraId="2E453F8C" w14:textId="77777777">
            <w:pPr>
              <w:spacing w:after="0" w:line="240" w:lineRule="auto"/>
              <w:rPr>
                <w:rFonts w:cs="Calibri"/>
                <w:b/>
                <w:color w:val="000000"/>
                <w:sz w:val="20"/>
                <w:szCs w:val="20"/>
                <w:lang w:eastAsia="pl-PL"/>
              </w:rPr>
            </w:pPr>
            <w:r w:rsidRPr="00D65C47">
              <w:rPr>
                <w:rFonts w:cs="Calibri"/>
                <w:b/>
                <w:color w:val="000000"/>
                <w:sz w:val="20"/>
                <w:szCs w:val="20"/>
                <w:lang w:eastAsia="pl-PL"/>
              </w:rPr>
              <w:t>Waga</w:t>
            </w:r>
          </w:p>
        </w:tc>
      </w:tr>
      <w:tr w:rsidRPr="00D65C47" w:rsidR="00D65C47" w:rsidTr="00D65C47" w14:paraId="501FCBA1"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0135CBF0" w14:textId="77777777">
            <w:pPr>
              <w:spacing w:after="0" w:line="240" w:lineRule="auto"/>
              <w:rPr>
                <w:rFonts w:cs="Calibri"/>
                <w:color w:val="000000"/>
                <w:sz w:val="20"/>
                <w:szCs w:val="20"/>
                <w:lang w:eastAsia="pl-PL"/>
              </w:rPr>
            </w:pPr>
            <w:r w:rsidRPr="00D65C47">
              <w:rPr>
                <w:rFonts w:cs="Calibri"/>
                <w:color w:val="000000"/>
                <w:sz w:val="20"/>
                <w:szCs w:val="20"/>
                <w:lang w:eastAsia="pl-PL"/>
              </w:rPr>
              <w:t>1.</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3F637FEC" w14:textId="77777777">
            <w:pPr>
              <w:spacing w:after="0" w:line="240" w:lineRule="auto"/>
              <w:rPr>
                <w:rFonts w:cs="Calibri"/>
                <w:color w:val="000000"/>
                <w:sz w:val="20"/>
                <w:szCs w:val="20"/>
                <w:vertAlign w:val="superscript"/>
                <w:lang w:eastAsia="pl-PL"/>
              </w:rPr>
            </w:pPr>
            <w:r w:rsidRPr="00D65C47">
              <w:rPr>
                <w:rFonts w:cs="Calibri"/>
                <w:color w:val="000000"/>
                <w:sz w:val="20"/>
                <w:szCs w:val="20"/>
                <w:lang w:eastAsia="pl-PL"/>
              </w:rPr>
              <w:t>Czy projekt jest zgodny z odpowiednią mapą potrzeb zdrowotnych oraz czy posiada pozytywną opinię o celowości inwestycji</w:t>
            </w:r>
            <w:r w:rsidRPr="00D65C47">
              <w:rPr>
                <w:rStyle w:val="Odwoanieprzypisudolnego"/>
                <w:rFonts w:cs="Calibri"/>
              </w:rPr>
              <w:footnoteReference w:id="1"/>
            </w:r>
            <w:r w:rsidRPr="00D65C47">
              <w:rPr>
                <w:rFonts w:cs="Calibri"/>
                <w:sz w:val="20"/>
                <w:szCs w:val="20"/>
                <w:lang w:eastAsia="pl-PL"/>
              </w:rPr>
              <w:t xml:space="preserve"> </w:t>
            </w:r>
          </w:p>
        </w:tc>
        <w:tc>
          <w:tcPr>
            <w:tcW w:w="5103"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63671101"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W ramach kryterium weryfikowane będzie, czy projekt jest zgodny z regionalnymi i lokalnymi potrzebami wynikającymi z aktualnych danych statystycznych, w tym danych demograficznych, epidemiologicznych. Powyższe powinno wynikać z mapy potrzeb zdrowotnych za 2020 r. lub w przypadku jej braku analizy aktualnych danych dokonanych przez wnioskodawcę. </w:t>
            </w:r>
          </w:p>
          <w:p w:rsidRPr="00D65C47" w:rsidR="00D65C47" w:rsidRDefault="00D65C47" w14:paraId="3E08E987" w14:textId="77777777">
            <w:pPr>
              <w:spacing w:after="0" w:line="240" w:lineRule="auto"/>
              <w:rPr>
                <w:rFonts w:cs="Calibri"/>
                <w:color w:val="000000"/>
                <w:sz w:val="20"/>
                <w:szCs w:val="20"/>
                <w:lang w:eastAsia="pl-PL"/>
              </w:rPr>
            </w:pPr>
            <w:r w:rsidRPr="00D65C47">
              <w:rPr>
                <w:rFonts w:cs="Calibri"/>
                <w:color w:val="000000"/>
                <w:sz w:val="20"/>
                <w:szCs w:val="20"/>
                <w:lang w:eastAsia="pl-PL"/>
              </w:rPr>
              <w:t>Zgodność jest oceniana na podstawie uzasadnienia wnioskodawcy zawartego we wniosku o dofinansowanie oraz - jeśli jest wymagane – OCI.</w:t>
            </w:r>
            <w:r w:rsidRPr="00D65C47">
              <w:rPr>
                <w:rFonts w:cs="Calibri"/>
                <w:color w:val="000000"/>
                <w:sz w:val="20"/>
                <w:szCs w:val="20"/>
                <w:vertAlign w:val="superscript"/>
                <w:lang w:eastAsia="pl-PL"/>
              </w:rPr>
              <w:footnoteReference w:id="2"/>
            </w:r>
          </w:p>
          <w:p w:rsidRPr="00D65C47" w:rsidR="00D65C47" w:rsidRDefault="00D65C47" w14:paraId="5A39BBE3" w14:textId="77777777">
            <w:pPr>
              <w:spacing w:after="0" w:line="240" w:lineRule="auto"/>
              <w:rPr>
                <w:rFonts w:cs="Calibri"/>
                <w:color w:val="000000"/>
                <w:sz w:val="20"/>
                <w:szCs w:val="20"/>
                <w:lang w:eastAsia="pl-PL"/>
              </w:rPr>
            </w:pP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232F04E9" w14:textId="77777777">
            <w:pPr>
              <w:spacing w:after="0" w:line="240" w:lineRule="auto"/>
              <w:rPr>
                <w:rFonts w:cs="Calibri"/>
                <w:color w:val="000000"/>
                <w:sz w:val="20"/>
                <w:szCs w:val="20"/>
                <w:lang w:eastAsia="pl-PL"/>
              </w:rPr>
            </w:pPr>
            <w:r w:rsidRPr="00D65C47">
              <w:rPr>
                <w:rFonts w:cs="Calibri"/>
                <w:color w:val="000000"/>
                <w:sz w:val="20"/>
                <w:szCs w:val="20"/>
                <w:lang w:eastAsia="pl-PL"/>
              </w:rPr>
              <w:t>merytoryczne</w:t>
            </w:r>
          </w:p>
        </w:tc>
        <w:tc>
          <w:tcPr>
            <w:tcW w:w="368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610A8291" w14:textId="77777777">
            <w:pPr>
              <w:spacing w:after="0" w:line="240" w:lineRule="auto"/>
              <w:rPr>
                <w:rFonts w:cs="Calibri"/>
                <w:color w:val="000000"/>
                <w:sz w:val="20"/>
                <w:szCs w:val="20"/>
                <w:lang w:eastAsia="pl-PL"/>
              </w:rPr>
            </w:pPr>
            <w:r w:rsidRPr="00D65C47">
              <w:rPr>
                <w:rFonts w:cs="Calibri"/>
                <w:color w:val="000000"/>
                <w:sz w:val="20"/>
                <w:szCs w:val="20"/>
                <w:lang w:eastAsia="pl-PL"/>
              </w:rPr>
              <w:t>0/1</w:t>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319CAFDD" w14:textId="77777777">
            <w:pPr>
              <w:spacing w:after="0" w:line="240" w:lineRule="auto"/>
              <w:rPr>
                <w:rFonts w:cs="Calibri"/>
                <w:color w:val="000000"/>
                <w:sz w:val="20"/>
                <w:szCs w:val="20"/>
                <w:lang w:eastAsia="pl-PL"/>
              </w:rPr>
            </w:pPr>
            <w:r w:rsidRPr="00D65C47">
              <w:rPr>
                <w:rFonts w:cs="Calibri"/>
                <w:color w:val="000000"/>
                <w:sz w:val="20"/>
                <w:szCs w:val="20"/>
                <w:lang w:eastAsia="pl-PL"/>
              </w:rPr>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1D071B30" w14:textId="77777777">
            <w:pPr>
              <w:spacing w:after="0" w:line="240" w:lineRule="auto"/>
              <w:rPr>
                <w:rFonts w:cs="Calibri"/>
                <w:color w:val="000000"/>
                <w:sz w:val="20"/>
                <w:szCs w:val="20"/>
                <w:lang w:eastAsia="pl-PL"/>
              </w:rPr>
            </w:pPr>
            <w:r w:rsidRPr="00D65C47">
              <w:rPr>
                <w:rFonts w:cs="Calibri"/>
                <w:color w:val="000000"/>
                <w:sz w:val="20"/>
                <w:szCs w:val="20"/>
                <w:lang w:eastAsia="pl-PL"/>
              </w:rPr>
              <w:t>n/d</w:t>
            </w:r>
          </w:p>
        </w:tc>
      </w:tr>
      <w:tr w:rsidRPr="00D65C47" w:rsidR="00D65C47" w:rsidTr="00D65C47" w14:paraId="284D935A"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47886996" w14:textId="77777777">
            <w:pPr>
              <w:spacing w:after="0" w:line="240" w:lineRule="auto"/>
              <w:rPr>
                <w:rFonts w:cs="Calibri"/>
                <w:color w:val="000000"/>
                <w:sz w:val="20"/>
                <w:szCs w:val="20"/>
                <w:lang w:eastAsia="pl-PL"/>
              </w:rPr>
            </w:pPr>
            <w:r w:rsidRPr="00D65C47">
              <w:rPr>
                <w:rFonts w:cs="Calibri"/>
                <w:color w:val="000000"/>
                <w:sz w:val="20"/>
                <w:szCs w:val="20"/>
                <w:lang w:eastAsia="pl-PL"/>
              </w:rPr>
              <w:t>2.</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7CC736BE" w14:textId="77777777">
            <w:pPr>
              <w:spacing w:after="0" w:line="240" w:lineRule="auto"/>
              <w:rPr>
                <w:rFonts w:cs="Calibri"/>
                <w:color w:val="000000"/>
                <w:sz w:val="20"/>
                <w:szCs w:val="20"/>
                <w:lang w:eastAsia="pl-PL"/>
              </w:rPr>
            </w:pPr>
            <w:r w:rsidRPr="00D65C47">
              <w:rPr>
                <w:rFonts w:cs="Calibri"/>
                <w:color w:val="000000"/>
                <w:sz w:val="20"/>
                <w:szCs w:val="20"/>
                <w:lang w:eastAsia="pl-PL"/>
              </w:rPr>
              <w:t>Czy projekt jest zgodny z dokumentami strategicznymi w obszarze zdrowia</w:t>
            </w:r>
          </w:p>
        </w:tc>
        <w:tc>
          <w:tcPr>
            <w:tcW w:w="5103"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3CA31479" w14:textId="77777777">
            <w:pPr>
              <w:spacing w:after="0" w:line="240" w:lineRule="auto"/>
              <w:rPr>
                <w:rFonts w:cs="Calibri"/>
                <w:color w:val="000000"/>
                <w:sz w:val="20"/>
                <w:szCs w:val="20"/>
                <w:lang w:eastAsia="pl-PL"/>
              </w:rPr>
            </w:pPr>
            <w:r w:rsidRPr="00D65C47">
              <w:rPr>
                <w:rFonts w:cs="Calibri"/>
                <w:color w:val="000000"/>
                <w:sz w:val="20"/>
                <w:szCs w:val="20"/>
                <w:lang w:eastAsia="pl-PL"/>
              </w:rPr>
              <w:t>Weryfikacji podlegać będzie, czy projekt jest zgodny z</w:t>
            </w:r>
          </w:p>
          <w:p w:rsidRPr="00D65C47" w:rsidR="00D65C47" w:rsidRDefault="00D65C47" w14:paraId="15D22E34"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założeniami strategicznymi, kierunkami interwencji i narzędziami implementacyjnymi, wskazanymi w: </w:t>
            </w:r>
            <w:r w:rsidRPr="00D65C47">
              <w:rPr>
                <w:rFonts w:cs="Calibri"/>
                <w:sz w:val="20"/>
                <w:szCs w:val="20"/>
                <w:lang w:eastAsia="pl-PL"/>
              </w:rPr>
              <w:t xml:space="preserve">Strategii Rozwoju Województwa Śląskiego –Śląskie 2030, </w:t>
            </w:r>
            <w:r w:rsidRPr="00D65C47">
              <w:rPr>
                <w:rFonts w:cs="Calibri"/>
                <w:color w:val="000000"/>
                <w:sz w:val="20"/>
                <w:szCs w:val="20"/>
                <w:lang w:eastAsia="pl-PL"/>
              </w:rPr>
              <w:t>Regionalnej Polityki Zdrowotnej Województwa Śląskiego, Policy Paper dla ochrony zdrowia na lata 2014 – 2020</w:t>
            </w:r>
            <w:r w:rsidRPr="00D65C47">
              <w:rPr>
                <w:rFonts w:cs="Calibri"/>
                <w:color w:val="000000"/>
                <w:sz w:val="20"/>
                <w:szCs w:val="20"/>
                <w:vertAlign w:val="superscript"/>
                <w:lang w:eastAsia="pl-PL"/>
              </w:rPr>
              <w:footnoteReference w:id="3"/>
            </w:r>
            <w:r>
              <w:rPr>
                <w:rFonts w:ascii="Arial" w:hAnsi="Arial" w:cs="Arial"/>
                <w:lang w:eastAsia="pl-PL"/>
              </w:rPr>
              <w:t>,</w:t>
            </w:r>
            <w:r w:rsidRPr="00D65C47">
              <w:rPr>
                <w:rFonts w:cs="Calibri"/>
                <w:color w:val="000000"/>
                <w:sz w:val="20"/>
                <w:szCs w:val="20"/>
                <w:vertAlign w:val="superscript"/>
                <w:lang w:eastAsia="pl-PL"/>
              </w:rPr>
              <w:t xml:space="preserve"> </w:t>
            </w:r>
            <w:r w:rsidRPr="00D65C47">
              <w:rPr>
                <w:rFonts w:cs="Calibri"/>
                <w:color w:val="000000"/>
                <w:sz w:val="20"/>
                <w:szCs w:val="20"/>
                <w:lang w:eastAsia="pl-PL"/>
              </w:rPr>
              <w:t>Planie Transformacji</w:t>
            </w:r>
            <w:r w:rsidRPr="00D65C47">
              <w:rPr>
                <w:rStyle w:val="Odwoanieprzypisudolnego"/>
                <w:rFonts w:cs="Calibri"/>
                <w:color w:val="000000"/>
              </w:rPr>
              <w:footnoteReference w:id="4"/>
            </w:r>
            <w:r>
              <w:rPr>
                <w:rFonts w:ascii="Arial" w:hAnsi="Arial" w:cs="Arial"/>
                <w:lang w:eastAsia="pl-PL"/>
              </w:rPr>
              <w:t xml:space="preserve">, </w:t>
            </w:r>
            <w:r w:rsidRPr="00D65C47">
              <w:rPr>
                <w:rFonts w:cs="Calibri"/>
                <w:color w:val="000000"/>
                <w:sz w:val="20"/>
                <w:szCs w:val="20"/>
                <w:lang w:eastAsia="pl-PL"/>
              </w:rPr>
              <w:t xml:space="preserve">a także dokumentami właściwymi przedmiotowo do danej inwestycji: „Strategii </w:t>
            </w:r>
            <w:proofErr w:type="spellStart"/>
            <w:r w:rsidRPr="00D65C47">
              <w:rPr>
                <w:rFonts w:cs="Calibri"/>
                <w:color w:val="000000"/>
                <w:sz w:val="20"/>
                <w:szCs w:val="20"/>
                <w:lang w:eastAsia="pl-PL"/>
              </w:rPr>
              <w:t>deinstytucjonalizacji</w:t>
            </w:r>
            <w:proofErr w:type="spellEnd"/>
            <w:r w:rsidRPr="00D65C47">
              <w:rPr>
                <w:rFonts w:cs="Calibri"/>
                <w:color w:val="000000"/>
                <w:sz w:val="20"/>
                <w:szCs w:val="20"/>
                <w:lang w:eastAsia="pl-PL"/>
              </w:rPr>
              <w:t xml:space="preserve">: Opieka zdrowotna nad osobami z </w:t>
            </w:r>
            <w:r w:rsidRPr="00D65C47">
              <w:rPr>
                <w:rFonts w:cs="Calibri"/>
                <w:color w:val="000000"/>
                <w:sz w:val="20"/>
                <w:szCs w:val="20"/>
                <w:lang w:eastAsia="pl-PL"/>
              </w:rPr>
              <w:lastRenderedPageBreak/>
              <w:t>zaburzeniami psychicznymi”</w:t>
            </w:r>
            <w:r w:rsidRPr="00D65C47">
              <w:rPr>
                <w:rStyle w:val="Odwoanieprzypisudolnego"/>
                <w:rFonts w:cs="Calibri"/>
                <w:color w:val="000000"/>
              </w:rPr>
              <w:footnoteReference w:id="5"/>
            </w:r>
            <w:r w:rsidRPr="00D65C47">
              <w:rPr>
                <w:rFonts w:cs="Calibri"/>
                <w:color w:val="000000"/>
                <w:sz w:val="20"/>
                <w:szCs w:val="20"/>
                <w:lang w:eastAsia="pl-PL"/>
              </w:rPr>
              <w:t>, Narodową Strategią Onkologiczną</w:t>
            </w: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2EC89035"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merytoryczne</w:t>
            </w:r>
          </w:p>
        </w:tc>
        <w:tc>
          <w:tcPr>
            <w:tcW w:w="368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6D247865" w14:textId="77777777">
            <w:pPr>
              <w:spacing w:after="0" w:line="240" w:lineRule="auto"/>
              <w:rPr>
                <w:rFonts w:cs="Calibri"/>
                <w:color w:val="000000"/>
                <w:sz w:val="20"/>
                <w:szCs w:val="20"/>
                <w:lang w:eastAsia="pl-PL"/>
              </w:rPr>
            </w:pPr>
            <w:r w:rsidRPr="00D65C47">
              <w:rPr>
                <w:rFonts w:cs="Calibri"/>
                <w:color w:val="000000"/>
                <w:sz w:val="20"/>
                <w:szCs w:val="20"/>
                <w:lang w:eastAsia="pl-PL"/>
              </w:rPr>
              <w:t>0/1</w:t>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31898EFA" w14:textId="77777777">
            <w:pPr>
              <w:spacing w:after="0" w:line="240" w:lineRule="auto"/>
              <w:rPr>
                <w:rFonts w:cs="Calibri"/>
                <w:color w:val="000000"/>
                <w:sz w:val="20"/>
                <w:szCs w:val="20"/>
                <w:lang w:eastAsia="pl-PL"/>
              </w:rPr>
            </w:pPr>
            <w:r w:rsidRPr="00D65C47">
              <w:rPr>
                <w:rFonts w:cs="Calibri"/>
                <w:color w:val="000000"/>
                <w:sz w:val="20"/>
                <w:szCs w:val="20"/>
                <w:lang w:eastAsia="pl-PL"/>
              </w:rPr>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BC5B55F" w14:textId="77777777">
            <w:pPr>
              <w:spacing w:after="0" w:line="240" w:lineRule="auto"/>
              <w:rPr>
                <w:rFonts w:cs="Calibri"/>
                <w:color w:val="000000"/>
                <w:sz w:val="20"/>
                <w:szCs w:val="20"/>
                <w:lang w:eastAsia="pl-PL"/>
              </w:rPr>
            </w:pPr>
            <w:r w:rsidRPr="00D65C47">
              <w:rPr>
                <w:rFonts w:cs="Calibri"/>
                <w:color w:val="000000"/>
                <w:sz w:val="20"/>
                <w:szCs w:val="20"/>
                <w:lang w:eastAsia="pl-PL"/>
              </w:rPr>
              <w:t>n/d</w:t>
            </w:r>
          </w:p>
        </w:tc>
      </w:tr>
      <w:tr w:rsidRPr="00D65C47" w:rsidR="00D65C47" w:rsidTr="00D65C47" w14:paraId="6605CB3B"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1F75A9DD" w14:textId="77777777">
            <w:pPr>
              <w:spacing w:after="0" w:line="240" w:lineRule="auto"/>
              <w:rPr>
                <w:rFonts w:cs="Calibri"/>
                <w:color w:val="000000"/>
                <w:sz w:val="20"/>
                <w:szCs w:val="20"/>
                <w:lang w:eastAsia="pl-PL"/>
              </w:rPr>
            </w:pPr>
            <w:r w:rsidRPr="00D65C47">
              <w:rPr>
                <w:rFonts w:cs="Calibri"/>
                <w:color w:val="000000"/>
                <w:sz w:val="20"/>
                <w:szCs w:val="20"/>
                <w:lang w:eastAsia="pl-PL"/>
              </w:rPr>
              <w:t>3.</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484B4B56"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Potencjał </w:t>
            </w:r>
            <w:proofErr w:type="spellStart"/>
            <w:r w:rsidRPr="00D65C47">
              <w:rPr>
                <w:rFonts w:cs="Calibri"/>
                <w:color w:val="000000"/>
                <w:sz w:val="20"/>
                <w:szCs w:val="20"/>
                <w:lang w:eastAsia="pl-PL"/>
              </w:rPr>
              <w:t>organizacyjno</w:t>
            </w:r>
            <w:proofErr w:type="spellEnd"/>
            <w:r w:rsidRPr="00D65C47">
              <w:rPr>
                <w:rFonts w:cs="Calibri"/>
                <w:color w:val="000000"/>
                <w:sz w:val="20"/>
                <w:szCs w:val="20"/>
                <w:lang w:eastAsia="pl-PL"/>
              </w:rPr>
              <w:t xml:space="preserve"> - instytucjonalny Beneficjenta</w:t>
            </w:r>
          </w:p>
        </w:tc>
        <w:tc>
          <w:tcPr>
            <w:tcW w:w="5103"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03613144"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W ramach kryterium będzie oceniane,  czy zaplanowane w ramach projektu działania/zakupy wyrobów medycznych są uzasadnione z punktu widzenia </w:t>
            </w:r>
            <w:r w:rsidRPr="00D65C47">
              <w:rPr>
                <w:rFonts w:cs="Calibri"/>
                <w:color w:val="000000"/>
                <w:sz w:val="20"/>
                <w:szCs w:val="20"/>
                <w:u w:val="single"/>
                <w:lang w:eastAsia="pl-PL"/>
              </w:rPr>
              <w:t>rzeczywistego zapotrzebowania</w:t>
            </w:r>
            <w:r w:rsidRPr="00D65C47">
              <w:rPr>
                <w:rFonts w:cs="Calibri"/>
                <w:color w:val="000000"/>
                <w:sz w:val="20"/>
                <w:szCs w:val="20"/>
                <w:lang w:eastAsia="pl-PL"/>
              </w:rPr>
              <w:t xml:space="preserve"> na dany produkt (wytworzona infrastruktura w tym ilość, parametry wyrobu medycznego muszą być adekwatne do zakresu udzielanych przez podmiot leczniczy świadczeń opieki zdrowotnej lub w przypadku poszerzenia oferty medycznej odpowiadać na zidentyfikowane deficyty podaży świadczeń). </w:t>
            </w:r>
          </w:p>
          <w:p w:rsidRPr="00D65C47" w:rsidR="00D65C47" w:rsidRDefault="00D65C47" w14:paraId="6C778F94" w14:textId="77777777">
            <w:pPr>
              <w:spacing w:after="0" w:line="240" w:lineRule="auto"/>
              <w:rPr>
                <w:rFonts w:cs="Calibri"/>
                <w:color w:val="000000"/>
                <w:sz w:val="20"/>
                <w:szCs w:val="20"/>
                <w:lang w:eastAsia="pl-PL"/>
              </w:rPr>
            </w:pPr>
            <w:r w:rsidRPr="00D65C47">
              <w:rPr>
                <w:rFonts w:cs="Calibri"/>
                <w:color w:val="000000"/>
                <w:sz w:val="20"/>
                <w:szCs w:val="20"/>
                <w:lang w:eastAsia="pl-PL"/>
              </w:rPr>
              <w:t>W przypadku projektu przewidującego zakup wyrobów medycznych weryfikowane będzie, czy wnioskodawca dysponuje lub zobowiązuje się do dysponowania najpóźniej w dniu zakończenia okresu kwalifikowalności wydatków określonego w umowie o dofinansowanie projektu:</w:t>
            </w:r>
          </w:p>
          <w:p w:rsidRPr="00D65C47" w:rsidR="00D65C47" w:rsidRDefault="00D65C47" w14:paraId="01EE8C02" w14:textId="77777777">
            <w:pPr>
              <w:spacing w:after="0" w:line="240" w:lineRule="auto"/>
              <w:rPr>
                <w:rFonts w:cs="Calibri"/>
                <w:color w:val="000000"/>
                <w:sz w:val="20"/>
                <w:szCs w:val="20"/>
                <w:lang w:eastAsia="pl-PL"/>
              </w:rPr>
            </w:pPr>
            <w:r w:rsidRPr="00D65C47">
              <w:rPr>
                <w:rFonts w:cs="Calibri"/>
                <w:color w:val="000000"/>
                <w:sz w:val="20"/>
                <w:szCs w:val="20"/>
                <w:lang w:eastAsia="pl-PL"/>
              </w:rPr>
              <w:t>- kadrą medyczną odpowiednio wykwalifikowana do obsługi wyrobów medycznych objętych projektem</w:t>
            </w:r>
            <w:r w:rsidRPr="00D65C47">
              <w:rPr>
                <w:rStyle w:val="Odwoanieprzypisudolnego"/>
                <w:rFonts w:cs="Calibri"/>
                <w:color w:val="000000"/>
              </w:rPr>
              <w:footnoteReference w:id="6"/>
            </w:r>
            <w:r w:rsidRPr="00D65C47">
              <w:rPr>
                <w:rFonts w:cs="Calibri"/>
                <w:color w:val="000000"/>
                <w:sz w:val="20"/>
                <w:szCs w:val="20"/>
                <w:lang w:eastAsia="pl-PL"/>
              </w:rPr>
              <w:t xml:space="preserve">; </w:t>
            </w:r>
          </w:p>
          <w:p w:rsidRPr="00D65C47" w:rsidR="00D65C47" w:rsidRDefault="00D65C47" w14:paraId="648FDD90" w14:textId="77777777">
            <w:pPr>
              <w:spacing w:after="0" w:line="240" w:lineRule="auto"/>
              <w:rPr>
                <w:rFonts w:cs="Calibri"/>
                <w:color w:val="000000"/>
                <w:sz w:val="20"/>
                <w:szCs w:val="20"/>
                <w:lang w:eastAsia="pl-PL"/>
              </w:rPr>
            </w:pPr>
            <w:r w:rsidRPr="00D65C47">
              <w:rPr>
                <w:rFonts w:cs="Calibri"/>
                <w:color w:val="000000"/>
                <w:sz w:val="20"/>
                <w:szCs w:val="20"/>
                <w:lang w:eastAsia="pl-PL"/>
              </w:rPr>
              <w:t>- infrastrukturą techniczną niezbędną do instalacji i użytkowania wyrobów medycznych objętych projektem</w:t>
            </w:r>
            <w:r w:rsidRPr="00D65C47">
              <w:rPr>
                <w:rStyle w:val="Odwoanieprzypisudolnego"/>
                <w:rFonts w:cs="Calibri"/>
                <w:color w:val="000000"/>
              </w:rPr>
              <w:footnoteReference w:id="7"/>
            </w:r>
            <w:r w:rsidRPr="00D65C47">
              <w:rPr>
                <w:rFonts w:cs="Calibri"/>
                <w:color w:val="000000"/>
                <w:sz w:val="20"/>
                <w:szCs w:val="20"/>
                <w:lang w:eastAsia="pl-PL"/>
              </w:rPr>
              <w:t>;</w:t>
            </w:r>
          </w:p>
          <w:p w:rsidRPr="00D65C47" w:rsidR="00D65C47" w:rsidRDefault="00D65C47" w14:paraId="0D4BE715" w14:textId="77777777">
            <w:pPr>
              <w:spacing w:after="0" w:line="240" w:lineRule="auto"/>
              <w:rPr>
                <w:rFonts w:cs="Calibri"/>
                <w:color w:val="000000"/>
                <w:sz w:val="20"/>
                <w:szCs w:val="20"/>
                <w:lang w:eastAsia="pl-PL"/>
              </w:rPr>
            </w:pPr>
            <w:r w:rsidRPr="00D65C47">
              <w:rPr>
                <w:rFonts w:cs="Calibri"/>
                <w:color w:val="000000"/>
                <w:sz w:val="20"/>
                <w:szCs w:val="20"/>
                <w:lang w:eastAsia="pl-PL"/>
              </w:rPr>
              <w:t>- systemami teleinformatycznymi do prowadzenia dokumentacji medycznej w postaci elektronicznej niezbędnej przy użytkowaniu wyrobów medycznych objętych projektem,</w:t>
            </w:r>
          </w:p>
          <w:p w:rsidRPr="00D65C47" w:rsidR="00D65C47" w:rsidRDefault="00D65C47" w14:paraId="205CC6CE" w14:textId="77777777">
            <w:pPr>
              <w:spacing w:after="0" w:line="240" w:lineRule="auto"/>
              <w:rPr>
                <w:rFonts w:cs="Calibri"/>
                <w:color w:val="000000"/>
                <w:sz w:val="20"/>
                <w:szCs w:val="20"/>
                <w:lang w:eastAsia="pl-PL"/>
              </w:rPr>
            </w:pPr>
            <w:r w:rsidRPr="00D65C47">
              <w:rPr>
                <w:rFonts w:cs="Calibri"/>
                <w:color w:val="000000"/>
                <w:sz w:val="20"/>
                <w:szCs w:val="20"/>
                <w:lang w:eastAsia="pl-PL"/>
              </w:rPr>
              <w:t>- wdrożoną i zaktualizowaną polityką bezpieczeństwa w zakresie użytkowania wyrobów medycznych objętych projektem.</w:t>
            </w:r>
          </w:p>
          <w:p w:rsidRPr="00D65C47" w:rsidR="00D65C47" w:rsidRDefault="00D65C47" w14:paraId="41C8F396" w14:textId="77777777">
            <w:pPr>
              <w:spacing w:after="0" w:line="240" w:lineRule="auto"/>
              <w:rPr>
                <w:rFonts w:cs="Calibri"/>
                <w:color w:val="000000"/>
                <w:sz w:val="20"/>
                <w:szCs w:val="20"/>
                <w:lang w:eastAsia="pl-PL"/>
              </w:rPr>
            </w:pP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2C4BE309" w14:textId="77777777">
            <w:pPr>
              <w:spacing w:after="0" w:line="240" w:lineRule="auto"/>
              <w:rPr>
                <w:rFonts w:cs="Calibri"/>
                <w:color w:val="000000"/>
                <w:sz w:val="20"/>
                <w:szCs w:val="20"/>
                <w:lang w:eastAsia="pl-PL"/>
              </w:rPr>
            </w:pPr>
            <w:r w:rsidRPr="00D65C47">
              <w:rPr>
                <w:rFonts w:cs="Calibri"/>
                <w:color w:val="000000"/>
                <w:sz w:val="20"/>
                <w:szCs w:val="20"/>
                <w:lang w:eastAsia="pl-PL"/>
              </w:rPr>
              <w:t>merytoryczne</w:t>
            </w:r>
          </w:p>
        </w:tc>
        <w:tc>
          <w:tcPr>
            <w:tcW w:w="368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6A22D1C" w14:textId="77777777">
            <w:pPr>
              <w:spacing w:after="0" w:line="240" w:lineRule="auto"/>
              <w:rPr>
                <w:rFonts w:cs="Calibri"/>
                <w:color w:val="000000"/>
                <w:sz w:val="20"/>
                <w:szCs w:val="20"/>
                <w:lang w:eastAsia="pl-PL"/>
              </w:rPr>
            </w:pPr>
            <w:r w:rsidRPr="00D65C47">
              <w:rPr>
                <w:rFonts w:cs="Calibri"/>
                <w:color w:val="000000"/>
                <w:sz w:val="20"/>
                <w:szCs w:val="20"/>
                <w:lang w:eastAsia="pl-PL"/>
              </w:rPr>
              <w:t>0/1</w:t>
            </w:r>
            <w:r w:rsidRPr="00D65C47">
              <w:rPr>
                <w:rFonts w:cs="Calibri"/>
                <w:color w:val="000000"/>
                <w:sz w:val="20"/>
                <w:szCs w:val="20"/>
                <w:lang w:eastAsia="pl-PL"/>
              </w:rPr>
              <w:br/>
            </w:r>
            <w:r w:rsidRPr="00D65C47">
              <w:rPr>
                <w:rFonts w:cs="Calibri"/>
                <w:color w:val="000000"/>
                <w:sz w:val="20"/>
                <w:szCs w:val="20"/>
                <w:lang w:eastAsia="pl-PL"/>
              </w:rPr>
              <w:br/>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06EDEE7D" w14:textId="77777777">
            <w:pPr>
              <w:spacing w:after="0" w:line="240" w:lineRule="auto"/>
              <w:rPr>
                <w:rFonts w:cs="Calibri"/>
                <w:color w:val="000000"/>
                <w:sz w:val="20"/>
                <w:szCs w:val="20"/>
                <w:lang w:eastAsia="pl-PL"/>
              </w:rPr>
            </w:pPr>
            <w:r w:rsidRPr="00D65C47">
              <w:rPr>
                <w:rFonts w:cs="Calibri"/>
                <w:color w:val="000000"/>
                <w:sz w:val="20"/>
                <w:szCs w:val="20"/>
                <w:lang w:eastAsia="pl-PL"/>
              </w:rPr>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1E5800F" w14:textId="77777777">
            <w:pPr>
              <w:spacing w:after="0" w:line="240" w:lineRule="auto"/>
              <w:rPr>
                <w:rFonts w:cs="Calibri"/>
                <w:color w:val="000000"/>
                <w:sz w:val="20"/>
                <w:szCs w:val="20"/>
                <w:lang w:eastAsia="pl-PL"/>
              </w:rPr>
            </w:pPr>
            <w:r w:rsidRPr="00D65C47">
              <w:rPr>
                <w:rFonts w:cs="Calibri"/>
                <w:color w:val="000000"/>
                <w:sz w:val="20"/>
                <w:szCs w:val="20"/>
                <w:lang w:eastAsia="pl-PL"/>
              </w:rPr>
              <w:t>n/d</w:t>
            </w:r>
          </w:p>
        </w:tc>
      </w:tr>
      <w:tr w:rsidRPr="00D65C47" w:rsidR="00D65C47" w:rsidTr="00D65C47" w14:paraId="3622A5DE"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58F4C6DB" w14:textId="77777777">
            <w:pPr>
              <w:spacing w:after="0" w:line="240" w:lineRule="auto"/>
              <w:rPr>
                <w:rFonts w:cs="Calibri"/>
                <w:sz w:val="20"/>
                <w:szCs w:val="20"/>
                <w:lang w:eastAsia="pl-PL"/>
              </w:rPr>
            </w:pPr>
            <w:r>
              <w:rPr>
                <w:rStyle w:val="normaltextrun"/>
                <w:rFonts w:cs="Calibri"/>
                <w:sz w:val="20"/>
                <w:szCs w:val="20"/>
              </w:rPr>
              <w:t>4.</w:t>
            </w:r>
            <w:r w:rsidRPr="00D65C47">
              <w:rPr>
                <w:rStyle w:val="eop"/>
                <w:rFonts w:eastAsia="Times New Roman" w:cs="Calibri"/>
                <w:sz w:val="20"/>
                <w:szCs w:val="20"/>
              </w:rPr>
              <w:t> </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4CD9954E" w14:textId="77777777">
            <w:pPr>
              <w:spacing w:after="0" w:line="240" w:lineRule="auto"/>
              <w:rPr>
                <w:rFonts w:cs="Calibri"/>
                <w:sz w:val="20"/>
                <w:szCs w:val="20"/>
                <w:lang w:eastAsia="pl-PL"/>
              </w:rPr>
            </w:pPr>
            <w:r>
              <w:rPr>
                <w:rStyle w:val="normaltextrun"/>
                <w:rFonts w:cs="Calibri"/>
                <w:sz w:val="20"/>
                <w:szCs w:val="20"/>
              </w:rPr>
              <w:t>Opieka koordynowana</w:t>
            </w:r>
            <w:r w:rsidRPr="00D65C47">
              <w:rPr>
                <w:rStyle w:val="eop"/>
                <w:rFonts w:eastAsia="Times New Roman" w:cs="Calibri"/>
                <w:sz w:val="20"/>
                <w:szCs w:val="20"/>
              </w:rPr>
              <w:t> </w:t>
            </w:r>
          </w:p>
        </w:tc>
        <w:tc>
          <w:tcPr>
            <w:tcW w:w="5103" w:type="dxa"/>
            <w:tcBorders>
              <w:top w:val="single" w:color="auto" w:sz="4" w:space="0"/>
              <w:left w:val="single" w:color="auto" w:sz="4" w:space="0"/>
              <w:bottom w:val="single" w:color="auto" w:sz="4" w:space="0"/>
              <w:right w:val="single" w:color="auto" w:sz="4" w:space="0"/>
            </w:tcBorders>
            <w:vAlign w:val="center"/>
            <w:hideMark/>
          </w:tcPr>
          <w:p w:rsidR="00D65C47" w:rsidRDefault="00D65C47" w14:paraId="379C8589" w14:textId="77777777">
            <w:pPr>
              <w:pStyle w:val="paragraph"/>
              <w:spacing w:line="256" w:lineRule="auto"/>
              <w:textAlignment w:val="baseline"/>
              <w:rPr>
                <w:lang w:eastAsia="en-US"/>
              </w:rPr>
            </w:pPr>
            <w:r>
              <w:rPr>
                <w:rStyle w:val="normaltextrun"/>
                <w:rFonts w:ascii="Calibri" w:hAnsi="Calibri"/>
                <w:sz w:val="20"/>
                <w:szCs w:val="20"/>
                <w:lang w:eastAsia="en-US"/>
              </w:rPr>
              <w:t xml:space="preserve">W ramach przedmiotowego kryterium weryfikowane </w:t>
            </w:r>
            <w:r>
              <w:rPr>
                <w:rStyle w:val="contextualspellingandgrammarerror"/>
                <w:rFonts w:ascii="Calibri" w:hAnsi="Calibri"/>
                <w:sz w:val="20"/>
                <w:szCs w:val="20"/>
                <w:lang w:eastAsia="en-US"/>
              </w:rPr>
              <w:t>będzie</w:t>
            </w:r>
            <w:r>
              <w:rPr>
                <w:rStyle w:val="normaltextrun"/>
                <w:rFonts w:ascii="Calibri" w:hAnsi="Calibri"/>
                <w:sz w:val="20"/>
                <w:szCs w:val="20"/>
                <w:lang w:eastAsia="en-US"/>
              </w:rPr>
              <w:t xml:space="preserve"> czy projekt zakłada działania ukierunkowane na przeniesienie świadczeń opieki zdrowotnej z poziomu </w:t>
            </w:r>
            <w:r>
              <w:rPr>
                <w:rStyle w:val="normaltextrun"/>
                <w:rFonts w:ascii="Calibri" w:hAnsi="Calibri"/>
                <w:sz w:val="20"/>
                <w:szCs w:val="20"/>
                <w:lang w:eastAsia="en-US"/>
              </w:rPr>
              <w:lastRenderedPageBreak/>
              <w:t>lecznictwa szpitalnego na rzecz POZ i AOS, w tym poprzez wprowadzenie lub rozwój opieki koordynowanej</w:t>
            </w:r>
            <w:r>
              <w:rPr>
                <w:rStyle w:val="Odwoanieprzypisudolnego"/>
                <w:rFonts w:ascii="Calibri" w:hAnsi="Calibri"/>
                <w:lang w:eastAsia="en-US"/>
              </w:rPr>
              <w:footnoteReference w:id="8"/>
            </w:r>
            <w:r>
              <w:rPr>
                <w:rStyle w:val="normaltextrun"/>
                <w:rFonts w:ascii="Calibri" w:hAnsi="Calibri"/>
                <w:sz w:val="16"/>
                <w:szCs w:val="16"/>
                <w:vertAlign w:val="superscript"/>
                <w:lang w:eastAsia="en-US"/>
              </w:rPr>
              <w:t>.</w:t>
            </w:r>
            <w:r w:rsidRPr="00D65C47">
              <w:rPr>
                <w:rStyle w:val="eop"/>
                <w:rFonts w:ascii="Calibri" w:hAnsi="Calibri"/>
                <w:sz w:val="16"/>
                <w:szCs w:val="16"/>
                <w:lang w:eastAsia="en-US"/>
              </w:rPr>
              <w:t> </w:t>
            </w:r>
          </w:p>
          <w:p w:rsidRPr="00D65C47" w:rsidR="00D65C47" w:rsidRDefault="00D65C47" w14:paraId="336DA000" w14:textId="77777777">
            <w:pPr>
              <w:spacing w:after="0" w:line="240" w:lineRule="auto"/>
              <w:rPr>
                <w:rFonts w:cs="Calibri"/>
                <w:sz w:val="20"/>
                <w:szCs w:val="20"/>
                <w:lang w:eastAsia="pl-PL"/>
              </w:rPr>
            </w:pPr>
            <w:r>
              <w:rPr>
                <w:rStyle w:val="normaltextrun"/>
                <w:rFonts w:cs="Calibri"/>
                <w:sz w:val="20"/>
                <w:szCs w:val="20"/>
              </w:rPr>
              <w:t xml:space="preserve">W przypadku projektu dotyczącego podmiotu leczniczego udzielającego świadczeń opieki zdrowotnej w zakresie leczenia szpitalnego, weryfikowane </w:t>
            </w:r>
            <w:r>
              <w:rPr>
                <w:rStyle w:val="contextualspellingandgrammarerror"/>
                <w:rFonts w:cs="Calibri"/>
                <w:sz w:val="20"/>
                <w:szCs w:val="20"/>
              </w:rPr>
              <w:t>będzie</w:t>
            </w:r>
            <w:r>
              <w:rPr>
                <w:rStyle w:val="normaltextrun"/>
                <w:rFonts w:cs="Calibri"/>
                <w:sz w:val="20"/>
                <w:szCs w:val="20"/>
              </w:rPr>
              <w:t xml:space="preserve"> czy inwestycja zakładają działania ukierunkowane na rozwój opieki koordynowanej lub rozwój współpracy z innymi zakresami świadczeń np. POZ, AOS, rehabilitacją, opieką długoterminową, opieką paliatywną i hospicyjną.</w:t>
            </w:r>
            <w:r w:rsidRPr="00D65C47">
              <w:rPr>
                <w:rStyle w:val="eop"/>
                <w:rFonts w:eastAsia="Times New Roman" w:cs="Calibri"/>
                <w:sz w:val="20"/>
                <w:szCs w:val="20"/>
              </w:rPr>
              <w:t> </w:t>
            </w: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6001FDCA" w14:textId="77777777">
            <w:pPr>
              <w:spacing w:after="0" w:line="240" w:lineRule="auto"/>
              <w:rPr>
                <w:rFonts w:cs="Calibri"/>
                <w:sz w:val="20"/>
                <w:szCs w:val="20"/>
                <w:lang w:eastAsia="pl-PL"/>
              </w:rPr>
            </w:pPr>
            <w:r>
              <w:rPr>
                <w:rStyle w:val="normaltextrun"/>
                <w:rFonts w:cs="Calibri"/>
                <w:sz w:val="20"/>
                <w:szCs w:val="20"/>
              </w:rPr>
              <w:lastRenderedPageBreak/>
              <w:t>merytoryczne</w:t>
            </w:r>
            <w:r w:rsidRPr="00D65C47">
              <w:rPr>
                <w:rStyle w:val="eop"/>
                <w:rFonts w:eastAsia="Times New Roman" w:cs="Calibri"/>
                <w:sz w:val="20"/>
                <w:szCs w:val="20"/>
              </w:rPr>
              <w:t> </w:t>
            </w:r>
          </w:p>
        </w:tc>
        <w:tc>
          <w:tcPr>
            <w:tcW w:w="368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F979813" w14:textId="77777777">
            <w:pPr>
              <w:spacing w:after="0" w:line="240" w:lineRule="auto"/>
              <w:rPr>
                <w:rFonts w:cs="Calibri"/>
                <w:sz w:val="20"/>
                <w:szCs w:val="20"/>
                <w:lang w:eastAsia="pl-PL"/>
              </w:rPr>
            </w:pPr>
            <w:r>
              <w:rPr>
                <w:rStyle w:val="normaltextrun"/>
                <w:rFonts w:cs="Calibri"/>
                <w:sz w:val="20"/>
                <w:szCs w:val="20"/>
              </w:rPr>
              <w:t>0/1</w:t>
            </w:r>
            <w:r w:rsidRPr="00D65C47">
              <w:rPr>
                <w:rStyle w:val="eop"/>
                <w:rFonts w:eastAsia="Times New Roman" w:cs="Calibri"/>
                <w:sz w:val="20"/>
                <w:szCs w:val="20"/>
              </w:rPr>
              <w:t> </w:t>
            </w:r>
          </w:p>
        </w:tc>
        <w:tc>
          <w:tcPr>
            <w:tcW w:w="1418" w:type="dxa"/>
            <w:tcBorders>
              <w:top w:val="single" w:color="auto" w:sz="4" w:space="0"/>
              <w:left w:val="single" w:color="auto" w:sz="4" w:space="0"/>
              <w:bottom w:val="single" w:color="auto" w:sz="4" w:space="0"/>
              <w:right w:val="single" w:color="auto" w:sz="4" w:space="0"/>
            </w:tcBorders>
            <w:hideMark/>
          </w:tcPr>
          <w:p w:rsidR="00D65C47" w:rsidRDefault="00D65C47" w14:paraId="38875F4B" w14:textId="77777777">
            <w:pPr>
              <w:pStyle w:val="paragraph"/>
              <w:spacing w:line="256" w:lineRule="auto"/>
              <w:textAlignment w:val="baseline"/>
              <w:rPr>
                <w:lang w:eastAsia="en-US"/>
              </w:rPr>
            </w:pPr>
            <w:r>
              <w:rPr>
                <w:rStyle w:val="normaltextrun"/>
                <w:rFonts w:ascii="Calibri" w:hAnsi="Calibri"/>
                <w:sz w:val="20"/>
                <w:szCs w:val="20"/>
                <w:lang w:eastAsia="en-US"/>
              </w:rPr>
              <w:t>Ocena merytoryczna</w:t>
            </w:r>
            <w:r w:rsidRPr="00D65C47">
              <w:rPr>
                <w:rStyle w:val="eop"/>
                <w:rFonts w:ascii="Calibri" w:hAnsi="Calibri"/>
                <w:sz w:val="20"/>
                <w:szCs w:val="20"/>
                <w:lang w:eastAsia="en-US"/>
              </w:rPr>
              <w:t> </w:t>
            </w:r>
          </w:p>
          <w:p w:rsidRPr="00D65C47" w:rsidR="00D65C47" w:rsidRDefault="00D65C47" w14:paraId="6E7BEAA2" w14:textId="77777777">
            <w:pPr>
              <w:spacing w:after="0" w:line="240" w:lineRule="auto"/>
              <w:rPr>
                <w:rFonts w:cs="Calibri"/>
                <w:sz w:val="20"/>
                <w:szCs w:val="20"/>
                <w:lang w:eastAsia="pl-PL"/>
              </w:rPr>
            </w:pPr>
            <w:r w:rsidRPr="00D65C47">
              <w:rPr>
                <w:rStyle w:val="eop"/>
                <w:rFonts w:eastAsia="Times New Roman" w:cs="Calibri"/>
                <w:sz w:val="20"/>
                <w:szCs w:val="20"/>
              </w:rPr>
              <w:t> </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4C1AEB22" w14:textId="77777777">
            <w:pPr>
              <w:spacing w:after="0" w:line="240" w:lineRule="auto"/>
              <w:rPr>
                <w:rFonts w:cs="Calibri"/>
                <w:sz w:val="20"/>
                <w:szCs w:val="20"/>
                <w:lang w:eastAsia="pl-PL"/>
              </w:rPr>
            </w:pPr>
            <w:r>
              <w:rPr>
                <w:rStyle w:val="normaltextrun"/>
                <w:rFonts w:cs="Calibri"/>
                <w:sz w:val="20"/>
                <w:szCs w:val="20"/>
              </w:rPr>
              <w:t>n/d</w:t>
            </w:r>
            <w:r w:rsidRPr="00D65C47">
              <w:rPr>
                <w:rStyle w:val="eop"/>
                <w:rFonts w:eastAsia="Times New Roman" w:cs="Calibri"/>
                <w:sz w:val="20"/>
                <w:szCs w:val="20"/>
              </w:rPr>
              <w:t> </w:t>
            </w:r>
          </w:p>
        </w:tc>
      </w:tr>
      <w:tr w:rsidRPr="00D65C47" w:rsidR="00D65C47" w:rsidTr="00D65C47" w14:paraId="6748D2F1"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56C72689" w14:textId="77777777">
            <w:pPr>
              <w:spacing w:after="0" w:line="240" w:lineRule="auto"/>
              <w:rPr>
                <w:rFonts w:cs="Calibri"/>
                <w:color w:val="000000"/>
                <w:sz w:val="20"/>
                <w:szCs w:val="20"/>
                <w:lang w:eastAsia="pl-PL"/>
              </w:rPr>
            </w:pPr>
            <w:r w:rsidRPr="00D65C47">
              <w:rPr>
                <w:rFonts w:cs="Calibri"/>
                <w:color w:val="000000"/>
                <w:sz w:val="20"/>
                <w:szCs w:val="20"/>
                <w:lang w:eastAsia="pl-PL"/>
              </w:rPr>
              <w:t>5.</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7FE8EAD4" w14:textId="77777777">
            <w:pPr>
              <w:spacing w:after="0" w:line="240" w:lineRule="auto"/>
              <w:rPr>
                <w:rFonts w:cs="Calibri"/>
                <w:color w:val="000000"/>
                <w:sz w:val="20"/>
                <w:szCs w:val="20"/>
                <w:lang w:eastAsia="pl-PL"/>
              </w:rPr>
            </w:pPr>
            <w:r w:rsidRPr="00D65C47">
              <w:rPr>
                <w:rFonts w:cs="Calibri"/>
                <w:color w:val="000000"/>
                <w:sz w:val="20"/>
                <w:szCs w:val="20"/>
                <w:lang w:eastAsia="pl-PL"/>
              </w:rPr>
              <w:t>Poprawa dostępności i jakości świadczeń ochrony zdrowia</w:t>
            </w:r>
          </w:p>
        </w:tc>
        <w:tc>
          <w:tcPr>
            <w:tcW w:w="5103"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40129FA5" w14:textId="77777777">
            <w:pPr>
              <w:spacing w:after="0" w:line="240" w:lineRule="auto"/>
              <w:rPr>
                <w:rFonts w:cs="Calibri"/>
                <w:color w:val="000000"/>
                <w:sz w:val="20"/>
                <w:szCs w:val="20"/>
                <w:lang w:eastAsia="pl-PL"/>
              </w:rPr>
            </w:pPr>
            <w:r w:rsidRPr="00D65C47">
              <w:rPr>
                <w:rFonts w:cs="Calibri"/>
                <w:color w:val="000000"/>
                <w:sz w:val="20"/>
                <w:szCs w:val="20"/>
                <w:lang w:eastAsia="pl-PL"/>
              </w:rPr>
              <w:t>W ramach kryterium oceniane będzie czy projekt pozytywnie wpływa na poprawę dostępu do świadczeń opieki zdrowotnej. Oceniany będzie stopień, w jakim projekt przyczynia się do zwiększenia dostępności do wysokiej jakości opieki zdrowotnej, w tym również poprzez działania projakościowe (standardy opieki, monitorowanie potrzeb zdrowotnych, wprowadzanie rozwiązań służących efektywnej koordynacji procesu leczenia) - czy realizacja projektu faktycznie przełoży się na zmniejszenie kolejek oczekujących na dane świadczenie medyczne, skróci się czas oczekiwania na dane świadczenie medyczne, czy nastąpi zmniejszenie liczby osób oczekujących na objęcie świadczeniami opieki zdrowotnej finansowanymi ze środków publicznych dłużej niż wynosi średni czas oczekiwania na objęcie danym zakresem świadczeń w roku/kwartale/ miesiącu poprzedzającym uruchomienie konkursu/ rozpoczęciem projektu, etc. Oceniane będzie zwiększenie dostępności do świadczeń zdrowotnych mierzone poprzez m.in. odniesienie się do stopnia wykorzystania łóżek szpitalnych, oczekiwanego skrócenie czasu hospitalizacji, poprawa wskaźnika "przelotowości" tj. liczby osób leczonych w ciągu roku przypadających na 1 łóżko szpitalne</w:t>
            </w: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3EFC6969" w14:textId="77777777">
            <w:pPr>
              <w:spacing w:after="0" w:line="240" w:lineRule="auto"/>
              <w:rPr>
                <w:rFonts w:cs="Calibri"/>
                <w:color w:val="000000"/>
                <w:sz w:val="20"/>
                <w:szCs w:val="20"/>
                <w:lang w:eastAsia="pl-PL"/>
              </w:rPr>
            </w:pPr>
            <w:r w:rsidRPr="00D65C47">
              <w:rPr>
                <w:rFonts w:cs="Calibri"/>
                <w:color w:val="000000"/>
                <w:sz w:val="20"/>
                <w:szCs w:val="20"/>
                <w:lang w:eastAsia="pl-PL"/>
              </w:rPr>
              <w:t>merytoryczne</w:t>
            </w:r>
          </w:p>
        </w:tc>
        <w:tc>
          <w:tcPr>
            <w:tcW w:w="3686" w:type="dxa"/>
            <w:tcBorders>
              <w:top w:val="single" w:color="auto" w:sz="4" w:space="0"/>
              <w:left w:val="single" w:color="auto" w:sz="4" w:space="0"/>
              <w:bottom w:val="single" w:color="auto" w:sz="4" w:space="0"/>
              <w:right w:val="single" w:color="auto" w:sz="4" w:space="0"/>
            </w:tcBorders>
          </w:tcPr>
          <w:p w:rsidRPr="00D65C47" w:rsidR="00D65C47" w:rsidRDefault="00D65C47" w14:paraId="17D5F303" w14:textId="77777777">
            <w:pPr>
              <w:spacing w:after="0" w:line="240" w:lineRule="auto"/>
              <w:rPr>
                <w:rFonts w:cs="Calibri"/>
                <w:color w:val="000000"/>
                <w:sz w:val="20"/>
                <w:szCs w:val="20"/>
                <w:lang w:eastAsia="pl-PL"/>
              </w:rPr>
            </w:pPr>
            <w:r w:rsidRPr="00D65C47">
              <w:rPr>
                <w:rFonts w:cs="Calibri"/>
                <w:color w:val="000000"/>
                <w:sz w:val="20"/>
                <w:szCs w:val="20"/>
                <w:lang w:eastAsia="pl-PL"/>
              </w:rPr>
              <w:t>skala punktowa: 0-4</w:t>
            </w:r>
            <w:r w:rsidRPr="00D65C47">
              <w:rPr>
                <w:rFonts w:cs="Calibri"/>
                <w:color w:val="000000"/>
                <w:sz w:val="20"/>
                <w:szCs w:val="20"/>
                <w:lang w:eastAsia="pl-PL"/>
              </w:rPr>
              <w:br/>
            </w:r>
            <w:r w:rsidRPr="00D65C47">
              <w:rPr>
                <w:rFonts w:cs="Calibri"/>
                <w:color w:val="000000"/>
                <w:sz w:val="20"/>
                <w:szCs w:val="20"/>
                <w:lang w:eastAsia="pl-PL"/>
              </w:rPr>
              <w:br/>
            </w:r>
            <w:r w:rsidRPr="00D65C47">
              <w:rPr>
                <w:rFonts w:cs="Calibri"/>
                <w:color w:val="000000"/>
                <w:sz w:val="20"/>
                <w:szCs w:val="20"/>
                <w:lang w:eastAsia="pl-PL"/>
              </w:rPr>
              <w:t>Kryterium oceniane poprzez wiedzę ekspercką w zależności od stopnia efektywności projektu, poprzez wyczerpujące uzasadnienie stopnia spełnienia przedmiotowego kryterium</w:t>
            </w:r>
          </w:p>
          <w:p w:rsidRPr="00D65C47" w:rsidR="00D65C47" w:rsidRDefault="00D65C47" w14:paraId="72A3D3EC" w14:textId="77777777">
            <w:pPr>
              <w:spacing w:after="0" w:line="240" w:lineRule="auto"/>
              <w:rPr>
                <w:rFonts w:cs="Calibri"/>
                <w:color w:val="000000"/>
                <w:sz w:val="20"/>
                <w:szCs w:val="20"/>
                <w:lang w:eastAsia="pl-PL"/>
              </w:rPr>
            </w:pPr>
          </w:p>
          <w:p w:rsidRPr="00D65C47" w:rsidR="00D65C47" w:rsidRDefault="00D65C47" w14:paraId="6C823245" w14:textId="77777777">
            <w:pPr>
              <w:spacing w:after="0" w:line="240" w:lineRule="auto"/>
              <w:rPr>
                <w:rFonts w:cs="Calibri"/>
                <w:color w:val="000000"/>
                <w:sz w:val="20"/>
                <w:szCs w:val="20"/>
                <w:lang w:eastAsia="pl-PL"/>
              </w:rPr>
            </w:pPr>
            <w:r w:rsidRPr="00D65C47">
              <w:rPr>
                <w:rFonts w:cs="Calibri"/>
                <w:color w:val="000000"/>
                <w:sz w:val="20"/>
                <w:szCs w:val="20"/>
                <w:lang w:eastAsia="pl-PL"/>
              </w:rPr>
              <w:t>(przy czym 0 pkt. oznacza, że projekt nie wpływa na spełnienie kryterium; 4 pkt. - spełnia w stopniu maksymalnym).</w:t>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3373CCB1" w14:textId="77777777">
            <w:pPr>
              <w:spacing w:after="0" w:line="240" w:lineRule="auto"/>
              <w:rPr>
                <w:rFonts w:cs="Calibri"/>
                <w:color w:val="000000"/>
                <w:sz w:val="20"/>
                <w:szCs w:val="20"/>
                <w:lang w:eastAsia="pl-PL"/>
              </w:rPr>
            </w:pPr>
            <w:r w:rsidRPr="00D65C47">
              <w:rPr>
                <w:rFonts w:cs="Calibri"/>
                <w:color w:val="000000"/>
                <w:sz w:val="20"/>
                <w:szCs w:val="20"/>
                <w:lang w:eastAsia="pl-PL"/>
              </w:rPr>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06966047" w14:textId="77777777">
            <w:pPr>
              <w:spacing w:after="0" w:line="240" w:lineRule="auto"/>
              <w:rPr>
                <w:rFonts w:cs="Calibri"/>
                <w:color w:val="000000"/>
                <w:sz w:val="20"/>
                <w:szCs w:val="20"/>
                <w:lang w:eastAsia="pl-PL"/>
              </w:rPr>
            </w:pPr>
            <w:r w:rsidRPr="00D65C47">
              <w:rPr>
                <w:rFonts w:cs="Calibri"/>
                <w:color w:val="000000"/>
                <w:sz w:val="20"/>
                <w:szCs w:val="20"/>
                <w:lang w:eastAsia="pl-PL"/>
              </w:rPr>
              <w:t>2,5</w:t>
            </w:r>
          </w:p>
        </w:tc>
      </w:tr>
      <w:tr w:rsidRPr="00D65C47" w:rsidR="00D65C47" w:rsidTr="00D65C47" w14:paraId="0CE1ABFB"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00D65C47" w:rsidRDefault="00D65C47" w14:paraId="4BC6DBBF" w14:textId="77777777">
            <w:pPr>
              <w:spacing w:after="0" w:line="240" w:lineRule="auto"/>
              <w:rPr>
                <w:sz w:val="20"/>
                <w:szCs w:val="20"/>
                <w:lang w:eastAsia="pl-PL"/>
              </w:rPr>
            </w:pPr>
            <w:r w:rsidRPr="00D65C47">
              <w:rPr>
                <w:rFonts w:cs="Calibri"/>
                <w:sz w:val="20"/>
                <w:szCs w:val="20"/>
                <w:lang w:eastAsia="pl-PL"/>
              </w:rPr>
              <w:lastRenderedPageBreak/>
              <w:t>6.</w:t>
            </w:r>
          </w:p>
        </w:tc>
        <w:tc>
          <w:tcPr>
            <w:tcW w:w="1984"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0D0B940D" w14:textId="77777777">
            <w:pPr>
              <w:spacing w:after="0" w:line="240" w:lineRule="auto"/>
              <w:rPr>
                <w:rFonts w:cs="Calibri"/>
                <w:sz w:val="20"/>
                <w:szCs w:val="20"/>
                <w:lang w:eastAsia="pl-PL"/>
              </w:rPr>
            </w:pPr>
          </w:p>
          <w:p w:rsidRPr="00D65C47" w:rsidR="00D65C47" w:rsidRDefault="00D65C47" w14:paraId="379C873A" w14:textId="77777777">
            <w:pPr>
              <w:spacing w:after="0" w:line="240" w:lineRule="auto"/>
              <w:rPr>
                <w:rFonts w:cs="Calibri"/>
                <w:sz w:val="20"/>
                <w:szCs w:val="20"/>
                <w:lang w:eastAsia="pl-PL"/>
              </w:rPr>
            </w:pPr>
            <w:proofErr w:type="spellStart"/>
            <w:r w:rsidRPr="00D65C47">
              <w:rPr>
                <w:rFonts w:cs="Calibri"/>
                <w:sz w:val="20"/>
                <w:szCs w:val="20"/>
                <w:lang w:eastAsia="pl-PL"/>
              </w:rPr>
              <w:t>Zdeinstytucjonalizowane</w:t>
            </w:r>
            <w:proofErr w:type="spellEnd"/>
            <w:r w:rsidRPr="00D65C47">
              <w:rPr>
                <w:rFonts w:cs="Calibri"/>
                <w:sz w:val="20"/>
                <w:szCs w:val="20"/>
                <w:lang w:eastAsia="pl-PL"/>
              </w:rPr>
              <w:t xml:space="preserve"> formy opieki</w:t>
            </w:r>
          </w:p>
        </w:tc>
        <w:tc>
          <w:tcPr>
            <w:tcW w:w="5103"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3CE89B3E" w14:textId="77777777">
            <w:pPr>
              <w:spacing w:after="0" w:line="240" w:lineRule="auto"/>
              <w:rPr>
                <w:rFonts w:cs="Calibri"/>
                <w:sz w:val="20"/>
                <w:szCs w:val="20"/>
                <w:lang w:eastAsia="pl-PL"/>
              </w:rPr>
            </w:pPr>
            <w:r w:rsidRPr="00D65C47">
              <w:rPr>
                <w:rFonts w:cs="Calibri"/>
                <w:sz w:val="20"/>
                <w:szCs w:val="20"/>
                <w:lang w:eastAsia="pl-PL"/>
              </w:rPr>
              <w:t xml:space="preserve">W ramach przedmiotowego kryterium weryfikowane będzie czy projekt zakłada działania ukierunkowane na rozwój </w:t>
            </w:r>
            <w:proofErr w:type="spellStart"/>
            <w:r w:rsidRPr="00D65C47">
              <w:rPr>
                <w:rFonts w:cs="Calibri"/>
                <w:sz w:val="20"/>
                <w:szCs w:val="20"/>
                <w:lang w:eastAsia="pl-PL"/>
              </w:rPr>
              <w:t>zdeinstytucjonalizowanych</w:t>
            </w:r>
            <w:proofErr w:type="spellEnd"/>
            <w:r w:rsidRPr="00D65C47">
              <w:rPr>
                <w:rFonts w:cs="Calibri"/>
                <w:sz w:val="20"/>
                <w:szCs w:val="20"/>
                <w:lang w:eastAsia="pl-PL"/>
              </w:rPr>
              <w:t xml:space="preserve"> form opieki nad pacjentem, w szczególności środowiskowych form opieki</w:t>
            </w:r>
            <w:r w:rsidRPr="00D65C47">
              <w:rPr>
                <w:rStyle w:val="Odwoanieprzypisudolnego"/>
                <w:rFonts w:cs="Calibri"/>
              </w:rPr>
              <w:footnoteReference w:id="9"/>
            </w:r>
            <w:r w:rsidRPr="00D65C47">
              <w:rPr>
                <w:rFonts w:cs="Calibri"/>
                <w:sz w:val="20"/>
                <w:szCs w:val="20"/>
                <w:lang w:eastAsia="pl-PL"/>
              </w:rPr>
              <w:t xml:space="preserve"> (tj. czy projekt zawiera działania mające na celu przejście od opieki instytucjonalnej do środowiskowej zgodnie z “Ogólnoeuropejskimi wytycznymi dotyczącymi przejścia od opieki instytucjonalnej do opieki świadczonej na poziomie lokalnych społeczności “ oraz z “Krajowym Programem Przeciwdziałania Ubóstwu i Wykluczeniu Społecznemu 2020”). </w:t>
            </w: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53FC1E94" w14:textId="77777777">
            <w:pPr>
              <w:spacing w:after="0" w:line="240" w:lineRule="auto"/>
              <w:rPr>
                <w:rFonts w:cs="Calibri"/>
                <w:sz w:val="20"/>
                <w:szCs w:val="20"/>
                <w:lang w:eastAsia="pl-PL"/>
              </w:rPr>
            </w:pPr>
            <w:r w:rsidRPr="00D65C47">
              <w:rPr>
                <w:rFonts w:cs="Calibri"/>
                <w:sz w:val="20"/>
                <w:szCs w:val="20"/>
                <w:lang w:eastAsia="pl-PL"/>
              </w:rPr>
              <w:t>merytoryczne</w:t>
            </w:r>
          </w:p>
        </w:tc>
        <w:tc>
          <w:tcPr>
            <w:tcW w:w="3686" w:type="dxa"/>
            <w:tcBorders>
              <w:top w:val="single" w:color="auto" w:sz="4" w:space="0"/>
              <w:left w:val="single" w:color="auto" w:sz="4" w:space="0"/>
              <w:bottom w:val="single" w:color="auto" w:sz="4" w:space="0"/>
              <w:right w:val="single" w:color="auto" w:sz="4" w:space="0"/>
            </w:tcBorders>
          </w:tcPr>
          <w:p w:rsidRPr="00D65C47" w:rsidR="00D65C47" w:rsidRDefault="00D65C47" w14:paraId="1490DBF0" w14:textId="77777777">
            <w:pPr>
              <w:spacing w:after="0" w:line="240" w:lineRule="auto"/>
              <w:rPr>
                <w:rFonts w:cs="Calibri"/>
                <w:sz w:val="20"/>
                <w:szCs w:val="20"/>
                <w:lang w:eastAsia="pl-PL"/>
              </w:rPr>
            </w:pPr>
            <w:r w:rsidRPr="00D65C47">
              <w:rPr>
                <w:rFonts w:cs="Calibri"/>
                <w:sz w:val="20"/>
                <w:szCs w:val="20"/>
                <w:lang w:eastAsia="pl-PL"/>
              </w:rPr>
              <w:t>skala punktowa: 0-4</w:t>
            </w:r>
            <w:r>
              <w:br/>
            </w:r>
            <w:r>
              <w:br/>
            </w:r>
            <w:r w:rsidRPr="00D65C47">
              <w:rPr>
                <w:rFonts w:cs="Calibri"/>
                <w:sz w:val="20"/>
                <w:szCs w:val="20"/>
                <w:lang w:eastAsia="pl-PL"/>
              </w:rPr>
              <w:t>Kryterium oceniane poprzez wiedzę ekspercką w zależności od stopnia efektywności projektu, poprzez wyczerpujące uzasadnienie stopnia spełnienia przedmiotowego kryterium</w:t>
            </w:r>
          </w:p>
          <w:p w:rsidRPr="00D65C47" w:rsidR="00D65C47" w:rsidRDefault="00D65C47" w14:paraId="0E27B00A" w14:textId="77777777">
            <w:pPr>
              <w:spacing w:after="0" w:line="240" w:lineRule="auto"/>
              <w:rPr>
                <w:rFonts w:cs="Calibri"/>
                <w:sz w:val="20"/>
                <w:szCs w:val="20"/>
                <w:lang w:eastAsia="pl-PL"/>
              </w:rPr>
            </w:pPr>
          </w:p>
          <w:p w:rsidRPr="00D65C47" w:rsidR="00D65C47" w:rsidRDefault="00D65C47" w14:paraId="6494494B" w14:textId="77777777">
            <w:pPr>
              <w:spacing w:after="0" w:line="240" w:lineRule="auto"/>
              <w:rPr>
                <w:rFonts w:cs="Calibri"/>
                <w:sz w:val="20"/>
                <w:szCs w:val="20"/>
                <w:lang w:eastAsia="pl-PL"/>
              </w:rPr>
            </w:pPr>
            <w:r w:rsidRPr="00D65C47">
              <w:rPr>
                <w:rFonts w:cs="Calibri"/>
                <w:sz w:val="20"/>
                <w:szCs w:val="20"/>
                <w:lang w:eastAsia="pl-PL"/>
              </w:rPr>
              <w:t>(przy czym 0 pkt. oznacza, że projekt nie wpływa na spełnienie kryterium; 4 pkt. - spełnia w stopniu maksymalnym).</w:t>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238766F9" w14:textId="77777777">
            <w:pPr>
              <w:spacing w:after="0" w:line="240" w:lineRule="auto"/>
              <w:rPr>
                <w:rFonts w:cs="Calibri"/>
                <w:sz w:val="20"/>
                <w:szCs w:val="20"/>
                <w:lang w:eastAsia="pl-PL"/>
              </w:rPr>
            </w:pPr>
            <w:r w:rsidRPr="00D65C47">
              <w:rPr>
                <w:rFonts w:cs="Calibri"/>
                <w:sz w:val="20"/>
                <w:szCs w:val="20"/>
                <w:lang w:eastAsia="pl-PL"/>
              </w:rPr>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14D92B74" w14:textId="77777777">
            <w:pPr>
              <w:spacing w:after="0" w:line="240" w:lineRule="auto"/>
              <w:rPr>
                <w:rFonts w:cs="Calibri"/>
                <w:sz w:val="20"/>
                <w:szCs w:val="20"/>
                <w:lang w:eastAsia="pl-PL"/>
              </w:rPr>
            </w:pPr>
            <w:r w:rsidRPr="00D65C47">
              <w:rPr>
                <w:rFonts w:cs="Calibri"/>
                <w:sz w:val="20"/>
                <w:szCs w:val="20"/>
                <w:lang w:eastAsia="pl-PL"/>
              </w:rPr>
              <w:t>3,5</w:t>
            </w:r>
          </w:p>
        </w:tc>
      </w:tr>
      <w:tr w:rsidRPr="00D65C47" w:rsidR="00D65C47" w:rsidTr="00D65C47" w14:paraId="570F9A82"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45CB103B" w14:textId="77777777">
            <w:pPr>
              <w:spacing w:after="0" w:line="240" w:lineRule="auto"/>
              <w:rPr>
                <w:color w:val="000000"/>
                <w:sz w:val="20"/>
                <w:szCs w:val="20"/>
                <w:lang w:eastAsia="pl-PL"/>
              </w:rPr>
            </w:pPr>
            <w:r w:rsidRPr="00D65C47">
              <w:rPr>
                <w:rFonts w:cs="Calibri"/>
                <w:color w:val="000000"/>
                <w:sz w:val="20"/>
                <w:szCs w:val="20"/>
                <w:lang w:eastAsia="pl-PL"/>
              </w:rPr>
              <w:t>7.</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6D343137" w14:textId="77777777">
            <w:pPr>
              <w:spacing w:after="0" w:line="240" w:lineRule="auto"/>
              <w:rPr>
                <w:rFonts w:cs="Calibri"/>
                <w:color w:val="000000"/>
                <w:sz w:val="20"/>
                <w:szCs w:val="20"/>
                <w:lang w:eastAsia="pl-PL"/>
              </w:rPr>
            </w:pPr>
            <w:r w:rsidRPr="00D65C47">
              <w:rPr>
                <w:rFonts w:cs="Calibri"/>
                <w:color w:val="000000"/>
                <w:sz w:val="20"/>
                <w:szCs w:val="20"/>
                <w:lang w:eastAsia="pl-PL"/>
              </w:rPr>
              <w:t>Zgodność projektu ze strategicznym podejściem wspierania sektora ochrony zdrowia</w:t>
            </w:r>
          </w:p>
        </w:tc>
        <w:tc>
          <w:tcPr>
            <w:tcW w:w="5103"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57C8A4A4"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W ramach kryterium weryfikowane będzie: </w:t>
            </w:r>
          </w:p>
          <w:p w:rsidRPr="00D65C47" w:rsidR="00D65C47" w:rsidRDefault="00D65C47" w14:paraId="60061E4C" w14:textId="77777777">
            <w:pPr>
              <w:spacing w:after="0" w:line="240" w:lineRule="auto"/>
              <w:rPr>
                <w:color w:val="000000"/>
                <w:sz w:val="20"/>
                <w:szCs w:val="20"/>
                <w:lang w:eastAsia="pl-PL"/>
              </w:rPr>
            </w:pPr>
          </w:p>
          <w:p w:rsidRPr="00D65C47" w:rsidR="00D65C47" w:rsidP="00D65C47" w:rsidRDefault="00D65C47" w14:paraId="37CEC650" w14:textId="77777777">
            <w:pPr>
              <w:pStyle w:val="Akapitzlist"/>
              <w:numPr>
                <w:ilvl w:val="0"/>
                <w:numId w:val="26"/>
              </w:numPr>
              <w:spacing w:after="0" w:line="240" w:lineRule="auto"/>
              <w:ind w:left="124" w:hanging="124"/>
              <w:rPr>
                <w:rFonts w:cs="Calibri"/>
                <w:color w:val="000000"/>
                <w:sz w:val="20"/>
                <w:szCs w:val="20"/>
                <w:lang w:eastAsia="pl-PL"/>
              </w:rPr>
            </w:pPr>
            <w:r w:rsidRPr="00D65C47">
              <w:rPr>
                <w:color w:val="000000"/>
                <w:sz w:val="20"/>
                <w:szCs w:val="20"/>
                <w:lang w:eastAsia="pl-PL"/>
              </w:rPr>
              <w:t xml:space="preserve">Zwiększenie jakości lub dostępności diagnostyki i leczenia pacjentów w warunkach ambulatoryjnych lub czy </w:t>
            </w:r>
            <w:r w:rsidRPr="00D65C47">
              <w:rPr>
                <w:rFonts w:cs="Calibri"/>
                <w:color w:val="000000"/>
                <w:sz w:val="20"/>
                <w:szCs w:val="20"/>
                <w:lang w:eastAsia="pl-PL"/>
              </w:rPr>
              <w:t>projekt zakłada wykorzystanie zakupionych w projekcie wyrobów medycznych do udzielania świadczeń opieki zdrowotnej finansowanych ze środków publicznych w zakresie AOS,</w:t>
            </w:r>
          </w:p>
          <w:p w:rsidRPr="00D65C47" w:rsidR="00D65C47" w:rsidP="00D65C47" w:rsidRDefault="00D65C47" w14:paraId="14550AB8" w14:textId="77777777">
            <w:pPr>
              <w:pStyle w:val="Akapitzlist"/>
              <w:numPr>
                <w:ilvl w:val="0"/>
                <w:numId w:val="26"/>
              </w:numPr>
              <w:spacing w:after="0" w:line="240" w:lineRule="auto"/>
              <w:ind w:left="124" w:hanging="124"/>
              <w:rPr>
                <w:rFonts w:cs="Calibri"/>
                <w:color w:val="000000"/>
                <w:sz w:val="20"/>
                <w:szCs w:val="20"/>
                <w:lang w:eastAsia="pl-PL"/>
              </w:rPr>
            </w:pPr>
            <w:r w:rsidRPr="00D65C47">
              <w:rPr>
                <w:rFonts w:cs="Calibri"/>
                <w:color w:val="000000"/>
                <w:sz w:val="20"/>
                <w:szCs w:val="20"/>
                <w:lang w:eastAsia="pl-PL"/>
              </w:rPr>
              <w:t xml:space="preserve">czy projekt przewiduje działania konsolidacyjne i inne formy współpracy podmiotów leczniczych, </w:t>
            </w:r>
          </w:p>
          <w:p w:rsidRPr="00D65C47" w:rsidR="00D65C47" w:rsidP="00D65C47" w:rsidRDefault="00D65C47" w14:paraId="35B8F5AC" w14:textId="77777777">
            <w:pPr>
              <w:pStyle w:val="Akapitzlist"/>
              <w:numPr>
                <w:ilvl w:val="0"/>
                <w:numId w:val="26"/>
              </w:numPr>
              <w:spacing w:after="0" w:line="240" w:lineRule="auto"/>
              <w:ind w:left="124" w:hanging="124"/>
              <w:rPr>
                <w:rFonts w:eastAsia="Times New Roman"/>
                <w:color w:val="000000"/>
                <w:sz w:val="20"/>
                <w:szCs w:val="20"/>
                <w:lang w:eastAsia="pl-PL"/>
              </w:rPr>
            </w:pPr>
            <w:r w:rsidRPr="00D65C47">
              <w:rPr>
                <w:rFonts w:cs="Calibri"/>
                <w:color w:val="000000"/>
                <w:sz w:val="20"/>
                <w:szCs w:val="20"/>
                <w:lang w:eastAsia="pl-PL"/>
              </w:rPr>
              <w:t xml:space="preserve">czy projekt realizowany jest przez podmiot leczniczy posiadający program restrukturyzacji zatwierdzony przez podmiot tworzący, zaktualizowany w oparciu o dane wynikające z mapy potrzeb zdrowotnych, zawierający działania prowadzące do poprawy ich efektywności, </w:t>
            </w:r>
          </w:p>
          <w:p w:rsidRPr="00D65C47" w:rsidR="00D65C47" w:rsidP="00D65C47" w:rsidRDefault="00D65C47" w14:paraId="45596306" w14:textId="77777777">
            <w:pPr>
              <w:pStyle w:val="Akapitzlist"/>
              <w:numPr>
                <w:ilvl w:val="0"/>
                <w:numId w:val="26"/>
              </w:numPr>
              <w:spacing w:after="0" w:line="240" w:lineRule="auto"/>
              <w:ind w:left="124" w:hanging="124"/>
              <w:rPr>
                <w:rFonts w:eastAsia="Times New Roman"/>
                <w:color w:val="000000"/>
                <w:sz w:val="20"/>
                <w:szCs w:val="20"/>
                <w:lang w:eastAsia="pl-PL"/>
              </w:rPr>
            </w:pPr>
            <w:r w:rsidRPr="00D65C47">
              <w:rPr>
                <w:rFonts w:cs="Calibri"/>
                <w:color w:val="000000"/>
                <w:sz w:val="20"/>
                <w:szCs w:val="20"/>
                <w:lang w:eastAsia="pl-PL"/>
              </w:rPr>
              <w:t>zapewnienie lub zobowiązanie się do zapewnienia w wyniku realizacji projektu dostępu do różnorodnych form opieki rehabilitacyjnej</w:t>
            </w:r>
            <w:r>
              <w:rPr>
                <w:vertAlign w:val="superscript"/>
                <w:lang w:eastAsia="pl-PL"/>
              </w:rPr>
              <w:footnoteReference w:id="10"/>
            </w:r>
            <w:r w:rsidRPr="00D65C47">
              <w:rPr>
                <w:rFonts w:cs="Calibri"/>
                <w:color w:val="000000"/>
                <w:sz w:val="20"/>
                <w:szCs w:val="20"/>
                <w:lang w:eastAsia="pl-PL"/>
              </w:rPr>
              <w:t>.</w:t>
            </w:r>
          </w:p>
          <w:p w:rsidRPr="00D65C47" w:rsidR="00D65C47" w:rsidRDefault="00D65C47" w14:paraId="44EAFD9C" w14:textId="77777777">
            <w:pPr>
              <w:spacing w:after="0" w:line="240" w:lineRule="auto"/>
              <w:rPr>
                <w:rFonts w:eastAsia="Times New Roman" w:cs="Calibri"/>
                <w:color w:val="000000"/>
                <w:sz w:val="20"/>
                <w:szCs w:val="20"/>
                <w:lang w:eastAsia="pl-PL"/>
              </w:rPr>
            </w:pP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01C5BE41" w14:textId="77777777">
            <w:pPr>
              <w:spacing w:after="0" w:line="240" w:lineRule="auto"/>
              <w:rPr>
                <w:rFonts w:cs="Calibri"/>
                <w:color w:val="000000"/>
                <w:sz w:val="20"/>
                <w:szCs w:val="20"/>
                <w:lang w:eastAsia="pl-PL"/>
              </w:rPr>
            </w:pPr>
            <w:r w:rsidRPr="00D65C47">
              <w:rPr>
                <w:rFonts w:cs="Calibri"/>
                <w:color w:val="000000"/>
                <w:sz w:val="20"/>
                <w:szCs w:val="20"/>
                <w:lang w:eastAsia="pl-PL"/>
              </w:rPr>
              <w:t>merytoryczne</w:t>
            </w:r>
          </w:p>
        </w:tc>
        <w:tc>
          <w:tcPr>
            <w:tcW w:w="3686" w:type="dxa"/>
            <w:tcBorders>
              <w:top w:val="single" w:color="auto" w:sz="4" w:space="0"/>
              <w:left w:val="single" w:color="auto" w:sz="4" w:space="0"/>
              <w:bottom w:val="single" w:color="auto" w:sz="4" w:space="0"/>
              <w:right w:val="single" w:color="auto" w:sz="4" w:space="0"/>
            </w:tcBorders>
          </w:tcPr>
          <w:p w:rsidRPr="00D65C47" w:rsidR="00D65C47" w:rsidRDefault="00D65C47" w14:paraId="6EE111AF" w14:textId="77777777">
            <w:pPr>
              <w:spacing w:after="0" w:line="240" w:lineRule="auto"/>
              <w:rPr>
                <w:rFonts w:cs="Calibri"/>
                <w:color w:val="000000"/>
                <w:sz w:val="20"/>
                <w:szCs w:val="20"/>
                <w:lang w:eastAsia="pl-PL"/>
              </w:rPr>
            </w:pPr>
            <w:r w:rsidRPr="00D65C47">
              <w:rPr>
                <w:rFonts w:cs="Calibri"/>
                <w:color w:val="000000"/>
                <w:sz w:val="20"/>
                <w:szCs w:val="20"/>
                <w:lang w:eastAsia="pl-PL"/>
              </w:rPr>
              <w:t>skala punktowa: 0-4</w:t>
            </w:r>
            <w:r>
              <w:br/>
            </w:r>
            <w:r>
              <w:br/>
            </w:r>
            <w:r w:rsidRPr="00D65C47">
              <w:rPr>
                <w:rFonts w:cs="Calibri"/>
                <w:color w:val="000000"/>
                <w:sz w:val="20"/>
                <w:szCs w:val="20"/>
                <w:lang w:eastAsia="pl-PL"/>
              </w:rPr>
              <w:t>projekt otrzymuje po jednym punkcie za:</w:t>
            </w:r>
            <w:r>
              <w:br/>
            </w:r>
            <w:r w:rsidRPr="00D65C47">
              <w:rPr>
                <w:rFonts w:cs="Calibri"/>
                <w:color w:val="000000"/>
                <w:sz w:val="20"/>
                <w:szCs w:val="20"/>
                <w:lang w:eastAsia="pl-PL"/>
              </w:rPr>
              <w:t xml:space="preserve">1 pkt -  </w:t>
            </w:r>
            <w:r w:rsidRPr="00D65C47">
              <w:rPr>
                <w:color w:val="000000"/>
                <w:sz w:val="20"/>
                <w:szCs w:val="20"/>
                <w:lang w:eastAsia="pl-PL"/>
              </w:rPr>
              <w:t>Zwiększenie jakości lub dostępności diagnostyki i leczenia pacjentów w warunkach ambulatoryjnych</w:t>
            </w:r>
            <w:r w:rsidRPr="00D65C47">
              <w:rPr>
                <w:rFonts w:cs="Calibri"/>
                <w:color w:val="000000"/>
                <w:sz w:val="20"/>
                <w:szCs w:val="20"/>
                <w:lang w:eastAsia="pl-PL"/>
              </w:rPr>
              <w:t xml:space="preserve"> / </w:t>
            </w:r>
            <w:r w:rsidRPr="00D65C47">
              <w:rPr>
                <w:rFonts w:cs="Calibri"/>
                <w:sz w:val="20"/>
                <w:szCs w:val="20"/>
                <w:lang w:eastAsia="pl-PL"/>
              </w:rPr>
              <w:t>czy projekt zakłada wykorzystanie zakupionych w projekcie wyrobów medycznych do udzielania świadczeń opieki zdrowotnej finansowanych ze środków publicznych w zakresie AOS.</w:t>
            </w:r>
          </w:p>
          <w:p w:rsidRPr="00D65C47" w:rsidR="00D65C47" w:rsidRDefault="00D65C47" w14:paraId="29D6B04F"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 </w:t>
            </w:r>
          </w:p>
          <w:p w:rsidRPr="00D65C47" w:rsidR="00D65C47" w:rsidRDefault="00D65C47" w14:paraId="1FCAA9E6" w14:textId="77777777">
            <w:pPr>
              <w:spacing w:after="0" w:line="240" w:lineRule="auto"/>
              <w:rPr>
                <w:rFonts w:cs="Calibri"/>
                <w:color w:val="000000"/>
                <w:sz w:val="20"/>
                <w:szCs w:val="20"/>
                <w:lang w:eastAsia="pl-PL"/>
              </w:rPr>
            </w:pPr>
            <w:r w:rsidRPr="00D65C47">
              <w:rPr>
                <w:rFonts w:cs="Calibri"/>
                <w:color w:val="000000"/>
                <w:sz w:val="20"/>
                <w:szCs w:val="20"/>
                <w:lang w:eastAsia="pl-PL"/>
              </w:rPr>
              <w:t>1 pkt - projekt przewiduje działania konsolidacyjne lub inne formy współpracy z podmiotami udzielającymi świadczeń opieki zdrowotnej finansowanych ze środków publicznych, w tym w ramach modelu opieki koordynowanej,;</w:t>
            </w:r>
          </w:p>
          <w:p w:rsidRPr="00D65C47" w:rsidR="00D65C47" w:rsidRDefault="00D65C47" w14:paraId="4B94D5A5" w14:textId="77777777">
            <w:pPr>
              <w:spacing w:after="0" w:line="240" w:lineRule="auto"/>
              <w:rPr>
                <w:rFonts w:cs="Calibri"/>
                <w:color w:val="000000"/>
                <w:sz w:val="20"/>
                <w:szCs w:val="20"/>
                <w:lang w:eastAsia="pl-PL"/>
              </w:rPr>
            </w:pPr>
          </w:p>
          <w:p w:rsidRPr="00D65C47" w:rsidR="00D65C47" w:rsidRDefault="00D65C47" w14:paraId="3D685A98"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 xml:space="preserve">1 pkt -  projekt realizowany jest przez podmiot leczniczy posiadający program restrukturyzacji zatwierdzony przez podmiot tworzący, zaktualizowany w oparciu o dane wynikające z mapy potrzeb zdrowotnych, zawierający działania prowadzące do poprawy ich efektywności; </w:t>
            </w:r>
          </w:p>
          <w:p w:rsidRPr="00D65C47" w:rsidR="00D65C47" w:rsidRDefault="00D65C47" w14:paraId="3DEEC669" w14:textId="77777777">
            <w:pPr>
              <w:spacing w:after="0" w:line="240" w:lineRule="auto"/>
              <w:rPr>
                <w:rFonts w:cs="Calibri"/>
                <w:color w:val="000000"/>
                <w:sz w:val="20"/>
                <w:szCs w:val="20"/>
                <w:lang w:eastAsia="pl-PL"/>
              </w:rPr>
            </w:pPr>
          </w:p>
          <w:p w:rsidRPr="00D65C47" w:rsidR="00D65C47" w:rsidRDefault="00D65C47" w14:paraId="34678FD8" w14:textId="77777777">
            <w:pPr>
              <w:spacing w:after="0" w:line="240" w:lineRule="auto"/>
              <w:rPr>
                <w:rFonts w:cs="Calibri"/>
                <w:color w:val="000000"/>
                <w:sz w:val="20"/>
                <w:szCs w:val="20"/>
                <w:lang w:eastAsia="pl-PL"/>
              </w:rPr>
            </w:pPr>
            <w:r w:rsidRPr="00D65C47">
              <w:rPr>
                <w:rFonts w:cs="Calibri"/>
                <w:color w:val="000000"/>
                <w:sz w:val="20"/>
                <w:szCs w:val="20"/>
                <w:lang w:eastAsia="pl-PL"/>
              </w:rPr>
              <w:t>1 pkt – zapewnienie lub zobowiązanie się do zapewnienia w wyniku realizacji projektu dostępu do różnorodnych form opieki rehabilitacyjnej</w:t>
            </w:r>
            <w:r w:rsidRPr="00D65C47">
              <w:rPr>
                <w:rFonts w:cs="Calibri"/>
                <w:color w:val="000000"/>
                <w:sz w:val="20"/>
                <w:szCs w:val="20"/>
                <w:vertAlign w:val="superscript"/>
                <w:lang w:eastAsia="pl-PL"/>
              </w:rPr>
              <w:footnoteReference w:id="11"/>
            </w:r>
          </w:p>
          <w:p w:rsidRPr="00D65C47" w:rsidR="00D65C47" w:rsidRDefault="00D65C47" w14:paraId="3656B9AB" w14:textId="77777777">
            <w:pPr>
              <w:spacing w:after="0" w:line="240" w:lineRule="auto"/>
              <w:rPr>
                <w:rFonts w:cs="Calibri"/>
                <w:color w:val="000000"/>
                <w:sz w:val="20"/>
                <w:szCs w:val="20"/>
                <w:lang w:eastAsia="pl-PL"/>
              </w:rPr>
            </w:pP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93D0BF8"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18F999B5" w14:textId="77777777">
            <w:pPr>
              <w:spacing w:after="0" w:line="240" w:lineRule="auto"/>
              <w:rPr>
                <w:rFonts w:cs="Calibri"/>
                <w:color w:val="000000"/>
                <w:sz w:val="20"/>
                <w:szCs w:val="20"/>
                <w:lang w:eastAsia="pl-PL"/>
              </w:rPr>
            </w:pPr>
            <w:r w:rsidRPr="00D65C47">
              <w:rPr>
                <w:rFonts w:cs="Calibri"/>
                <w:color w:val="000000"/>
                <w:sz w:val="20"/>
                <w:szCs w:val="20"/>
                <w:lang w:eastAsia="pl-PL"/>
              </w:rPr>
              <w:t>2</w:t>
            </w:r>
          </w:p>
        </w:tc>
      </w:tr>
      <w:tr w:rsidRPr="00D65C47" w:rsidR="00D65C47" w:rsidTr="00D65C47" w14:paraId="203087BC"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3DF6D3BA" w14:textId="77777777">
            <w:pPr>
              <w:spacing w:after="0" w:line="240" w:lineRule="auto"/>
              <w:rPr>
                <w:rFonts w:cs="Calibri"/>
                <w:color w:val="000000"/>
                <w:sz w:val="20"/>
                <w:szCs w:val="20"/>
                <w:lang w:eastAsia="pl-PL"/>
              </w:rPr>
            </w:pPr>
            <w:r w:rsidRPr="00D65C47">
              <w:rPr>
                <w:rFonts w:cs="Calibri"/>
                <w:color w:val="000000"/>
                <w:sz w:val="20"/>
                <w:szCs w:val="20"/>
                <w:lang w:eastAsia="pl-PL"/>
              </w:rPr>
              <w:t>8.</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60BDE41E" w14:textId="77777777">
            <w:pPr>
              <w:spacing w:after="0" w:line="240" w:lineRule="auto"/>
              <w:rPr>
                <w:rFonts w:cs="Calibri"/>
                <w:color w:val="000000"/>
                <w:sz w:val="20"/>
                <w:szCs w:val="20"/>
                <w:lang w:eastAsia="pl-PL"/>
              </w:rPr>
            </w:pPr>
            <w:r w:rsidRPr="00D65C47">
              <w:rPr>
                <w:rFonts w:cs="Calibri"/>
                <w:color w:val="000000"/>
                <w:sz w:val="20"/>
                <w:szCs w:val="20"/>
                <w:lang w:eastAsia="pl-PL"/>
              </w:rPr>
              <w:t>Zgodność projektu dot. zakresu onkologii</w:t>
            </w:r>
            <w:r w:rsidRPr="00D65C47">
              <w:rPr>
                <w:rStyle w:val="Odwoanieprzypisudolnego"/>
                <w:rFonts w:cs="Calibri"/>
                <w:color w:val="000000"/>
              </w:rPr>
              <w:footnoteReference w:id="12"/>
            </w:r>
            <w:r w:rsidRPr="00D65C47">
              <w:rPr>
                <w:rFonts w:cs="Calibri"/>
                <w:color w:val="000000"/>
                <w:sz w:val="20"/>
                <w:szCs w:val="20"/>
                <w:lang w:eastAsia="pl-PL"/>
              </w:rPr>
              <w:t xml:space="preserve"> z wymogami specyficznymi </w:t>
            </w:r>
          </w:p>
        </w:tc>
        <w:tc>
          <w:tcPr>
            <w:tcW w:w="5103"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13123481" w14:textId="77777777">
            <w:pPr>
              <w:spacing w:after="0" w:line="240" w:lineRule="auto"/>
              <w:jc w:val="both"/>
              <w:rPr>
                <w:rFonts w:eastAsia="Times New Roman"/>
                <w:sz w:val="20"/>
                <w:szCs w:val="20"/>
              </w:rPr>
            </w:pPr>
            <w:r w:rsidRPr="00D65C47">
              <w:rPr>
                <w:rFonts w:eastAsia="Arial" w:cs="Arial"/>
                <w:color w:val="000000"/>
                <w:sz w:val="20"/>
                <w:szCs w:val="20"/>
              </w:rPr>
              <w:t>W przypadku projektów z zakresu onkologii ocenie podlegać będzie zgodność projektu z wymogami specyficznymi w zakresie :</w:t>
            </w:r>
          </w:p>
          <w:p w:rsidRPr="00D65C47" w:rsidR="00D65C47" w:rsidRDefault="00D65C47" w14:paraId="45FB0818" w14:textId="77777777">
            <w:pPr>
              <w:spacing w:after="0" w:line="240" w:lineRule="auto"/>
              <w:jc w:val="both"/>
              <w:rPr>
                <w:rFonts w:eastAsia="Times New Roman"/>
                <w:color w:val="000000"/>
                <w:sz w:val="20"/>
                <w:szCs w:val="20"/>
              </w:rPr>
            </w:pPr>
          </w:p>
          <w:p w:rsidRPr="00D65C47" w:rsidR="00D65C47" w:rsidP="00D65C47" w:rsidRDefault="00D65C47" w14:paraId="41D7F303" w14:textId="77777777">
            <w:pPr>
              <w:pStyle w:val="Akapitzlist"/>
              <w:numPr>
                <w:ilvl w:val="0"/>
                <w:numId w:val="27"/>
              </w:numPr>
              <w:spacing w:after="160" w:line="240" w:lineRule="auto"/>
              <w:rPr>
                <w:rFonts w:eastAsia="Times New Roman"/>
                <w:b/>
                <w:bCs/>
                <w:color w:val="000000"/>
                <w:sz w:val="20"/>
                <w:szCs w:val="20"/>
              </w:rPr>
            </w:pPr>
            <w:r w:rsidRPr="00D65C47">
              <w:rPr>
                <w:rFonts w:eastAsia="Arial" w:cs="Arial"/>
                <w:b/>
                <w:bCs/>
                <w:color w:val="000000"/>
                <w:sz w:val="20"/>
                <w:szCs w:val="20"/>
              </w:rPr>
              <w:t>Udziału świadczeń</w:t>
            </w:r>
            <w:r w:rsidRPr="00D65C47">
              <w:rPr>
                <w:rFonts w:eastAsia="Arial" w:cs="Arial"/>
                <w:color w:val="000000"/>
                <w:sz w:val="20"/>
                <w:szCs w:val="20"/>
              </w:rPr>
              <w:t xml:space="preserve">: w zależności od charakteru oddziału onkologicznego (zapobiegawczy albo zabiegowy) </w:t>
            </w:r>
          </w:p>
          <w:p w:rsidRPr="00D65C47" w:rsidR="00D65C47" w:rsidP="00D65C47" w:rsidRDefault="00D65C47" w14:paraId="109AE779" w14:textId="77777777">
            <w:pPr>
              <w:pStyle w:val="Akapitzlist"/>
              <w:numPr>
                <w:ilvl w:val="0"/>
                <w:numId w:val="28"/>
              </w:numPr>
              <w:spacing w:after="160" w:line="240" w:lineRule="auto"/>
              <w:ind w:left="971"/>
              <w:rPr>
                <w:rFonts w:eastAsia="Times New Roman"/>
                <w:color w:val="000000"/>
                <w:sz w:val="20"/>
                <w:szCs w:val="20"/>
              </w:rPr>
            </w:pPr>
            <w:r w:rsidRPr="00D65C47">
              <w:rPr>
                <w:rFonts w:eastAsia="Arial" w:cs="Arial"/>
                <w:color w:val="000000"/>
                <w:sz w:val="20"/>
                <w:szCs w:val="20"/>
              </w:rPr>
              <w:t xml:space="preserve">dla oddziału zabiegowego - czy w ramach projektu udział świadczeń zabiegowych we wszystkich świadczeniach udzielanych na danym oddziale zabiegowym objętym projektem wynosi powyżej 75 % . </w:t>
            </w:r>
          </w:p>
          <w:p w:rsidRPr="00D65C47" w:rsidR="00D65C47" w:rsidRDefault="00D65C47" w14:paraId="47792A7B" w14:textId="77777777">
            <w:pPr>
              <w:pStyle w:val="Akapitzlist"/>
              <w:spacing w:line="240" w:lineRule="auto"/>
              <w:rPr>
                <w:rFonts w:eastAsia="Times New Roman"/>
                <w:color w:val="000000"/>
                <w:sz w:val="20"/>
                <w:szCs w:val="20"/>
              </w:rPr>
            </w:pPr>
            <w:r w:rsidRPr="00D65C47">
              <w:rPr>
                <w:rFonts w:eastAsia="Arial" w:cs="Arial"/>
                <w:color w:val="000000"/>
                <w:sz w:val="20"/>
                <w:szCs w:val="20"/>
              </w:rPr>
              <w:t xml:space="preserve">lub </w:t>
            </w:r>
          </w:p>
          <w:p w:rsidRPr="00D65C47" w:rsidR="00D65C47" w:rsidP="00D65C47" w:rsidRDefault="00D65C47" w14:paraId="09B8CB15" w14:textId="77777777">
            <w:pPr>
              <w:pStyle w:val="Akapitzlist"/>
              <w:numPr>
                <w:ilvl w:val="0"/>
                <w:numId w:val="28"/>
              </w:numPr>
              <w:spacing w:after="160" w:line="240" w:lineRule="auto"/>
              <w:ind w:left="971"/>
              <w:rPr>
                <w:rFonts w:eastAsia="Times New Roman"/>
                <w:color w:val="000000"/>
                <w:sz w:val="20"/>
                <w:szCs w:val="20"/>
              </w:rPr>
            </w:pPr>
            <w:r w:rsidRPr="00D65C47">
              <w:rPr>
                <w:rFonts w:eastAsia="Arial" w:cs="Arial"/>
                <w:color w:val="000000"/>
                <w:sz w:val="20"/>
                <w:szCs w:val="20"/>
              </w:rPr>
              <w:t>dla oddziału zachowawczego - udział przyjęć w trybie nagłym na oddziale o charakterze zachowawczym objętym projektem we wszystkich przyjęciach wynosi powyżej 30%.</w:t>
            </w:r>
          </w:p>
          <w:p w:rsidRPr="00D65C47" w:rsidR="00D65C47" w:rsidRDefault="00D65C47" w14:paraId="049F31CB" w14:textId="77777777">
            <w:pPr>
              <w:pStyle w:val="Akapitzlist"/>
              <w:spacing w:line="240" w:lineRule="auto"/>
              <w:ind w:left="971"/>
              <w:rPr>
                <w:rFonts w:eastAsia="Times New Roman"/>
                <w:color w:val="000000"/>
                <w:sz w:val="20"/>
                <w:szCs w:val="20"/>
              </w:rPr>
            </w:pPr>
          </w:p>
          <w:p w:rsidRPr="00D65C47" w:rsidR="00D65C47" w:rsidP="00D65C47" w:rsidRDefault="00D65C47" w14:paraId="69A08608" w14:textId="77777777">
            <w:pPr>
              <w:pStyle w:val="Akapitzlist"/>
              <w:numPr>
                <w:ilvl w:val="0"/>
                <w:numId w:val="29"/>
              </w:numPr>
              <w:spacing w:after="160" w:line="240" w:lineRule="auto"/>
              <w:jc w:val="both"/>
              <w:rPr>
                <w:rFonts w:eastAsia="Times New Roman"/>
                <w:color w:val="000000"/>
                <w:sz w:val="20"/>
                <w:szCs w:val="20"/>
              </w:rPr>
            </w:pPr>
            <w:r w:rsidRPr="00D65C47">
              <w:rPr>
                <w:rFonts w:eastAsia="Arial" w:cs="Arial"/>
                <w:b/>
                <w:bCs/>
                <w:color w:val="000000"/>
                <w:sz w:val="20"/>
                <w:szCs w:val="20"/>
              </w:rPr>
              <w:t>Koncentracji zabiegów kompleksowych</w:t>
            </w:r>
            <w:r w:rsidRPr="00D65C47">
              <w:rPr>
                <w:rFonts w:eastAsia="Arial" w:cs="Arial"/>
                <w:color w:val="000000"/>
                <w:sz w:val="20"/>
                <w:szCs w:val="20"/>
              </w:rPr>
              <w:t>: czy zaplanowane w ramach projektu działania ukierunkowane są na świadczenie kompleksowej opieki zdrowotnej, tj. na wykonywanie kompleksowych zabiegów:</w:t>
            </w:r>
          </w:p>
          <w:p w:rsidRPr="00D65C47" w:rsidR="00D65C47" w:rsidRDefault="00D65C47" w14:paraId="53128261" w14:textId="77777777">
            <w:pPr>
              <w:pStyle w:val="Akapitzlist"/>
              <w:spacing w:line="240" w:lineRule="auto"/>
              <w:rPr>
                <w:rFonts w:eastAsia="Arial" w:cs="Arial"/>
                <w:color w:val="000000"/>
                <w:sz w:val="20"/>
                <w:szCs w:val="20"/>
              </w:rPr>
            </w:pPr>
          </w:p>
          <w:p w:rsidRPr="00D65C47" w:rsidR="00D65C47" w:rsidP="00D65C47" w:rsidRDefault="00D65C47" w14:paraId="70D4FBCC" w14:textId="77777777">
            <w:pPr>
              <w:pStyle w:val="Akapitzlist"/>
              <w:numPr>
                <w:ilvl w:val="0"/>
                <w:numId w:val="28"/>
              </w:numPr>
              <w:spacing w:after="160" w:line="240" w:lineRule="auto"/>
              <w:ind w:left="1113"/>
              <w:jc w:val="both"/>
              <w:rPr>
                <w:rFonts w:eastAsia="Times New Roman"/>
                <w:color w:val="000000"/>
                <w:sz w:val="20"/>
                <w:szCs w:val="20"/>
              </w:rPr>
            </w:pPr>
            <w:r w:rsidRPr="00D65C47">
              <w:rPr>
                <w:rFonts w:eastAsia="Arial" w:cs="Arial"/>
                <w:color w:val="000000"/>
                <w:sz w:val="20"/>
                <w:szCs w:val="20"/>
              </w:rPr>
              <w:t xml:space="preserve">realizacja projektu  na rzecz oddziału, który realizuje co najmniej 60 kompleksowych zabiegów rocznie (próg odcięcia) </w:t>
            </w:r>
          </w:p>
          <w:p w:rsidRPr="00D65C47" w:rsidR="00D65C47" w:rsidRDefault="00D65C47" w14:paraId="08246FBA" w14:textId="77777777">
            <w:pPr>
              <w:pStyle w:val="Akapitzlist"/>
              <w:spacing w:line="240" w:lineRule="auto"/>
              <w:jc w:val="both"/>
              <w:rPr>
                <w:rFonts w:eastAsia="Times New Roman"/>
                <w:color w:val="000000"/>
                <w:sz w:val="20"/>
                <w:szCs w:val="20"/>
              </w:rPr>
            </w:pPr>
            <w:r w:rsidRPr="00D65C47">
              <w:rPr>
                <w:rFonts w:eastAsia="Arial" w:cs="Arial"/>
                <w:color w:val="000000"/>
                <w:sz w:val="20"/>
                <w:szCs w:val="20"/>
              </w:rPr>
              <w:t xml:space="preserve">lub </w:t>
            </w:r>
          </w:p>
          <w:p w:rsidRPr="00D65C47" w:rsidR="00D65C47" w:rsidP="00D65C47" w:rsidRDefault="00D65C47" w14:paraId="0AAD7559" w14:textId="77777777">
            <w:pPr>
              <w:pStyle w:val="Akapitzlist"/>
              <w:numPr>
                <w:ilvl w:val="0"/>
                <w:numId w:val="28"/>
              </w:numPr>
              <w:spacing w:after="160" w:line="240" w:lineRule="auto"/>
              <w:ind w:left="1113"/>
              <w:jc w:val="both"/>
              <w:rPr>
                <w:rFonts w:eastAsia="Times New Roman"/>
                <w:color w:val="000000"/>
                <w:sz w:val="20"/>
                <w:szCs w:val="20"/>
              </w:rPr>
            </w:pPr>
            <w:r w:rsidRPr="00D65C47">
              <w:rPr>
                <w:rFonts w:eastAsia="Arial" w:cs="Arial"/>
                <w:color w:val="000000"/>
                <w:sz w:val="20"/>
                <w:szCs w:val="20"/>
              </w:rPr>
              <w:t>przekracza próg odcięcia w wyniku realizacji projektu</w:t>
            </w:r>
          </w:p>
          <w:p w:rsidRPr="00D65C47" w:rsidR="00D65C47" w:rsidRDefault="00D65C47" w14:paraId="62486C05" w14:textId="77777777">
            <w:pPr>
              <w:pStyle w:val="Akapitzlist"/>
              <w:spacing w:line="240" w:lineRule="auto"/>
              <w:ind w:left="1113"/>
              <w:jc w:val="both"/>
              <w:rPr>
                <w:rFonts w:eastAsia="Times New Roman"/>
                <w:color w:val="000000"/>
                <w:sz w:val="20"/>
                <w:szCs w:val="20"/>
              </w:rPr>
            </w:pPr>
          </w:p>
          <w:p w:rsidRPr="00D65C47" w:rsidR="00D65C47" w:rsidP="00D65C47" w:rsidRDefault="00D65C47" w14:paraId="37A0BB0F" w14:textId="77777777">
            <w:pPr>
              <w:pStyle w:val="Akapitzlist"/>
              <w:numPr>
                <w:ilvl w:val="0"/>
                <w:numId w:val="30"/>
              </w:numPr>
              <w:spacing w:after="160" w:line="240" w:lineRule="auto"/>
              <w:jc w:val="both"/>
              <w:rPr>
                <w:rFonts w:eastAsia="Times New Roman"/>
                <w:b/>
                <w:bCs/>
                <w:color w:val="000000"/>
                <w:sz w:val="20"/>
                <w:szCs w:val="20"/>
              </w:rPr>
            </w:pPr>
            <w:r w:rsidRPr="00D65C47">
              <w:rPr>
                <w:rFonts w:eastAsia="Arial" w:cs="Arial"/>
                <w:b/>
                <w:bCs/>
                <w:color w:val="000000"/>
                <w:sz w:val="20"/>
                <w:szCs w:val="20"/>
              </w:rPr>
              <w:t>Kompleksowej opieki onkologicznej</w:t>
            </w:r>
            <w:r w:rsidRPr="00D65C47">
              <w:rPr>
                <w:rFonts w:eastAsia="Arial" w:cs="Arial"/>
                <w:color w:val="000000"/>
                <w:sz w:val="20"/>
                <w:szCs w:val="20"/>
              </w:rPr>
              <w:t>: czy Wnioskodawca zapewnia lub będzie zapewniał, najpóźniej w kolejnym okresie kontraktowania świadczeń opieki zdrowotnej po zakończeniu realizacji projektu, kompleksową opiekę onkologiczną, rozumianą jako:</w:t>
            </w:r>
          </w:p>
          <w:p w:rsidRPr="00D65C47" w:rsidR="00D65C47" w:rsidP="00D65C47" w:rsidRDefault="00D65C47" w14:paraId="139EF881" w14:textId="77777777">
            <w:pPr>
              <w:pStyle w:val="Akapitzlist"/>
              <w:numPr>
                <w:ilvl w:val="0"/>
                <w:numId w:val="28"/>
              </w:numPr>
              <w:tabs>
                <w:tab w:val="left" w:pos="1254"/>
              </w:tabs>
              <w:spacing w:after="160" w:line="240" w:lineRule="auto"/>
              <w:ind w:left="1113" w:hanging="426"/>
              <w:jc w:val="both"/>
              <w:rPr>
                <w:rFonts w:eastAsia="Times New Roman"/>
                <w:color w:val="000000"/>
                <w:sz w:val="20"/>
                <w:szCs w:val="20"/>
              </w:rPr>
            </w:pPr>
            <w:r w:rsidRPr="00D65C47">
              <w:rPr>
                <w:rFonts w:eastAsia="Arial" w:cs="Arial"/>
                <w:color w:val="000000"/>
                <w:sz w:val="20"/>
                <w:szCs w:val="20"/>
              </w:rPr>
              <w:t xml:space="preserve">udzielanie  świadczeń opieki zdrowotnej finansowanych ze środków publicznych, oprócz zakresów onkologicznych tj. Chirurgia onkologiczna, onkologia kliniczna, w minimum 2 innych zakresach w ramach lecznictwa szpitalnego i AOS o tym samym profilu </w:t>
            </w:r>
          </w:p>
          <w:p w:rsidRPr="00D65C47" w:rsidR="00D65C47" w:rsidRDefault="00D65C47" w14:paraId="64DAEF16" w14:textId="77777777">
            <w:pPr>
              <w:pStyle w:val="Akapitzlist"/>
              <w:tabs>
                <w:tab w:val="left" w:pos="851"/>
              </w:tabs>
              <w:spacing w:line="240" w:lineRule="auto"/>
              <w:jc w:val="both"/>
              <w:rPr>
                <w:rFonts w:eastAsia="Times New Roman"/>
                <w:color w:val="000000"/>
                <w:sz w:val="20"/>
                <w:szCs w:val="20"/>
              </w:rPr>
            </w:pPr>
            <w:r w:rsidRPr="00D65C47">
              <w:rPr>
                <w:rFonts w:eastAsia="Arial" w:cs="Arial"/>
                <w:color w:val="000000"/>
                <w:sz w:val="20"/>
                <w:szCs w:val="20"/>
              </w:rPr>
              <w:t>oraz</w:t>
            </w:r>
          </w:p>
          <w:p w:rsidRPr="00D65C47" w:rsidR="00D65C47" w:rsidP="00D65C47" w:rsidRDefault="00D65C47" w14:paraId="7EE937D1" w14:textId="77777777">
            <w:pPr>
              <w:pStyle w:val="Akapitzlist"/>
              <w:numPr>
                <w:ilvl w:val="0"/>
                <w:numId w:val="31"/>
              </w:numPr>
              <w:tabs>
                <w:tab w:val="left" w:pos="971"/>
              </w:tabs>
              <w:spacing w:after="160" w:line="240" w:lineRule="auto"/>
              <w:ind w:left="1113" w:hanging="426"/>
              <w:jc w:val="both"/>
              <w:rPr>
                <w:rFonts w:eastAsia="Times New Roman"/>
                <w:color w:val="000000"/>
                <w:sz w:val="20"/>
                <w:szCs w:val="20"/>
              </w:rPr>
            </w:pPr>
            <w:r w:rsidRPr="00D65C47">
              <w:rPr>
                <w:rFonts w:eastAsia="Arial" w:cs="Arial"/>
                <w:color w:val="000000"/>
                <w:sz w:val="20"/>
                <w:szCs w:val="20"/>
              </w:rPr>
              <w:t>w przypadku nowotworów leczonych z wykorzystaniem medycyny nuklearnej udokumentowaną koordynację, w tym dostęp do świadczeń z zakresu chemioterapii, radioterapii onkologicznej i medycyny nuklearnej.</w:t>
            </w:r>
          </w:p>
          <w:p w:rsidRPr="00D65C47" w:rsidR="00D65C47" w:rsidRDefault="00D65C47" w14:paraId="4101652C" w14:textId="77777777">
            <w:pPr>
              <w:pStyle w:val="Akapitzlist"/>
              <w:tabs>
                <w:tab w:val="left" w:pos="971"/>
              </w:tabs>
              <w:spacing w:line="240" w:lineRule="auto"/>
              <w:ind w:left="1113"/>
              <w:jc w:val="both"/>
              <w:rPr>
                <w:rFonts w:eastAsia="Times New Roman"/>
                <w:color w:val="000000"/>
                <w:sz w:val="20"/>
                <w:szCs w:val="20"/>
              </w:rPr>
            </w:pPr>
          </w:p>
          <w:p w:rsidRPr="00D65C47" w:rsidR="00D65C47" w:rsidP="00D65C47" w:rsidRDefault="00D65C47" w14:paraId="4008EA82" w14:textId="77777777">
            <w:pPr>
              <w:pStyle w:val="Akapitzlist"/>
              <w:numPr>
                <w:ilvl w:val="0"/>
                <w:numId w:val="30"/>
              </w:numPr>
              <w:spacing w:after="160" w:line="240" w:lineRule="auto"/>
              <w:jc w:val="both"/>
              <w:rPr>
                <w:rFonts w:eastAsia="Times New Roman"/>
                <w:b/>
                <w:bCs/>
                <w:color w:val="000000"/>
                <w:sz w:val="20"/>
                <w:szCs w:val="20"/>
              </w:rPr>
            </w:pPr>
            <w:r w:rsidRPr="00D65C47">
              <w:rPr>
                <w:rFonts w:eastAsia="Arial" w:cs="Arial"/>
                <w:b/>
                <w:bCs/>
                <w:color w:val="000000"/>
                <w:sz w:val="20"/>
                <w:szCs w:val="20"/>
              </w:rPr>
              <w:t>Skutków projektu onkologicznego</w:t>
            </w:r>
            <w:r w:rsidRPr="00D65C47">
              <w:rPr>
                <w:rFonts w:eastAsia="Arial" w:cs="Arial"/>
                <w:color w:val="000000"/>
                <w:sz w:val="20"/>
                <w:szCs w:val="20"/>
              </w:rPr>
              <w:t>: czy projekt zakłada działania przyczyniające się do:</w:t>
            </w:r>
          </w:p>
          <w:p w:rsidRPr="00D65C47" w:rsidR="00D65C47" w:rsidP="00D65C47" w:rsidRDefault="00D65C47" w14:paraId="5E72A7F7" w14:textId="77777777">
            <w:pPr>
              <w:pStyle w:val="Akapitzlist"/>
              <w:numPr>
                <w:ilvl w:val="0"/>
                <w:numId w:val="31"/>
              </w:numPr>
              <w:spacing w:after="160" w:line="240" w:lineRule="auto"/>
              <w:ind w:firstLine="109"/>
              <w:jc w:val="both"/>
              <w:rPr>
                <w:rFonts w:eastAsia="Times New Roman"/>
                <w:color w:val="000000"/>
                <w:sz w:val="20"/>
                <w:szCs w:val="20"/>
              </w:rPr>
            </w:pPr>
            <w:r w:rsidRPr="00D65C47">
              <w:rPr>
                <w:rFonts w:eastAsia="Arial" w:cs="Arial"/>
                <w:color w:val="000000"/>
                <w:sz w:val="20"/>
                <w:szCs w:val="20"/>
              </w:rPr>
              <w:lastRenderedPageBreak/>
              <w:t>Zwiększenia wykrywalności tych nowotworów, dla których struktura stadiów jest najmniej korzystna w danym regionie zgodnie z danymi zawartymi we właściwej mapie,</w:t>
            </w:r>
          </w:p>
          <w:p w:rsidRPr="00D65C47" w:rsidR="00D65C47" w:rsidRDefault="00D65C47" w14:paraId="352DC3C2" w14:textId="77777777">
            <w:pPr>
              <w:spacing w:line="240" w:lineRule="auto"/>
              <w:ind w:left="720"/>
              <w:jc w:val="both"/>
              <w:rPr>
                <w:rFonts w:eastAsia="Times New Roman"/>
                <w:color w:val="000000"/>
                <w:sz w:val="20"/>
                <w:szCs w:val="20"/>
              </w:rPr>
            </w:pPr>
            <w:r w:rsidRPr="00D65C47">
              <w:rPr>
                <w:rFonts w:eastAsia="Arial" w:cs="Arial"/>
                <w:color w:val="000000"/>
                <w:sz w:val="20"/>
                <w:szCs w:val="20"/>
              </w:rPr>
              <w:t>lub</w:t>
            </w:r>
          </w:p>
          <w:p w:rsidRPr="00D65C47" w:rsidR="00D65C47" w:rsidP="00D65C47" w:rsidRDefault="00D65C47" w14:paraId="19393CFB" w14:textId="77777777">
            <w:pPr>
              <w:pStyle w:val="Akapitzlist"/>
              <w:numPr>
                <w:ilvl w:val="0"/>
                <w:numId w:val="31"/>
              </w:numPr>
              <w:spacing w:after="160" w:line="240" w:lineRule="auto"/>
              <w:ind w:firstLine="109"/>
              <w:jc w:val="both"/>
              <w:rPr>
                <w:rFonts w:eastAsia="Times New Roman"/>
                <w:color w:val="000000"/>
                <w:sz w:val="20"/>
                <w:szCs w:val="20"/>
              </w:rPr>
            </w:pPr>
            <w:r w:rsidRPr="00D65C47">
              <w:rPr>
                <w:rFonts w:eastAsia="Arial" w:cs="Arial"/>
                <w:color w:val="000000"/>
                <w:sz w:val="20"/>
                <w:szCs w:val="20"/>
              </w:rPr>
              <w:t xml:space="preserve">W zakresie chemioterapii : zwiększenia udziału świadczeń z ww. zakresu w trybie jednodniowym lub ambulatoryjnym </w:t>
            </w:r>
          </w:p>
          <w:p w:rsidRPr="00D65C47" w:rsidR="00D65C47" w:rsidRDefault="00D65C47" w14:paraId="56F51739" w14:textId="77777777">
            <w:pPr>
              <w:pStyle w:val="Akapitzlist"/>
              <w:spacing w:line="240" w:lineRule="auto"/>
              <w:jc w:val="both"/>
              <w:rPr>
                <w:rFonts w:eastAsia="Times New Roman"/>
                <w:color w:val="000000"/>
                <w:sz w:val="20"/>
                <w:szCs w:val="20"/>
              </w:rPr>
            </w:pPr>
            <w:r w:rsidRPr="00D65C47">
              <w:rPr>
                <w:rFonts w:eastAsia="Arial" w:cs="Arial"/>
                <w:color w:val="000000"/>
                <w:sz w:val="20"/>
                <w:szCs w:val="20"/>
              </w:rPr>
              <w:t>lub</w:t>
            </w:r>
          </w:p>
          <w:p w:rsidRPr="00D65C47" w:rsidR="00D65C47" w:rsidP="00D65C47" w:rsidRDefault="00D65C47" w14:paraId="631CCD9A" w14:textId="77777777">
            <w:pPr>
              <w:pStyle w:val="Akapitzlist"/>
              <w:numPr>
                <w:ilvl w:val="0"/>
                <w:numId w:val="31"/>
              </w:numPr>
              <w:spacing w:after="160" w:line="240" w:lineRule="auto"/>
              <w:ind w:firstLine="109"/>
              <w:jc w:val="both"/>
              <w:rPr>
                <w:rFonts w:eastAsia="Times New Roman"/>
                <w:color w:val="000000"/>
                <w:sz w:val="20"/>
                <w:szCs w:val="20"/>
              </w:rPr>
            </w:pPr>
            <w:r w:rsidRPr="00D65C47">
              <w:rPr>
                <w:rFonts w:eastAsia="Arial" w:cs="Arial"/>
                <w:color w:val="000000"/>
                <w:sz w:val="20"/>
                <w:szCs w:val="20"/>
              </w:rPr>
              <w:t>Czy projekt  realizowany będzie przez podmiot  leczniczy, który  wdraża  programy profilaktyczne w powiatach, w których dane dotyczące epidemiologii (np. standaryzowany współczynnik chorobowości) wynikające z map potrzeb  są najwyższe w województwie śląskim.</w:t>
            </w:r>
          </w:p>
          <w:p w:rsidRPr="00D65C47" w:rsidR="00D65C47" w:rsidRDefault="00D65C47" w14:paraId="4B99056E" w14:textId="77777777">
            <w:pPr>
              <w:spacing w:after="0" w:line="240" w:lineRule="auto"/>
              <w:rPr>
                <w:rFonts w:eastAsia="Times New Roman" w:cs="Calibri"/>
                <w:color w:val="000000"/>
                <w:sz w:val="20"/>
                <w:szCs w:val="20"/>
                <w:lang w:eastAsia="pl-PL"/>
              </w:rPr>
            </w:pPr>
          </w:p>
          <w:p w:rsidRPr="00D65C47" w:rsidR="00D65C47" w:rsidP="00D65C47" w:rsidRDefault="00D65C47" w14:paraId="7E1B3D5C" w14:textId="77777777">
            <w:pPr>
              <w:pStyle w:val="Akapitzlist"/>
              <w:numPr>
                <w:ilvl w:val="0"/>
                <w:numId w:val="30"/>
              </w:numPr>
              <w:spacing w:after="160" w:line="240" w:lineRule="auto"/>
              <w:jc w:val="both"/>
              <w:rPr>
                <w:rFonts w:cs="Calibri"/>
                <w:color w:val="000000"/>
                <w:sz w:val="20"/>
                <w:szCs w:val="20"/>
                <w:lang w:eastAsia="pl-PL"/>
              </w:rPr>
            </w:pPr>
            <w:r w:rsidRPr="00D65C47">
              <w:rPr>
                <w:rFonts w:eastAsia="Arial" w:cs="Arial"/>
                <w:b/>
                <w:bCs/>
                <w:color w:val="000000"/>
                <w:sz w:val="20"/>
                <w:szCs w:val="20"/>
              </w:rPr>
              <w:t>Obłożenia standardowego łóżek i odsetka hospitalizacji poniżej 4 dni:</w:t>
            </w:r>
          </w:p>
          <w:p w:rsidRPr="00D65C47" w:rsidR="00D65C47" w:rsidP="00D65C47" w:rsidRDefault="00D65C47" w14:paraId="2B011C31" w14:textId="77777777">
            <w:pPr>
              <w:pStyle w:val="Akapitzlist"/>
              <w:numPr>
                <w:ilvl w:val="0"/>
                <w:numId w:val="31"/>
              </w:numPr>
              <w:spacing w:after="160" w:line="240" w:lineRule="auto"/>
              <w:ind w:firstLine="109"/>
              <w:jc w:val="both"/>
              <w:rPr>
                <w:rFonts w:eastAsia="Arial" w:cs="Arial"/>
                <w:color w:val="000000"/>
                <w:sz w:val="20"/>
                <w:szCs w:val="20"/>
              </w:rPr>
            </w:pPr>
            <w:r w:rsidRPr="00D65C47">
              <w:rPr>
                <w:rFonts w:eastAsia="Arial" w:cs="Arial"/>
                <w:color w:val="000000"/>
                <w:sz w:val="20"/>
                <w:szCs w:val="20"/>
              </w:rPr>
              <w:t>Czy projekt dotyczy oddziałów szpitalnych, dla których u danego świadczeniodawcy wskaźnik obłożenia standardowego łóżek (liczony według wzoru) na oddziałach pediatrycznych jest wyższy niż 70%, natomiast na pozostałych oddziałach jest wyższy niż 85%;</w:t>
            </w:r>
          </w:p>
          <w:p w:rsidRPr="00D65C47" w:rsidR="00D65C47" w:rsidP="00D65C47" w:rsidRDefault="00D65C47" w14:paraId="384201E7" w14:textId="77777777">
            <w:pPr>
              <w:pStyle w:val="Akapitzlist"/>
              <w:numPr>
                <w:ilvl w:val="0"/>
                <w:numId w:val="31"/>
              </w:numPr>
              <w:spacing w:after="160" w:line="240" w:lineRule="auto"/>
              <w:ind w:firstLine="109"/>
              <w:jc w:val="both"/>
              <w:rPr>
                <w:rFonts w:eastAsia="Times New Roman" w:cs="Calibri"/>
                <w:color w:val="000000"/>
                <w:sz w:val="20"/>
                <w:szCs w:val="20"/>
                <w:lang w:eastAsia="pl-PL"/>
              </w:rPr>
            </w:pPr>
            <w:r w:rsidRPr="00D65C47">
              <w:rPr>
                <w:rFonts w:eastAsia="Arial" w:cs="Arial"/>
                <w:color w:val="000000"/>
                <w:sz w:val="20"/>
                <w:szCs w:val="20"/>
              </w:rPr>
              <w:lastRenderedPageBreak/>
              <w:t xml:space="preserve">projekt realizowany jest przez podmiot leczniczy, w którym odsetek hospitalizacji poniżej 4 dni jest wyższy niż średnia wartość tego wskaźnika dla województwa, w którym znajdują się te podmioty udzielające świadczeń opieki zdrowotnej pacjentom bardziej obciążonym, tzn. suma udziału pacjentów ze współczynnikiem </w:t>
            </w:r>
            <w:proofErr w:type="spellStart"/>
            <w:r w:rsidRPr="00D65C47">
              <w:rPr>
                <w:rFonts w:eastAsia="Arial" w:cs="Arial"/>
                <w:color w:val="000000"/>
                <w:sz w:val="20"/>
                <w:szCs w:val="20"/>
              </w:rPr>
              <w:t>wielochorobowości</w:t>
            </w:r>
            <w:proofErr w:type="spellEnd"/>
            <w:r w:rsidRPr="00D65C47">
              <w:rPr>
                <w:rFonts w:eastAsia="Arial" w:cs="Arial"/>
                <w:color w:val="000000"/>
                <w:sz w:val="20"/>
                <w:szCs w:val="20"/>
              </w:rPr>
              <w:t xml:space="preserve"> „wysokim” i „bardzo wysokim” u danego świadczeniodawcy jest wyższa niż suma tych współczynników dla danego województwa. </w:t>
            </w:r>
          </w:p>
          <w:p w:rsidR="00D65C47" w:rsidP="00D65C47" w:rsidRDefault="00D65C47" w14:paraId="1299C43A" w14:textId="77777777">
            <w:pPr>
              <w:pStyle w:val="Akapitzlist"/>
              <w:numPr>
                <w:ilvl w:val="0"/>
                <w:numId w:val="31"/>
              </w:numPr>
              <w:spacing w:after="160" w:line="240" w:lineRule="auto"/>
              <w:ind w:firstLine="109"/>
              <w:jc w:val="both"/>
              <w:rPr>
                <w:color w:val="000000"/>
                <w:sz w:val="20"/>
                <w:szCs w:val="20"/>
                <w:lang w:eastAsia="pl-PL"/>
              </w:rPr>
            </w:pP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45A1668C"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merytoryczne</w:t>
            </w:r>
          </w:p>
        </w:tc>
        <w:tc>
          <w:tcPr>
            <w:tcW w:w="3686" w:type="dxa"/>
            <w:tcBorders>
              <w:top w:val="single" w:color="auto" w:sz="4" w:space="0"/>
              <w:left w:val="single" w:color="auto" w:sz="4" w:space="0"/>
              <w:bottom w:val="single" w:color="auto" w:sz="4" w:space="0"/>
              <w:right w:val="single" w:color="auto" w:sz="4" w:space="0"/>
            </w:tcBorders>
          </w:tcPr>
          <w:p w:rsidRPr="00D65C47" w:rsidR="00D65C47" w:rsidRDefault="00D65C47" w14:paraId="2496AC80" w14:textId="77777777">
            <w:pPr>
              <w:spacing w:after="0" w:line="240" w:lineRule="auto"/>
              <w:rPr>
                <w:rFonts w:cs="Calibri"/>
                <w:color w:val="000000"/>
                <w:sz w:val="20"/>
                <w:szCs w:val="20"/>
                <w:lang w:eastAsia="pl-PL"/>
              </w:rPr>
            </w:pPr>
            <w:r w:rsidRPr="00D65C47">
              <w:rPr>
                <w:rFonts w:cs="Calibri"/>
                <w:color w:val="000000"/>
                <w:sz w:val="20"/>
                <w:szCs w:val="20"/>
                <w:lang w:eastAsia="pl-PL"/>
              </w:rPr>
              <w:t>skala punktowa: 0-8</w:t>
            </w:r>
          </w:p>
          <w:p w:rsidRPr="00D65C47" w:rsidR="00D65C47" w:rsidRDefault="00D65C47" w14:paraId="77D5652D" w14:textId="77777777">
            <w:pPr>
              <w:spacing w:after="0" w:line="240" w:lineRule="auto"/>
              <w:rPr>
                <w:rFonts w:cs="Calibri"/>
                <w:color w:val="000000"/>
                <w:sz w:val="20"/>
                <w:szCs w:val="20"/>
                <w:lang w:eastAsia="pl-PL"/>
              </w:rPr>
            </w:pPr>
            <w:r w:rsidRPr="00D65C47">
              <w:rPr>
                <w:rFonts w:cs="Calibri"/>
                <w:color w:val="000000"/>
                <w:sz w:val="20"/>
                <w:szCs w:val="20"/>
                <w:lang w:eastAsia="pl-PL"/>
              </w:rPr>
              <w:t>Projekt uzyskuje punkty w następujących przypadkach:</w:t>
            </w:r>
          </w:p>
          <w:p w:rsidRPr="00D65C47" w:rsidR="00D65C47" w:rsidRDefault="00D65C47" w14:paraId="4DDBEF00" w14:textId="77777777">
            <w:pPr>
              <w:spacing w:after="0" w:line="240" w:lineRule="auto"/>
              <w:rPr>
                <w:rFonts w:cs="Calibri"/>
                <w:color w:val="000000"/>
                <w:sz w:val="20"/>
                <w:szCs w:val="20"/>
                <w:lang w:eastAsia="pl-PL"/>
              </w:rPr>
            </w:pPr>
          </w:p>
          <w:p w:rsidRPr="00D65C47" w:rsidR="00D65C47" w:rsidRDefault="00D65C47" w14:paraId="392A9994"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2 pkt. – projekt dotyczy oddziału na którym udział świadczeń zabiegowych wynosi powyżej 75 % lub udział przyjęć nagłych wynosi powyżej 30% </w:t>
            </w:r>
          </w:p>
          <w:p w:rsidRPr="00D65C47" w:rsidR="00D65C47" w:rsidRDefault="00D65C47" w14:paraId="0A6959E7"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 </w:t>
            </w:r>
          </w:p>
          <w:p w:rsidRPr="00D65C47" w:rsidR="00D65C47" w:rsidRDefault="00D65C47" w14:paraId="18FAED1E" w14:textId="77777777">
            <w:pPr>
              <w:spacing w:after="0" w:line="240" w:lineRule="auto"/>
              <w:rPr>
                <w:rFonts w:cs="Calibri"/>
                <w:color w:val="000000"/>
                <w:sz w:val="20"/>
                <w:szCs w:val="20"/>
                <w:lang w:eastAsia="pl-PL"/>
              </w:rPr>
            </w:pPr>
            <w:r w:rsidRPr="00D65C47">
              <w:rPr>
                <w:rFonts w:cs="Calibri"/>
                <w:color w:val="000000"/>
                <w:sz w:val="20"/>
                <w:szCs w:val="20"/>
                <w:lang w:eastAsia="pl-PL"/>
              </w:rPr>
              <w:t>2 pkt– projekt przyczynia się do koncentracji wykonywania zabiegów kompleksowych</w:t>
            </w:r>
            <w:r w:rsidRPr="00D65C47">
              <w:rPr>
                <w:rFonts w:cs="Calibri"/>
                <w:color w:val="000000"/>
                <w:sz w:val="20"/>
                <w:szCs w:val="20"/>
                <w:vertAlign w:val="superscript"/>
                <w:lang w:eastAsia="pl-PL"/>
              </w:rPr>
              <w:footnoteReference w:id="13"/>
            </w:r>
            <w:r w:rsidRPr="00D65C47">
              <w:rPr>
                <w:rFonts w:cs="Calibri"/>
                <w:color w:val="000000"/>
                <w:sz w:val="20"/>
                <w:szCs w:val="20"/>
                <w:lang w:eastAsia="pl-PL"/>
              </w:rPr>
              <w:t xml:space="preserve"> w przypadku, gdy na oddziale są wykonywane takie zabiegi (projekt otrzymuje punkt, jeśli realizowany jest na rzecz oddziału szpitalnego, który przekroczył wartość progową (próg odcięcia) 60 kompleksowych zabiegów </w:t>
            </w:r>
            <w:r w:rsidRPr="00D65C47">
              <w:rPr>
                <w:rFonts w:cs="Calibri"/>
                <w:color w:val="000000"/>
                <w:sz w:val="20"/>
                <w:szCs w:val="20"/>
                <w:lang w:eastAsia="pl-PL"/>
              </w:rPr>
              <w:lastRenderedPageBreak/>
              <w:t>rocznie lub ww. wartość progowa zostanie przekroczona w wyniku realizacji projektu).</w:t>
            </w:r>
          </w:p>
          <w:p w:rsidRPr="00D65C47" w:rsidR="00D65C47" w:rsidRDefault="00D65C47" w14:paraId="3461D779" w14:textId="77777777">
            <w:pPr>
              <w:spacing w:after="0" w:line="240" w:lineRule="auto"/>
              <w:rPr>
                <w:color w:val="000000"/>
                <w:sz w:val="20"/>
                <w:szCs w:val="20"/>
                <w:lang w:eastAsia="pl-PL"/>
              </w:rPr>
            </w:pPr>
          </w:p>
          <w:p w:rsidRPr="00D65C47" w:rsidR="00D65C47" w:rsidRDefault="00D65C47" w14:paraId="4B1FA630" w14:textId="77777777">
            <w:pPr>
              <w:spacing w:after="0" w:line="240" w:lineRule="auto"/>
              <w:rPr>
                <w:rFonts w:cs="Calibri"/>
                <w:color w:val="000000"/>
                <w:sz w:val="20"/>
                <w:szCs w:val="20"/>
                <w:lang w:eastAsia="pl-PL"/>
              </w:rPr>
            </w:pPr>
            <w:r w:rsidRPr="00D65C47">
              <w:rPr>
                <w:rFonts w:cs="Calibri"/>
                <w:color w:val="000000"/>
                <w:sz w:val="20"/>
                <w:szCs w:val="20"/>
                <w:lang w:eastAsia="pl-PL"/>
              </w:rPr>
              <w:t>1 pkt – projekt realizowany jest przez podmiot leczniczy, który zapewnia lub będzie zapewniać najpóźniej w kolejnym okresie kontraktowania świadczeń opieki zdrowotnej finansowanych ze środków publicznych po zakończeniu realizacji projektu, kompleksową opiekę onkologiczną, rozumianą jako udzielanie świadczeń opieki zdrowotnej finansowanych ze środków publicznych, oprócz zakresów onkologicznych tj. Chirurgia onkologiczna, onkologia kliniczna, w minimum 2 innych zakresach w ramach lecznictwa szpitalnego i AOS o tym samym profilu oraz udokumentowaną koordynację, w tym dostęp do świadczeń z zakresu chemioterapii, radioterapii onkologicznej i medycyny nuklearnej – w przypadku nowotworów leczonych z wykorzystaniem medycyny nuklearnej.</w:t>
            </w:r>
          </w:p>
          <w:p w:rsidRPr="00D65C47" w:rsidR="00D65C47" w:rsidRDefault="00D65C47" w14:paraId="3CF2D8B6" w14:textId="77777777">
            <w:pPr>
              <w:spacing w:after="0" w:line="240" w:lineRule="auto"/>
              <w:rPr>
                <w:rFonts w:cs="Calibri"/>
                <w:color w:val="000000"/>
                <w:sz w:val="20"/>
                <w:szCs w:val="20"/>
                <w:lang w:eastAsia="pl-PL"/>
              </w:rPr>
            </w:pPr>
          </w:p>
          <w:p w:rsidRPr="00D65C47" w:rsidR="00D65C47" w:rsidRDefault="00D65C47" w14:paraId="7CED2701" w14:textId="77777777">
            <w:pPr>
              <w:spacing w:after="0" w:line="240" w:lineRule="auto"/>
              <w:rPr>
                <w:rFonts w:cs="Calibri"/>
                <w:color w:val="000000"/>
                <w:sz w:val="20"/>
                <w:szCs w:val="20"/>
                <w:highlight w:val="yellow"/>
                <w:lang w:eastAsia="pl-PL"/>
              </w:rPr>
            </w:pPr>
            <w:r w:rsidRPr="00D65C47">
              <w:rPr>
                <w:rFonts w:cs="Calibri"/>
                <w:color w:val="000000"/>
                <w:sz w:val="20"/>
                <w:szCs w:val="20"/>
                <w:lang w:eastAsia="pl-PL"/>
              </w:rPr>
              <w:t xml:space="preserve">1 pkt – projekt zakłada realizację działań przyczyniających się do zwiększenia wykrywalności tych nowotworów, dla których struktura stadiów jest najmniej korzystna w danym regionie, lub w zakresie chemioterapii - zwiększenia udziału świadczeń w ww. zakresu w trybie jednodniowym lub ambulatoryjnym, lub wcześniejszego wykrywania nowotworów złośliwych, np. poprzez wdrażanie programów profilaktycznych w powiatach, w których dane epidemiologiczne (np. standaryzowany współczynnik </w:t>
            </w:r>
            <w:r w:rsidRPr="00D65C47">
              <w:rPr>
                <w:rFonts w:cs="Calibri"/>
                <w:color w:val="000000"/>
                <w:sz w:val="20"/>
                <w:szCs w:val="20"/>
                <w:lang w:eastAsia="pl-PL"/>
              </w:rPr>
              <w:lastRenderedPageBreak/>
              <w:t xml:space="preserve">chorobowości) wynikające z mapy potrzeb zdrowotnych są najwyższe w  województwie. </w:t>
            </w:r>
          </w:p>
          <w:p w:rsidRPr="00D65C47" w:rsidR="00D65C47" w:rsidRDefault="00D65C47" w14:paraId="0FB78278" w14:textId="77777777">
            <w:pPr>
              <w:spacing w:after="0" w:line="240" w:lineRule="auto"/>
              <w:rPr>
                <w:rFonts w:cs="Calibri"/>
                <w:color w:val="000000"/>
                <w:sz w:val="20"/>
                <w:szCs w:val="20"/>
                <w:lang w:eastAsia="pl-PL"/>
              </w:rPr>
            </w:pPr>
          </w:p>
          <w:p w:rsidRPr="00D65C47" w:rsidR="00D65C47" w:rsidRDefault="00D65C47" w14:paraId="66CE7B7F" w14:textId="77777777">
            <w:pPr>
              <w:spacing w:after="0" w:line="240" w:lineRule="auto"/>
              <w:rPr>
                <w:rFonts w:cs="Calibri"/>
                <w:color w:val="000000"/>
                <w:sz w:val="20"/>
                <w:szCs w:val="20"/>
                <w:lang w:eastAsia="pl-PL"/>
              </w:rPr>
            </w:pPr>
            <w:r w:rsidRPr="00D65C47">
              <w:rPr>
                <w:rFonts w:cs="Calibri"/>
                <w:color w:val="000000"/>
                <w:sz w:val="20"/>
                <w:szCs w:val="20"/>
                <w:lang w:eastAsia="pl-PL"/>
              </w:rPr>
              <w:t>1 pkt – projekt dotyczy oddziałów szpitalnych, dla których u danego świadczeniodawcy wskaźnik obłożenia standardowego łóżek</w:t>
            </w:r>
            <w:r w:rsidRPr="00D65C47">
              <w:rPr>
                <w:rStyle w:val="Odwoanieprzypisudolnego"/>
                <w:rFonts w:cs="Calibri"/>
                <w:color w:val="000000"/>
              </w:rPr>
              <w:footnoteReference w:id="14"/>
            </w:r>
            <w:r w:rsidRPr="00D65C47">
              <w:rPr>
                <w:rFonts w:cs="Calibri"/>
                <w:color w:val="000000"/>
                <w:sz w:val="20"/>
                <w:szCs w:val="20"/>
                <w:lang w:eastAsia="pl-PL"/>
              </w:rPr>
              <w:t xml:space="preserve"> na oddziałach pediatrycznych jest wyższy niż 70%, natomiast na pozostałych oddziałach jest wyższy niż 85%</w:t>
            </w:r>
            <w:r w:rsidRPr="00D65C47">
              <w:rPr>
                <w:rStyle w:val="Odwoanieprzypisudolnego"/>
                <w:rFonts w:cs="Calibri"/>
                <w:color w:val="000000"/>
              </w:rPr>
              <w:footnoteReference w:id="15"/>
            </w:r>
          </w:p>
          <w:p w:rsidRPr="00D65C47" w:rsidR="00D65C47" w:rsidRDefault="00D65C47" w14:paraId="1FC39945" w14:textId="77777777">
            <w:pPr>
              <w:spacing w:after="0" w:line="240" w:lineRule="auto"/>
              <w:rPr>
                <w:rFonts w:cs="Calibri"/>
                <w:color w:val="000000"/>
                <w:sz w:val="20"/>
                <w:szCs w:val="20"/>
                <w:lang w:eastAsia="pl-PL"/>
              </w:rPr>
            </w:pPr>
          </w:p>
          <w:p w:rsidRPr="00D65C47" w:rsidR="00D65C47" w:rsidRDefault="00D65C47" w14:paraId="35A253C1" w14:textId="77777777">
            <w:pPr>
              <w:spacing w:after="0" w:line="240" w:lineRule="auto"/>
              <w:rPr>
                <w:rFonts w:cs="Calibri"/>
                <w:color w:val="000000"/>
                <w:sz w:val="20"/>
                <w:szCs w:val="20"/>
                <w:lang w:eastAsia="pl-PL"/>
              </w:rPr>
            </w:pPr>
            <w:r w:rsidRPr="00D65C47">
              <w:rPr>
                <w:rFonts w:cs="Calibri"/>
                <w:color w:val="000000"/>
                <w:sz w:val="20"/>
                <w:szCs w:val="20"/>
                <w:lang w:eastAsia="pl-PL"/>
              </w:rPr>
              <w:t xml:space="preserve">1 pkt – projekt realizowany jest przez podmiot leczniczy, w którym odsetek hospitalizacji poniżej 4 dni jest wyższy niż średnia wartość tego wskaźnika dla województwa, w którym znajdują się te podmioty udzielające świadczeń opieki zdrowotnej pacjentom bardziej obciążonym, tzn. suma udziału pacjentów ze współczynnikiem </w:t>
            </w:r>
            <w:proofErr w:type="spellStart"/>
            <w:r w:rsidRPr="00D65C47">
              <w:rPr>
                <w:rFonts w:cs="Calibri"/>
                <w:color w:val="000000"/>
                <w:sz w:val="20"/>
                <w:szCs w:val="20"/>
                <w:lang w:eastAsia="pl-PL"/>
              </w:rPr>
              <w:t>wielochorobowości</w:t>
            </w:r>
            <w:proofErr w:type="spellEnd"/>
            <w:r w:rsidRPr="00D65C47">
              <w:rPr>
                <w:rFonts w:cs="Calibri"/>
                <w:color w:val="000000"/>
                <w:sz w:val="20"/>
                <w:szCs w:val="20"/>
                <w:lang w:eastAsia="pl-PL"/>
              </w:rPr>
              <w:t xml:space="preserve"> „wysokim” i „bardzo wysokim” u danego świadczeniodawcy jest wyższa niż suma tych współczynników dla danego województwa</w:t>
            </w:r>
          </w:p>
        </w:tc>
        <w:tc>
          <w:tcPr>
            <w:tcW w:w="1418"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DDAEF42"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Ocena merytoryczna</w:t>
            </w: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649841BE" w14:textId="77777777">
            <w:pPr>
              <w:spacing w:after="0" w:line="240" w:lineRule="auto"/>
              <w:rPr>
                <w:rFonts w:cs="Calibri"/>
                <w:color w:val="000000"/>
                <w:sz w:val="20"/>
                <w:szCs w:val="20"/>
                <w:lang w:eastAsia="pl-PL"/>
              </w:rPr>
            </w:pPr>
            <w:r w:rsidRPr="00D65C47">
              <w:rPr>
                <w:rFonts w:cs="Calibri"/>
                <w:color w:val="000000"/>
                <w:sz w:val="20"/>
                <w:szCs w:val="20"/>
                <w:lang w:eastAsia="pl-PL"/>
              </w:rPr>
              <w:t>1</w:t>
            </w:r>
          </w:p>
        </w:tc>
      </w:tr>
      <w:tr w:rsidRPr="00D65C47" w:rsidR="00D65C47" w:rsidTr="00D65C47" w14:paraId="4E843010" w14:textId="77777777">
        <w:trPr>
          <w:trHeight w:val="20"/>
        </w:trPr>
        <w:tc>
          <w:tcPr>
            <w:tcW w:w="441"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0F57406D"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9.</w:t>
            </w:r>
          </w:p>
        </w:tc>
        <w:tc>
          <w:tcPr>
            <w:tcW w:w="1984" w:type="dxa"/>
            <w:tcBorders>
              <w:top w:val="single" w:color="auto" w:sz="4" w:space="0"/>
              <w:left w:val="single" w:color="auto" w:sz="4" w:space="0"/>
              <w:bottom w:val="single" w:color="auto" w:sz="4" w:space="0"/>
              <w:right w:val="single" w:color="auto" w:sz="4" w:space="0"/>
            </w:tcBorders>
            <w:vAlign w:val="center"/>
            <w:hideMark/>
          </w:tcPr>
          <w:p w:rsidRPr="00D65C47" w:rsidR="00D65C47" w:rsidRDefault="00D65C47" w14:paraId="145EE22E" w14:textId="77777777">
            <w:pPr>
              <w:spacing w:after="0" w:line="240" w:lineRule="auto"/>
              <w:rPr>
                <w:rFonts w:cs="Calibri"/>
                <w:color w:val="000000"/>
                <w:sz w:val="20"/>
                <w:szCs w:val="20"/>
                <w:lang w:eastAsia="pl-PL"/>
              </w:rPr>
            </w:pPr>
            <w:r w:rsidRPr="00D65C47">
              <w:rPr>
                <w:rFonts w:cs="Calibri"/>
                <w:color w:val="000000"/>
                <w:sz w:val="20"/>
                <w:szCs w:val="20"/>
                <w:lang w:eastAsia="pl-PL"/>
              </w:rPr>
              <w:t>Zgodność projektu dot. zakresu psychiatrii</w:t>
            </w:r>
            <w:r w:rsidRPr="00D65C47">
              <w:rPr>
                <w:rStyle w:val="Odwoanieprzypisudolnego"/>
                <w:rFonts w:cs="Calibri"/>
                <w:color w:val="000000"/>
              </w:rPr>
              <w:footnoteReference w:id="16"/>
            </w:r>
            <w:r w:rsidRPr="00D65C47">
              <w:rPr>
                <w:rFonts w:cs="Calibri"/>
                <w:color w:val="000000"/>
                <w:sz w:val="20"/>
                <w:szCs w:val="20"/>
                <w:lang w:eastAsia="pl-PL"/>
              </w:rPr>
              <w:t xml:space="preserve"> z wymogami specyficznymi</w:t>
            </w:r>
          </w:p>
        </w:tc>
        <w:tc>
          <w:tcPr>
            <w:tcW w:w="5103" w:type="dxa"/>
            <w:tcBorders>
              <w:top w:val="single" w:color="auto" w:sz="4" w:space="0"/>
              <w:left w:val="single" w:color="auto" w:sz="4" w:space="0"/>
              <w:bottom w:val="single" w:color="auto" w:sz="4" w:space="0"/>
              <w:right w:val="single" w:color="auto" w:sz="4" w:space="0"/>
            </w:tcBorders>
            <w:vAlign w:val="center"/>
          </w:tcPr>
          <w:p w:rsidRPr="00D65C47" w:rsidR="00D65C47" w:rsidRDefault="00D65C47" w14:paraId="0DF8EF8A" w14:textId="77777777">
            <w:pPr>
              <w:spacing w:line="240" w:lineRule="auto"/>
              <w:rPr>
                <w:rFonts w:eastAsia="Arial" w:cs="Arial"/>
                <w:color w:val="000000"/>
                <w:sz w:val="20"/>
                <w:szCs w:val="20"/>
              </w:rPr>
            </w:pPr>
            <w:r w:rsidRPr="00D65C47">
              <w:rPr>
                <w:rFonts w:eastAsia="Arial" w:cs="Arial"/>
                <w:color w:val="000000"/>
                <w:sz w:val="20"/>
                <w:szCs w:val="20"/>
              </w:rPr>
              <w:t>W przypadku projektów z zakresu psychiatrii ocenie podlegać będzie zgodność projektu z wymogami specyficznymi w zakresie:</w:t>
            </w:r>
          </w:p>
          <w:p w:rsidRPr="00D65C47" w:rsidR="00D65C47" w:rsidP="00D65C47" w:rsidRDefault="00D65C47" w14:paraId="194F7150" w14:textId="77777777">
            <w:pPr>
              <w:pStyle w:val="Akapitzlist"/>
              <w:numPr>
                <w:ilvl w:val="0"/>
                <w:numId w:val="32"/>
              </w:numPr>
              <w:spacing w:after="160" w:line="240" w:lineRule="auto"/>
              <w:jc w:val="both"/>
              <w:rPr>
                <w:rFonts w:eastAsia="Times New Roman"/>
                <w:b/>
                <w:bCs/>
                <w:color w:val="000000"/>
                <w:sz w:val="20"/>
                <w:szCs w:val="20"/>
              </w:rPr>
            </w:pPr>
            <w:r w:rsidRPr="00D65C47">
              <w:rPr>
                <w:rFonts w:eastAsia="Arial" w:cs="Arial"/>
                <w:b/>
                <w:bCs/>
                <w:color w:val="000000"/>
                <w:sz w:val="20"/>
                <w:szCs w:val="20"/>
              </w:rPr>
              <w:t xml:space="preserve">Kompleksowość opieki psychiatrycznej : </w:t>
            </w:r>
            <w:r w:rsidRPr="00D65C47">
              <w:rPr>
                <w:rFonts w:eastAsia="Arial" w:cs="Arial"/>
                <w:color w:val="000000"/>
                <w:sz w:val="20"/>
                <w:szCs w:val="20"/>
              </w:rPr>
              <w:t>czy założono działania realizowane przez podmioty, które zapewniają (lub które zobowiążą się do zapewnienia w wyniku realizacji projektu) kompleksową opiekę psychiatryczną, obejmującą swoim zakresem podmiot udzielający świadczeń w pięciu formach leczenia: oddział dzienny, poradnia, izba przyjęć lub szpitalny oddział ratunkowy, oddział całodobowy, zespół leczenia środowiskowego na terenie jednego powiatu lub powiatów sąsiadujących</w:t>
            </w:r>
          </w:p>
          <w:p w:rsidRPr="00D65C47" w:rsidR="00D65C47" w:rsidP="00D65C47" w:rsidRDefault="00D65C47" w14:paraId="76C4B67B" w14:textId="77777777">
            <w:pPr>
              <w:pStyle w:val="Akapitzlist"/>
              <w:numPr>
                <w:ilvl w:val="0"/>
                <w:numId w:val="32"/>
              </w:numPr>
              <w:spacing w:after="160" w:line="240" w:lineRule="auto"/>
              <w:rPr>
                <w:rFonts w:eastAsia="Times New Roman"/>
                <w:b/>
                <w:bCs/>
                <w:color w:val="000000"/>
                <w:sz w:val="20"/>
                <w:szCs w:val="20"/>
              </w:rPr>
            </w:pPr>
            <w:r w:rsidRPr="00D65C47">
              <w:rPr>
                <w:rFonts w:eastAsia="Arial" w:cs="Arial"/>
                <w:b/>
                <w:bCs/>
                <w:color w:val="000000"/>
                <w:sz w:val="20"/>
                <w:szCs w:val="20"/>
              </w:rPr>
              <w:lastRenderedPageBreak/>
              <w:t>Wykorzystywanie  narzędzi IT   : c</w:t>
            </w:r>
            <w:r w:rsidRPr="00D65C47">
              <w:rPr>
                <w:rFonts w:eastAsia="Arial" w:cs="Arial"/>
                <w:color w:val="000000"/>
                <w:sz w:val="20"/>
                <w:szCs w:val="20"/>
              </w:rPr>
              <w:t>zy w ramach realizacji projektu zdefiniowano innowacyjne rozwiązania uwzględniające narzędzia z zakresu IT, umożliwiające zdalną pracę z pacjentem poprzez wykorzystanie środowiska wirtualnego w tym porady i terapie pacjentów.</w:t>
            </w:r>
          </w:p>
          <w:p w:rsidRPr="00D65C47" w:rsidR="00D65C47" w:rsidP="00D65C47" w:rsidRDefault="00D65C47" w14:paraId="403FA24E" w14:textId="77777777">
            <w:pPr>
              <w:pStyle w:val="Akapitzlist"/>
              <w:numPr>
                <w:ilvl w:val="0"/>
                <w:numId w:val="32"/>
              </w:numPr>
              <w:spacing w:after="160" w:line="240" w:lineRule="auto"/>
              <w:rPr>
                <w:rFonts w:eastAsia="Times New Roman"/>
                <w:b/>
                <w:bCs/>
                <w:color w:val="000000"/>
                <w:sz w:val="20"/>
                <w:szCs w:val="20"/>
              </w:rPr>
            </w:pPr>
            <w:r w:rsidRPr="00D65C47">
              <w:rPr>
                <w:rFonts w:eastAsia="Arial" w:cs="Arial"/>
                <w:b/>
                <w:bCs/>
                <w:color w:val="000000"/>
                <w:sz w:val="20"/>
                <w:szCs w:val="20"/>
              </w:rPr>
              <w:t xml:space="preserve">Obszar wsparcia : </w:t>
            </w:r>
            <w:r w:rsidRPr="00D65C47">
              <w:rPr>
                <w:rFonts w:eastAsia="Arial" w:cs="Arial"/>
                <w:color w:val="000000"/>
                <w:sz w:val="20"/>
                <w:szCs w:val="20"/>
              </w:rPr>
              <w:t xml:space="preserve"> czy projekt realizowany jest w powiatach, w których dotychczas nie była dostępna dana forma udzielania świadczeń opieki zdrowotnej finansowanych ze środków publicznych – w szczególności projekty ukierunkowane na inną niż stacjonarne formy udzielania świadczeń (poradnie, oddziały dzienne, zespoły leczenia środowiskowego)</w:t>
            </w:r>
          </w:p>
          <w:p w:rsidRPr="00D65C47" w:rsidR="00D65C47" w:rsidRDefault="00D65C47" w14:paraId="0562CB0E" w14:textId="77777777">
            <w:pPr>
              <w:spacing w:after="0" w:line="240" w:lineRule="auto"/>
              <w:rPr>
                <w:rFonts w:eastAsia="Times New Roman"/>
                <w:color w:val="000000"/>
                <w:sz w:val="20"/>
                <w:szCs w:val="20"/>
                <w:lang w:eastAsia="pl-PL"/>
              </w:rPr>
            </w:pPr>
          </w:p>
        </w:tc>
        <w:tc>
          <w:tcPr>
            <w:tcW w:w="1403"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2FC6394A" w14:textId="77777777">
            <w:pPr>
              <w:spacing w:after="0" w:line="240" w:lineRule="auto"/>
              <w:rPr>
                <w:rFonts w:cs="Calibri"/>
                <w:color w:val="000000"/>
                <w:sz w:val="20"/>
                <w:szCs w:val="20"/>
                <w:lang w:eastAsia="pl-PL"/>
              </w:rPr>
            </w:pPr>
            <w:r w:rsidRPr="00D65C47">
              <w:rPr>
                <w:rFonts w:cs="Calibri"/>
                <w:color w:val="000000"/>
                <w:sz w:val="20"/>
                <w:szCs w:val="20"/>
                <w:lang w:eastAsia="pl-PL"/>
              </w:rPr>
              <w:lastRenderedPageBreak/>
              <w:t>merytoryczne</w:t>
            </w:r>
          </w:p>
        </w:tc>
        <w:tc>
          <w:tcPr>
            <w:tcW w:w="3686" w:type="dxa"/>
            <w:tcBorders>
              <w:top w:val="single" w:color="auto" w:sz="4" w:space="0"/>
              <w:left w:val="single" w:color="auto" w:sz="4" w:space="0"/>
              <w:bottom w:val="single" w:color="auto" w:sz="4" w:space="0"/>
              <w:right w:val="single" w:color="auto" w:sz="4" w:space="0"/>
            </w:tcBorders>
          </w:tcPr>
          <w:p w:rsidRPr="00D65C47" w:rsidR="00D65C47" w:rsidRDefault="00D65C47" w14:paraId="3BB39B55" w14:textId="77777777">
            <w:pPr>
              <w:spacing w:after="0" w:line="240" w:lineRule="auto"/>
              <w:rPr>
                <w:rFonts w:cs="Calibri"/>
                <w:color w:val="000000"/>
                <w:sz w:val="20"/>
                <w:szCs w:val="20"/>
                <w:lang w:eastAsia="pl-PL"/>
              </w:rPr>
            </w:pPr>
            <w:r w:rsidRPr="00D65C47">
              <w:rPr>
                <w:rFonts w:cs="Calibri"/>
                <w:color w:val="000000"/>
                <w:sz w:val="20"/>
                <w:szCs w:val="20"/>
                <w:lang w:eastAsia="pl-PL"/>
              </w:rPr>
              <w:t>skala punktowa: 0-4</w:t>
            </w:r>
          </w:p>
          <w:p w:rsidRPr="00D65C47" w:rsidR="00D65C47" w:rsidRDefault="00D65C47" w14:paraId="020C14C2" w14:textId="77777777">
            <w:pPr>
              <w:spacing w:after="0" w:line="240" w:lineRule="auto"/>
              <w:rPr>
                <w:rFonts w:cs="Calibri"/>
                <w:color w:val="000000"/>
                <w:sz w:val="20"/>
                <w:szCs w:val="20"/>
                <w:lang w:eastAsia="pl-PL"/>
              </w:rPr>
            </w:pPr>
            <w:r w:rsidRPr="00D65C47">
              <w:rPr>
                <w:rFonts w:cs="Calibri"/>
                <w:color w:val="000000"/>
                <w:sz w:val="20"/>
                <w:szCs w:val="20"/>
                <w:lang w:eastAsia="pl-PL"/>
              </w:rPr>
              <w:t>Projekt uzyskuje punkty w następujących przypadkach:</w:t>
            </w:r>
          </w:p>
          <w:p w:rsidRPr="00D65C47" w:rsidR="00D65C47" w:rsidRDefault="00D65C47" w14:paraId="34CE0A41" w14:textId="77777777">
            <w:pPr>
              <w:spacing w:after="0" w:line="240" w:lineRule="auto"/>
              <w:rPr>
                <w:rFonts w:cs="Calibri"/>
                <w:color w:val="000000"/>
                <w:sz w:val="20"/>
                <w:szCs w:val="20"/>
                <w:lang w:eastAsia="pl-PL"/>
              </w:rPr>
            </w:pPr>
          </w:p>
          <w:p w:rsidRPr="00D65C47" w:rsidR="00D65C47" w:rsidRDefault="00D65C47" w14:paraId="62EBF3C5" w14:textId="77777777">
            <w:pPr>
              <w:spacing w:after="0" w:line="240" w:lineRule="auto"/>
              <w:rPr>
                <w:rFonts w:cs="Calibri"/>
                <w:color w:val="000000"/>
                <w:sz w:val="20"/>
                <w:szCs w:val="20"/>
                <w:lang w:eastAsia="pl-PL"/>
              </w:rPr>
            </w:pPr>
          </w:p>
          <w:p w:rsidRPr="00D65C47" w:rsidR="00D65C47" w:rsidRDefault="00D65C47" w14:paraId="7DAB1CEC" w14:textId="77777777">
            <w:pPr>
              <w:spacing w:after="0" w:line="240" w:lineRule="auto"/>
              <w:rPr>
                <w:rFonts w:cs="Calibri"/>
                <w:color w:val="000000"/>
                <w:sz w:val="20"/>
                <w:szCs w:val="20"/>
                <w:lang w:eastAsia="pl-PL"/>
              </w:rPr>
            </w:pPr>
            <w:r w:rsidRPr="00D65C47">
              <w:rPr>
                <w:rFonts w:cs="Calibri"/>
                <w:color w:val="000000"/>
                <w:sz w:val="20"/>
                <w:szCs w:val="20"/>
                <w:lang w:eastAsia="pl-PL"/>
              </w:rPr>
              <w:t>1 pkt – projekt realizowany jest przez podmiot leczniczy, który zapewnia (lub zobowiąże się do zapewnienia w wyniku realizacji projektu)</w:t>
            </w:r>
            <w:r w:rsidRPr="00D65C47">
              <w:rPr>
                <w:rFonts w:cs="Calibri"/>
                <w:color w:val="000000"/>
                <w:sz w:val="20"/>
                <w:szCs w:val="20"/>
                <w:vertAlign w:val="superscript"/>
                <w:lang w:eastAsia="pl-PL"/>
              </w:rPr>
              <w:footnoteReference w:id="17"/>
            </w:r>
            <w:r w:rsidRPr="00D65C47">
              <w:rPr>
                <w:rFonts w:cs="Calibri"/>
                <w:color w:val="000000"/>
                <w:sz w:val="20"/>
                <w:szCs w:val="20"/>
                <w:vertAlign w:val="superscript"/>
                <w:lang w:eastAsia="pl-PL"/>
              </w:rPr>
              <w:t xml:space="preserve"> </w:t>
            </w:r>
            <w:r w:rsidRPr="00D65C47">
              <w:rPr>
                <w:rFonts w:cs="Calibri"/>
                <w:color w:val="000000"/>
                <w:sz w:val="20"/>
                <w:szCs w:val="20"/>
                <w:lang w:eastAsia="pl-PL"/>
              </w:rPr>
              <w:t>kompleksową opiekę psychiatryczną, obejmującą swoim zakresem podmiot udzielający świadczeń w pięciu formach leczenia: oddział dzienny</w:t>
            </w:r>
            <w:r w:rsidRPr="00D65C47">
              <w:rPr>
                <w:rFonts w:cs="Calibri"/>
                <w:color w:val="000000"/>
                <w:sz w:val="20"/>
                <w:szCs w:val="20"/>
                <w:vertAlign w:val="superscript"/>
                <w:lang w:eastAsia="pl-PL"/>
              </w:rPr>
              <w:footnoteReference w:id="18"/>
            </w:r>
            <w:r w:rsidRPr="00D65C47">
              <w:rPr>
                <w:rFonts w:cs="Calibri"/>
                <w:color w:val="000000"/>
                <w:sz w:val="20"/>
                <w:szCs w:val="20"/>
                <w:lang w:eastAsia="pl-PL"/>
              </w:rPr>
              <w:t>, poradnia AOS</w:t>
            </w:r>
            <w:r w:rsidRPr="00D65C47">
              <w:rPr>
                <w:rFonts w:cs="Calibri"/>
                <w:color w:val="000000"/>
                <w:sz w:val="20"/>
                <w:szCs w:val="20"/>
                <w:vertAlign w:val="superscript"/>
                <w:lang w:eastAsia="pl-PL"/>
              </w:rPr>
              <w:footnoteReference w:id="19"/>
            </w:r>
            <w:r w:rsidRPr="00D65C47">
              <w:rPr>
                <w:rFonts w:cs="Calibri"/>
                <w:color w:val="000000"/>
                <w:sz w:val="20"/>
                <w:szCs w:val="20"/>
                <w:lang w:eastAsia="pl-PL"/>
              </w:rPr>
              <w:t>, izba przyjęć</w:t>
            </w:r>
            <w:r w:rsidRPr="00D65C47">
              <w:rPr>
                <w:rFonts w:cs="Calibri"/>
                <w:color w:val="000000"/>
                <w:sz w:val="20"/>
                <w:szCs w:val="20"/>
                <w:vertAlign w:val="superscript"/>
                <w:lang w:eastAsia="pl-PL"/>
              </w:rPr>
              <w:footnoteReference w:id="20"/>
            </w:r>
            <w:r w:rsidRPr="00D65C47">
              <w:rPr>
                <w:rFonts w:cs="Calibri"/>
                <w:color w:val="000000"/>
                <w:sz w:val="20"/>
                <w:szCs w:val="20"/>
                <w:lang w:eastAsia="pl-PL"/>
              </w:rPr>
              <w:t xml:space="preserve"> lub szpitalny oddział ratunkowy</w:t>
            </w:r>
            <w:r w:rsidRPr="00D65C47">
              <w:rPr>
                <w:rFonts w:cs="Calibri"/>
                <w:color w:val="000000"/>
                <w:sz w:val="20"/>
                <w:szCs w:val="20"/>
                <w:vertAlign w:val="superscript"/>
                <w:lang w:eastAsia="pl-PL"/>
              </w:rPr>
              <w:footnoteReference w:id="21"/>
            </w:r>
            <w:r w:rsidRPr="00D65C47">
              <w:rPr>
                <w:rFonts w:cs="Calibri"/>
                <w:color w:val="000000"/>
                <w:sz w:val="20"/>
                <w:szCs w:val="20"/>
                <w:lang w:eastAsia="pl-PL"/>
              </w:rPr>
              <w:t>, oddział całodobowy</w:t>
            </w:r>
            <w:r w:rsidRPr="00D65C47">
              <w:rPr>
                <w:rFonts w:cs="Calibri"/>
                <w:color w:val="000000"/>
                <w:sz w:val="20"/>
                <w:szCs w:val="20"/>
                <w:vertAlign w:val="superscript"/>
                <w:lang w:eastAsia="pl-PL"/>
              </w:rPr>
              <w:footnoteReference w:id="22"/>
            </w:r>
            <w:r w:rsidRPr="00D65C47">
              <w:rPr>
                <w:rFonts w:cs="Calibri"/>
                <w:color w:val="000000"/>
                <w:sz w:val="20"/>
                <w:szCs w:val="20"/>
                <w:vertAlign w:val="superscript"/>
                <w:lang w:eastAsia="pl-PL"/>
              </w:rPr>
              <w:t>,</w:t>
            </w:r>
            <w:r w:rsidRPr="00D65C47">
              <w:rPr>
                <w:rFonts w:cs="Calibri"/>
                <w:color w:val="000000"/>
                <w:sz w:val="20"/>
                <w:szCs w:val="20"/>
                <w:lang w:eastAsia="pl-PL"/>
              </w:rPr>
              <w:t xml:space="preserve"> </w:t>
            </w:r>
            <w:r w:rsidRPr="00D65C47">
              <w:rPr>
                <w:rFonts w:cs="Calibri"/>
                <w:color w:val="000000"/>
                <w:sz w:val="20"/>
                <w:szCs w:val="20"/>
                <w:lang w:eastAsia="pl-PL"/>
              </w:rPr>
              <w:lastRenderedPageBreak/>
              <w:t>zespół leczenia środowiskowego</w:t>
            </w:r>
            <w:r w:rsidRPr="00D65C47">
              <w:rPr>
                <w:rFonts w:cs="Calibri"/>
                <w:color w:val="000000"/>
                <w:sz w:val="20"/>
                <w:szCs w:val="20"/>
                <w:vertAlign w:val="superscript"/>
                <w:lang w:eastAsia="pl-PL"/>
              </w:rPr>
              <w:footnoteReference w:id="23"/>
            </w:r>
            <w:r w:rsidRPr="00D65C47">
              <w:rPr>
                <w:rFonts w:cs="Calibri"/>
                <w:color w:val="000000"/>
                <w:sz w:val="20"/>
                <w:szCs w:val="20"/>
                <w:lang w:eastAsia="pl-PL"/>
              </w:rPr>
              <w:t xml:space="preserve"> na terenie jednego powiatu lub powiatów sąsiadujących.</w:t>
            </w:r>
          </w:p>
          <w:p w:rsidRPr="00D65C47" w:rsidR="00D65C47" w:rsidRDefault="00D65C47" w14:paraId="6D98A12B" w14:textId="77777777">
            <w:pPr>
              <w:spacing w:after="0" w:line="240" w:lineRule="auto"/>
              <w:rPr>
                <w:rFonts w:cs="Calibri"/>
                <w:color w:val="000000"/>
                <w:sz w:val="20"/>
                <w:szCs w:val="20"/>
                <w:lang w:eastAsia="pl-PL"/>
              </w:rPr>
            </w:pPr>
          </w:p>
          <w:p w:rsidR="00D65C47" w:rsidRDefault="00D65C47" w14:paraId="205CCE8E" w14:textId="77777777">
            <w:pPr>
              <w:rPr>
                <w:rStyle w:val="normaltextrun"/>
                <w:color w:val="D13438"/>
              </w:rPr>
            </w:pPr>
            <w:r>
              <w:rPr>
                <w:rStyle w:val="normaltextrun"/>
                <w:rFonts w:cs="Calibri"/>
              </w:rPr>
              <w:t>2</w:t>
            </w:r>
            <w:r>
              <w:rPr>
                <w:rStyle w:val="normaltextrun"/>
                <w:rFonts w:cs="Calibri"/>
                <w:sz w:val="20"/>
                <w:szCs w:val="20"/>
              </w:rPr>
              <w:t xml:space="preserve"> pkt - </w:t>
            </w:r>
            <w:r>
              <w:rPr>
                <w:rFonts w:cs="Calibri"/>
                <w:sz w:val="20"/>
                <w:szCs w:val="20"/>
              </w:rPr>
              <w:t>projekt przewiduje innowacyjne rozwiązania uwzględniające narzędzia z zakresu IT, służące do zdalnych porad/konsultacji</w:t>
            </w:r>
            <w:r>
              <w:rPr>
                <w:rStyle w:val="normaltextrun"/>
                <w:rFonts w:cs="Calibri"/>
                <w:sz w:val="20"/>
                <w:szCs w:val="20"/>
              </w:rPr>
              <w:t xml:space="preserve"> .</w:t>
            </w:r>
          </w:p>
          <w:p w:rsidR="00D65C47" w:rsidRDefault="00D65C47" w14:paraId="2946DB82" w14:textId="77777777">
            <w:pPr>
              <w:rPr>
                <w:rStyle w:val="normaltextrun"/>
                <w:sz w:val="20"/>
                <w:szCs w:val="20"/>
              </w:rPr>
            </w:pPr>
          </w:p>
          <w:p w:rsidRPr="00D65C47" w:rsidR="00D65C47" w:rsidRDefault="00D65C47" w14:paraId="466AE6D2" w14:textId="77777777">
            <w:pPr>
              <w:spacing w:after="0" w:line="240" w:lineRule="auto"/>
              <w:rPr>
                <w:color w:val="000000"/>
                <w:lang w:eastAsia="pl-PL"/>
              </w:rPr>
            </w:pPr>
            <w:r w:rsidRPr="00D65C47">
              <w:rPr>
                <w:color w:val="000000"/>
                <w:sz w:val="20"/>
                <w:szCs w:val="20"/>
                <w:lang w:eastAsia="pl-PL"/>
              </w:rPr>
              <w:t>1 pkt – projekt realizowany jest w powiatach, w których dotychczas nie była dostępna dana forma udzielania świadczeń opieki zdrowotnej finansowanych ze środków publicznych – w szczególności projekty ukierunkowane na inną niż stacjonarne formy udzielania świadczeń  (poradnie, oddziały dzienne, zespoły leczenia środowiskowego).</w:t>
            </w:r>
          </w:p>
          <w:p w:rsidRPr="00D65C47" w:rsidR="00D65C47" w:rsidRDefault="00D65C47" w14:paraId="5997CC1D" w14:textId="77777777">
            <w:pPr>
              <w:spacing w:after="0" w:line="240" w:lineRule="auto"/>
              <w:rPr>
                <w:rFonts w:cs="Calibri"/>
                <w:color w:val="000000"/>
                <w:sz w:val="20"/>
                <w:szCs w:val="20"/>
                <w:lang w:eastAsia="pl-PL"/>
              </w:rPr>
            </w:pPr>
          </w:p>
        </w:tc>
        <w:tc>
          <w:tcPr>
            <w:tcW w:w="1418" w:type="dxa"/>
            <w:tcBorders>
              <w:top w:val="single" w:color="auto" w:sz="4" w:space="0"/>
              <w:left w:val="single" w:color="auto" w:sz="4" w:space="0"/>
              <w:bottom w:val="single" w:color="auto" w:sz="4" w:space="0"/>
              <w:right w:val="single" w:color="auto" w:sz="4" w:space="0"/>
            </w:tcBorders>
          </w:tcPr>
          <w:p w:rsidRPr="00D65C47" w:rsidR="00D65C47" w:rsidRDefault="00D65C47" w14:paraId="110FFD37" w14:textId="77777777">
            <w:pPr>
              <w:spacing w:after="0" w:line="240" w:lineRule="auto"/>
              <w:rPr>
                <w:rFonts w:cs="Calibri"/>
                <w:color w:val="000000"/>
                <w:sz w:val="20"/>
                <w:szCs w:val="20"/>
                <w:lang w:eastAsia="pl-PL"/>
              </w:rPr>
            </w:pPr>
          </w:p>
        </w:tc>
        <w:tc>
          <w:tcPr>
            <w:tcW w:w="776" w:type="dxa"/>
            <w:tcBorders>
              <w:top w:val="single" w:color="auto" w:sz="4" w:space="0"/>
              <w:left w:val="single" w:color="auto" w:sz="4" w:space="0"/>
              <w:bottom w:val="single" w:color="auto" w:sz="4" w:space="0"/>
              <w:right w:val="single" w:color="auto" w:sz="4" w:space="0"/>
            </w:tcBorders>
            <w:hideMark/>
          </w:tcPr>
          <w:p w:rsidRPr="00D65C47" w:rsidR="00D65C47" w:rsidRDefault="00D65C47" w14:paraId="7144751B" w14:textId="77777777">
            <w:pPr>
              <w:spacing w:after="0" w:line="240" w:lineRule="auto"/>
              <w:rPr>
                <w:rFonts w:cs="Calibri"/>
                <w:color w:val="000000"/>
                <w:sz w:val="20"/>
                <w:szCs w:val="20"/>
                <w:lang w:eastAsia="pl-PL"/>
              </w:rPr>
            </w:pPr>
            <w:r w:rsidRPr="00D65C47">
              <w:rPr>
                <w:rFonts w:cs="Calibri"/>
                <w:color w:val="000000"/>
                <w:sz w:val="20"/>
                <w:szCs w:val="20"/>
                <w:lang w:eastAsia="pl-PL"/>
              </w:rPr>
              <w:t>2</w:t>
            </w:r>
          </w:p>
        </w:tc>
      </w:tr>
    </w:tbl>
    <w:p w:rsidR="00D65C47" w:rsidP="009924C7" w:rsidRDefault="00D65C47" w14:paraId="6B699379" w14:textId="77777777">
      <w:pPr>
        <w:spacing w:line="360" w:lineRule="auto"/>
        <w:rPr>
          <w:rFonts w:ascii="Times New Roman" w:hAnsi="Times New Roman"/>
          <w:bCs/>
          <w:sz w:val="24"/>
          <w:szCs w:val="24"/>
        </w:rPr>
      </w:pPr>
    </w:p>
    <w:sectPr w:rsidR="00D65C47" w:rsidSect="00B01329">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9E" w:rsidP="009029B5" w:rsidRDefault="00945C9E" w14:paraId="72322421" w14:textId="77777777">
      <w:pPr>
        <w:spacing w:after="0" w:line="240" w:lineRule="auto"/>
      </w:pPr>
      <w:r>
        <w:separator/>
      </w:r>
    </w:p>
  </w:endnote>
  <w:endnote w:type="continuationSeparator" w:id="0">
    <w:p w:rsidR="00945C9E" w:rsidP="009029B5" w:rsidRDefault="00945C9E" w14:paraId="2201D3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E" w:rsidRDefault="004E78D3" w14:paraId="0EB546F9" w14:textId="77777777">
    <w:pPr>
      <w:pStyle w:val="Stopka"/>
      <w:jc w:val="right"/>
    </w:pPr>
    <w:r>
      <w:fldChar w:fldCharType="begin"/>
    </w:r>
    <w:r w:rsidR="00C50DEE">
      <w:instrText>PAGE   \* MERGEFORMAT</w:instrText>
    </w:r>
    <w:r>
      <w:fldChar w:fldCharType="separate"/>
    </w:r>
    <w:r w:rsidR="0037477A">
      <w:rPr>
        <w:noProof/>
      </w:rPr>
      <w:t>2</w:t>
    </w:r>
    <w:r>
      <w:fldChar w:fldCharType="end"/>
    </w:r>
  </w:p>
  <w:p w:rsidR="009E1472" w:rsidRDefault="009E1472" w14:paraId="08CE6F91" w14:textId="777777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D6" w:rsidRDefault="005A1ED6" w14:paraId="407CE2FB" w14:textId="6C5ECE63">
    <w:pPr>
      <w:pStyle w:val="Stopka"/>
      <w:jc w:val="right"/>
    </w:pPr>
    <w:r>
      <w:fldChar w:fldCharType="begin"/>
    </w:r>
    <w:r>
      <w:instrText>PAGE   \* MERGEFORMAT</w:instrText>
    </w:r>
    <w:r>
      <w:fldChar w:fldCharType="separate"/>
    </w:r>
    <w:r w:rsidR="0076572D">
      <w:rPr>
        <w:noProof/>
      </w:rPr>
      <w:t>1</w:t>
    </w:r>
    <w:r>
      <w:fldChar w:fldCharType="end"/>
    </w:r>
  </w:p>
  <w:p w:rsidR="009E1472" w:rsidRDefault="009E1472" w14:paraId="3FE9F23F" w14:textId="777777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A9" w:rsidRDefault="002A3FA9" w14:paraId="075C4ADA" w14:textId="6951DFBB">
    <w:pPr>
      <w:pStyle w:val="Stopka"/>
      <w:jc w:val="right"/>
    </w:pPr>
    <w:r>
      <w:fldChar w:fldCharType="begin"/>
    </w:r>
    <w:r>
      <w:instrText>PAGE   \* MERGEFORMAT</w:instrText>
    </w:r>
    <w:r>
      <w:fldChar w:fldCharType="separate"/>
    </w:r>
    <w:r w:rsidR="0076572D">
      <w:rPr>
        <w:noProof/>
      </w:rPr>
      <w:t>10</w:t>
    </w:r>
    <w:r>
      <w:fldChar w:fldCharType="end"/>
    </w:r>
  </w:p>
  <w:p w:rsidR="002A3FA9" w:rsidRDefault="002A3FA9" w14:paraId="07459315" w14:textId="77777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9E" w:rsidP="009029B5" w:rsidRDefault="00945C9E" w14:paraId="6239C0DA" w14:textId="77777777">
      <w:pPr>
        <w:spacing w:after="0" w:line="240" w:lineRule="auto"/>
      </w:pPr>
      <w:r>
        <w:separator/>
      </w:r>
    </w:p>
  </w:footnote>
  <w:footnote w:type="continuationSeparator" w:id="0">
    <w:p w:rsidR="00945C9E" w:rsidP="009029B5" w:rsidRDefault="00945C9E" w14:paraId="417DF8A3" w14:textId="77777777">
      <w:pPr>
        <w:spacing w:after="0" w:line="240" w:lineRule="auto"/>
      </w:pPr>
      <w:r>
        <w:continuationSeparator/>
      </w:r>
    </w:p>
  </w:footnote>
  <w:footnote w:id="1">
    <w:p w:rsidR="00D65C47" w:rsidP="00D65C47" w:rsidRDefault="00D65C47" w14:paraId="148DFE1A" w14:textId="77777777">
      <w:pPr>
        <w:pStyle w:val="Tekstprzypisudolnego"/>
        <w:rPr>
          <w:rFonts w:ascii="Times New Roman" w:hAnsi="Times New Roman"/>
        </w:rPr>
      </w:pPr>
      <w:r>
        <w:rPr>
          <w:rStyle w:val="Odwoanieprzypisudolnego"/>
        </w:rPr>
        <w:footnoteRef/>
      </w:r>
      <w:r>
        <w:t xml:space="preserve"> O której mowa w ustawie o świadczeniach opieki zdrowotnej finansowanych ze środków publicznych</w:t>
      </w:r>
    </w:p>
  </w:footnote>
  <w:footnote w:id="2">
    <w:p w:rsidR="00D65C47" w:rsidP="00D65C47" w:rsidRDefault="00D65C47" w14:paraId="57F362B7" w14:textId="77777777">
      <w:pPr>
        <w:spacing w:after="0"/>
      </w:pPr>
      <w:r>
        <w:rPr>
          <w:vertAlign w:val="superscript"/>
        </w:rPr>
        <w:footnoteRef/>
      </w:r>
      <w:r>
        <w:t xml:space="preserve"> </w:t>
      </w:r>
      <w:r>
        <w:rPr>
          <w:sz w:val="20"/>
          <w:szCs w:val="20"/>
        </w:rPr>
        <w:t>Opinia o celowości inwestycji (OCI) nie jest wymagana w przypadku projektów, których wartość kosztorysowa na dzień złożenia wniosku nie przekracza 2 mln zł, a także obejmujących podstawową opiekę zdrowotną (POZ). Jeżeli projekt obejmuje zakres szerszy niż POZ, dla pozostałych zakresów należy przedłożyć stosowne OCI.</w:t>
      </w:r>
    </w:p>
  </w:footnote>
  <w:footnote w:id="3">
    <w:p w:rsidR="00D65C47" w:rsidP="00D65C47" w:rsidRDefault="00D65C47" w14:paraId="16797D32" w14:textId="77777777">
      <w:pPr>
        <w:spacing w:after="0"/>
      </w:pPr>
      <w:r>
        <w:rPr>
          <w:vertAlign w:val="superscript"/>
        </w:rPr>
        <w:footnoteRef/>
      </w:r>
      <w:r>
        <w:t xml:space="preserve"> </w:t>
      </w:r>
      <w:r>
        <w:rPr>
          <w:sz w:val="20"/>
          <w:szCs w:val="20"/>
        </w:rPr>
        <w:t>lub w dokumencie: "Zdrowa Przyszłość. Ramy Strategiczne Rozwoju Systemu Ochrony Zdrowia na lata 2021-2027, z perspektywą do 2030 r." jeśli dokument ten zostanie przyjęty przez Radę Ministrów, przed przyjęciem Planu Działań w sektorze zdrowia.</w:t>
      </w:r>
    </w:p>
  </w:footnote>
  <w:footnote w:id="4">
    <w:p w:rsidR="00D65C47" w:rsidP="00D65C47" w:rsidRDefault="00D65C47" w14:paraId="6466F20C" w14:textId="77777777">
      <w:pPr>
        <w:pStyle w:val="Tekstprzypisudolnego"/>
      </w:pPr>
      <w:r>
        <w:rPr>
          <w:rStyle w:val="Odwoanieprzypisudolnego"/>
        </w:rPr>
        <w:footnoteRef/>
      </w:r>
      <w:r>
        <w:t xml:space="preserve"> dla RPO WSL – regionalnym, o ile zakres działań zaplanowanych w projekcie jest ujęty w danym Planie. Zapis ma zastosowanie w przypadku ogłoszenia przez wojewodę planu transformacji przed przyjęciem Planu działań w sektorze zdrowia</w:t>
      </w:r>
    </w:p>
  </w:footnote>
  <w:footnote w:id="5">
    <w:p w:rsidR="00D65C47" w:rsidP="00D65C47" w:rsidRDefault="00D65C47" w14:paraId="04C05031" w14:textId="77777777">
      <w:pPr>
        <w:pStyle w:val="Tekstprzypisudolnego"/>
      </w:pPr>
      <w:r>
        <w:rPr>
          <w:rStyle w:val="Odwoanieprzypisudolnego"/>
        </w:rPr>
        <w:footnoteRef/>
      </w:r>
      <w:r>
        <w:t xml:space="preserve"> dotyczy, jeśli ww. dokumenty zostały przyjęte przed przyjęciem Planu Działań w sektorze zdrowia.</w:t>
      </w:r>
    </w:p>
  </w:footnote>
  <w:footnote w:id="6">
    <w:p w:rsidR="00D65C47" w:rsidP="00D65C47" w:rsidRDefault="00D65C47" w14:paraId="0B76080D" w14:textId="77777777">
      <w:pPr>
        <w:pStyle w:val="Tekstprzypisudolnego"/>
      </w:pPr>
      <w:r>
        <w:rPr>
          <w:rStyle w:val="Odwoanieprzypisudolnego"/>
        </w:rPr>
        <w:footnoteRef/>
      </w:r>
      <w:r>
        <w:t xml:space="preserve"> Spełnienie ww. warunku będzie elementem kontroli w czasie realizacji projektu oraz po zakończeniu jego realizacji w ramach tzw. kontroli trwałości.</w:t>
      </w:r>
    </w:p>
  </w:footnote>
  <w:footnote w:id="7">
    <w:p w:rsidR="00D65C47" w:rsidP="00D65C47" w:rsidRDefault="00D65C47" w14:paraId="033091C5" w14:textId="77777777">
      <w:pPr>
        <w:pStyle w:val="Tekstprzypisudolnego"/>
      </w:pPr>
      <w:r>
        <w:rPr>
          <w:rStyle w:val="Odwoanieprzypisudolnego"/>
        </w:rPr>
        <w:footnoteRef/>
      </w:r>
      <w:r>
        <w:t xml:space="preserve"> </w:t>
      </w:r>
      <w:proofErr w:type="spellStart"/>
      <w:r>
        <w:t>j.w</w:t>
      </w:r>
      <w:proofErr w:type="spellEnd"/>
      <w:r>
        <w:t>.</w:t>
      </w:r>
    </w:p>
  </w:footnote>
  <w:footnote w:id="8">
    <w:p w:rsidR="00D65C47" w:rsidP="00D65C47" w:rsidRDefault="00D65C47" w14:paraId="098F9BFE" w14:textId="77777777">
      <w:pPr>
        <w:pStyle w:val="Tekstprzypisudolnego"/>
      </w:pPr>
      <w:r>
        <w:rPr>
          <w:rStyle w:val="Odwoanieprzypisudolnego"/>
        </w:rPr>
        <w:footnoteRef/>
      </w:r>
      <w:r>
        <w:t xml:space="preserve"> Rozumianej zgodnie z definicją opieki koordynowanej zawartej w Podrozdziale 6.3.2.3 „Krajowych ram strategicznych. Policy Paper dla ochrony zdrowia na lata 2014-2020” (str. 191), a z chwilą przyjęcia przez Radę Ministrów polityki publicznej pt. „Zdrowa przyszłość. Ramy strategiczne rozwoju systemu ochrony zdrowia na lata 2021-2027” rozumianej zgodnie z definicją opieki koordynowanej zawartą w  tym dokumencie.</w:t>
      </w:r>
    </w:p>
  </w:footnote>
  <w:footnote w:id="9">
    <w:p w:rsidR="00D65C47" w:rsidP="00D65C47" w:rsidRDefault="00D65C47" w14:paraId="0F5012A3" w14:textId="77777777">
      <w:pPr>
        <w:pStyle w:val="Tekstprzypisudolnego"/>
      </w:pPr>
      <w:r>
        <w:rPr>
          <w:rStyle w:val="Odwoanieprzypisudolnego"/>
        </w:rPr>
        <w:footnoteRef/>
      </w:r>
      <w:r>
        <w:t xml:space="preserve"> Zgodnie z zapisami „Krajowych ram strategicznych. Policy Paper dla ochrony zdrowia na lata 2014-2020” (str. 133 i dalsze), a z chwilą przyjęcia przez Rade Ministrów polityki publicznej pt.: „Zdrowa przyszłość. Ramy strategiczne rozwoju systemu ochrony zdrowia na lata 2021-2027” zgodnie z zapisami zawartymi w tym dokumencie.</w:t>
      </w:r>
    </w:p>
  </w:footnote>
  <w:footnote w:id="10">
    <w:p w:rsidR="00D65C47" w:rsidP="00D65C47" w:rsidRDefault="00D65C47" w14:paraId="663121A0" w14:textId="77777777">
      <w:r>
        <w:rPr>
          <w:vertAlign w:val="superscript"/>
        </w:rPr>
        <w:footnoteRef/>
      </w:r>
      <w:r>
        <w:t xml:space="preserve"> </w:t>
      </w:r>
      <w:r>
        <w:rPr>
          <w:sz w:val="20"/>
          <w:szCs w:val="20"/>
        </w:rPr>
        <w:t>spełnienie tego warunku będzie elementem kontroli w czasie realizacji projektu oraz po zakończeniu jego realizacji w ramach tzw. kontroli trwałości.</w:t>
      </w:r>
    </w:p>
  </w:footnote>
  <w:footnote w:id="11">
    <w:p w:rsidR="00D65C47" w:rsidP="00D65C47" w:rsidRDefault="00D65C47" w14:paraId="2A6C3DAD" w14:textId="77777777">
      <w:r>
        <w:rPr>
          <w:vertAlign w:val="superscript"/>
        </w:rPr>
        <w:footnoteRef/>
      </w:r>
      <w:r>
        <w:t xml:space="preserve"> </w:t>
      </w:r>
      <w:r>
        <w:rPr>
          <w:sz w:val="20"/>
          <w:szCs w:val="20"/>
        </w:rPr>
        <w:t>spełnienie tego warunku będzie elementem kontroli w czasie realizacji projektu oraz po zakończeniu jego realizacji w ramach tzw. kontroli trwałości.</w:t>
      </w:r>
    </w:p>
  </w:footnote>
  <w:footnote w:id="12">
    <w:p w:rsidR="00D65C47" w:rsidP="00D65C47" w:rsidRDefault="00D65C47" w14:paraId="0B738566" w14:textId="77777777">
      <w:pPr>
        <w:pStyle w:val="Tekstprzypisudolnego"/>
      </w:pPr>
      <w:r>
        <w:rPr>
          <w:rStyle w:val="Odwoanieprzypisudolnego"/>
        </w:rPr>
        <w:footnoteRef/>
      </w:r>
      <w:r>
        <w:t xml:space="preserve"> Kryterium nie dotyczy projektów z zakresu psychiatrii</w:t>
      </w:r>
    </w:p>
  </w:footnote>
  <w:footnote w:id="13">
    <w:p w:rsidR="00D65C47" w:rsidP="00D65C47" w:rsidRDefault="00D65C47" w14:paraId="18041C40" w14:textId="77777777">
      <w:r>
        <w:rPr>
          <w:vertAlign w:val="superscript"/>
        </w:rPr>
        <w:footnoteRef/>
      </w:r>
      <w:r>
        <w:rPr>
          <w:vertAlign w:val="superscript"/>
        </w:rPr>
        <w:t xml:space="preserve"> </w:t>
      </w:r>
      <w:r>
        <w:rPr>
          <w:sz w:val="20"/>
          <w:szCs w:val="20"/>
        </w:rPr>
        <w:t>zabiegi kompleksowe tj. Typ zabiegów definiowany zgodnie z grupami wyróżnionymi w ramach Jednorodnych Grup Pacjentów</w:t>
      </w:r>
    </w:p>
  </w:footnote>
  <w:footnote w:id="14">
    <w:p w:rsidR="00D65C47" w:rsidP="00D65C47" w:rsidRDefault="00D65C47" w14:paraId="6CB4452A" w14:textId="77777777">
      <w:pPr>
        <w:pStyle w:val="Tekstprzypisudolnego"/>
      </w:pPr>
      <w:r>
        <w:rPr>
          <w:rStyle w:val="Odwoanieprzypisudolnego"/>
        </w:rPr>
        <w:footnoteRef/>
      </w:r>
      <w:r>
        <w:t xml:space="preserve"> Wskaźnik obłożenia standardowego łóżek liczony według wzoru: </w:t>
      </w:r>
    </w:p>
    <w:p w:rsidRPr="00D65C47" w:rsidR="00D65C47" w:rsidP="00D65C47" w:rsidRDefault="00D65C47" w14:paraId="07547A01" w14:textId="77777777">
      <w:pPr>
        <w:pStyle w:val="Tekstprzypisudolnego"/>
      </w:pPr>
    </w:p>
    <w:p w:rsidRPr="00D65C47" w:rsidR="00D65C47" w:rsidP="00D65C47" w:rsidRDefault="00D65C47" w14:paraId="791C79B6" w14:textId="77777777">
      <w:pPr>
        <w:pStyle w:val="Tekstprzypisudolnego"/>
        <w:rPr>
          <w:sz w:val="16"/>
          <w:szCs w:val="16"/>
        </w:rPr>
      </w:pPr>
      <w:r w:rsidRPr="00D65C47">
        <w:t xml:space="preserve">       </w:t>
      </w:r>
      <w:r w:rsidRPr="00D65C47">
        <w:rPr>
          <w:sz w:val="16"/>
          <w:szCs w:val="16"/>
        </w:rPr>
        <w:t>Liczba osobodni zrealizowana na danym oddziale, rozumiana jako</w:t>
      </w:r>
    </w:p>
    <w:p w:rsidRPr="00D65C47" w:rsidR="00D65C47" w:rsidP="00D65C47" w:rsidRDefault="00D65C47" w14:paraId="6536C157" w14:textId="77777777">
      <w:pPr>
        <w:pStyle w:val="Tekstprzypisudolnego"/>
        <w:rPr>
          <w:sz w:val="16"/>
          <w:szCs w:val="16"/>
        </w:rPr>
      </w:pPr>
      <w:r w:rsidRPr="00D65C47">
        <w:rPr>
          <w:sz w:val="16"/>
          <w:szCs w:val="16"/>
        </w:rPr>
        <w:t xml:space="preserve">              różnica daty końca i początku pobytu na oddziale</w:t>
      </w:r>
    </w:p>
    <w:p w:rsidRPr="00D65C47" w:rsidR="00D65C47" w:rsidP="00D65C47" w:rsidRDefault="00D65C47" w14:paraId="3D5A856B" w14:textId="77777777">
      <w:pPr>
        <w:pStyle w:val="Tekstprzypisudolnego"/>
        <w:rPr>
          <w:sz w:val="16"/>
          <w:szCs w:val="16"/>
        </w:rPr>
      </w:pPr>
      <w:r w:rsidRPr="00D65C47">
        <w:rPr>
          <w:sz w:val="16"/>
          <w:szCs w:val="16"/>
        </w:rPr>
        <w:t xml:space="preserve">               (+ 1 dzień w przypadku pobytu jednodniowego)</w:t>
      </w:r>
    </w:p>
    <w:p w:rsidRPr="00D65C47" w:rsidR="00D65C47" w:rsidP="00D65C47" w:rsidRDefault="00D65C47" w14:paraId="72D772C2" w14:textId="77777777">
      <w:pPr>
        <w:pStyle w:val="Tekstprzypisudolnego"/>
      </w:pPr>
      <w:r w:rsidRPr="00D65C47">
        <w:rPr>
          <w:strike/>
        </w:rPr>
        <w:t xml:space="preserve">                                                                                                                </w:t>
      </w:r>
      <w:r w:rsidRPr="00D65C47">
        <w:t xml:space="preserve"> x 100%</w:t>
      </w:r>
    </w:p>
    <w:p w:rsidRPr="00D65C47" w:rsidR="00D65C47" w:rsidP="00D65C47" w:rsidRDefault="00D65C47" w14:paraId="07541E4E" w14:textId="77777777">
      <w:pPr>
        <w:pStyle w:val="Tekstprzypisudolnego"/>
        <w:rPr>
          <w:sz w:val="16"/>
          <w:szCs w:val="16"/>
        </w:rPr>
      </w:pPr>
      <w:r w:rsidRPr="00D65C47">
        <w:rPr>
          <w:sz w:val="16"/>
          <w:szCs w:val="16"/>
        </w:rPr>
        <w:t xml:space="preserve">      liczba dni działalności oddziału w ciągu roku pomnożona przez liczbę łóżek </w:t>
      </w:r>
    </w:p>
    <w:p w:rsidRPr="00D65C47" w:rsidR="00D65C47" w:rsidP="00D65C47" w:rsidRDefault="00D65C47" w14:paraId="565CB7BE" w14:textId="77777777">
      <w:pPr>
        <w:pStyle w:val="Tekstprzypisudolnego"/>
        <w:rPr>
          <w:sz w:val="16"/>
          <w:szCs w:val="16"/>
        </w:rPr>
      </w:pPr>
      <w:r w:rsidRPr="00D65C47">
        <w:rPr>
          <w:sz w:val="16"/>
          <w:szCs w:val="16"/>
        </w:rPr>
        <w:t xml:space="preserve">               sprawozdanych na oddziale (dane pochodzą z RPWDL)</w:t>
      </w:r>
    </w:p>
    <w:p w:rsidR="00D65C47" w:rsidP="00D65C47" w:rsidRDefault="00D65C47" w14:paraId="5043CB0F" w14:textId="77777777">
      <w:pPr>
        <w:pStyle w:val="Tekstprzypisudolnego"/>
        <w:rPr>
          <w:rFonts w:ascii="Times New Roman" w:hAnsi="Times New Roman"/>
        </w:rPr>
      </w:pPr>
    </w:p>
  </w:footnote>
  <w:footnote w:id="15">
    <w:p w:rsidR="00D65C47" w:rsidP="00D65C47" w:rsidRDefault="00D65C47" w14:paraId="13602DA9" w14:textId="77777777">
      <w:pPr>
        <w:pStyle w:val="Tekstprzypisudolnego"/>
      </w:pPr>
      <w:r>
        <w:rPr>
          <w:rStyle w:val="Odwoanieprzypisudolnego"/>
        </w:rPr>
        <w:footnoteRef/>
      </w:r>
      <w:r>
        <w:t xml:space="preserve"> z wyłączeniem danych za rok 2020.</w:t>
      </w:r>
    </w:p>
  </w:footnote>
  <w:footnote w:id="16">
    <w:p w:rsidR="00D65C47" w:rsidP="00D65C47" w:rsidRDefault="00D65C47" w14:paraId="264942E3" w14:textId="77777777">
      <w:pPr>
        <w:pStyle w:val="Tekstprzypisudolnego"/>
      </w:pPr>
      <w:r>
        <w:rPr>
          <w:rStyle w:val="Odwoanieprzypisudolnego"/>
        </w:rPr>
        <w:footnoteRef/>
      </w:r>
      <w:r>
        <w:t xml:space="preserve"> Kryterium nie dotyczy projektów z zakresu onkologii</w:t>
      </w:r>
    </w:p>
  </w:footnote>
  <w:footnote w:id="17">
    <w:p w:rsidR="00D65C47" w:rsidP="00D65C47" w:rsidRDefault="00D65C47" w14:paraId="0D36C749" w14:textId="77777777">
      <w:pPr>
        <w:pStyle w:val="Tekstprzypisudolnego"/>
      </w:pPr>
      <w:r>
        <w:rPr>
          <w:vertAlign w:val="superscript"/>
        </w:rPr>
        <w:footnoteRef/>
      </w:r>
      <w:r>
        <w:rPr>
          <w:vertAlign w:val="superscript"/>
        </w:rPr>
        <w:t xml:space="preserve"> </w:t>
      </w:r>
      <w:r>
        <w:t>spełnienie tego warunku będzie elementem kontroli w czasie realizacji projektu oraz po zakończeniu jego realizacji w ramach tzw. kontroli trwałości</w:t>
      </w:r>
    </w:p>
  </w:footnote>
  <w:footnote w:id="18">
    <w:p w:rsidR="00D65C47" w:rsidP="00D65C47" w:rsidRDefault="00D65C47" w14:paraId="07E08154" w14:textId="77777777">
      <w:pPr>
        <w:spacing w:after="0"/>
      </w:pPr>
      <w:r>
        <w:rPr>
          <w:vertAlign w:val="superscript"/>
        </w:rPr>
        <w:footnoteRef/>
      </w:r>
      <w:r>
        <w:t xml:space="preserve"> </w:t>
      </w:r>
      <w:r>
        <w:rPr>
          <w:sz w:val="20"/>
          <w:szCs w:val="20"/>
        </w:rPr>
        <w:t>VIII część kodu resortowego: 2700, 2702, 2704, 2706, 2710</w:t>
      </w:r>
    </w:p>
  </w:footnote>
  <w:footnote w:id="19">
    <w:p w:rsidR="00D65C47" w:rsidP="00D65C47" w:rsidRDefault="00D65C47" w14:paraId="099A19C7" w14:textId="77777777">
      <w:pPr>
        <w:spacing w:after="0"/>
      </w:pPr>
      <w:r>
        <w:rPr>
          <w:vertAlign w:val="superscript"/>
        </w:rPr>
        <w:footnoteRef/>
      </w:r>
      <w:r>
        <w:t xml:space="preserve"> </w:t>
      </w:r>
      <w:r>
        <w:rPr>
          <w:sz w:val="20"/>
          <w:szCs w:val="20"/>
        </w:rPr>
        <w:t>VIII część kodu resortowego: 1700, 1702, 1704, 1706, 1710, 1750, 1790</w:t>
      </w:r>
    </w:p>
  </w:footnote>
  <w:footnote w:id="20">
    <w:p w:rsidR="00D65C47" w:rsidP="00D65C47" w:rsidRDefault="00D65C47" w14:paraId="11800FE8" w14:textId="77777777">
      <w:pPr>
        <w:spacing w:after="0"/>
      </w:pPr>
      <w:r>
        <w:rPr>
          <w:vertAlign w:val="superscript"/>
        </w:rPr>
        <w:footnoteRef/>
      </w:r>
      <w:r>
        <w:t xml:space="preserve"> </w:t>
      </w:r>
      <w:r>
        <w:rPr>
          <w:sz w:val="20"/>
          <w:szCs w:val="20"/>
        </w:rPr>
        <w:t>VIII część kodu resortowego: 4900</w:t>
      </w:r>
    </w:p>
  </w:footnote>
  <w:footnote w:id="21">
    <w:p w:rsidR="00D65C47" w:rsidP="00D65C47" w:rsidRDefault="00D65C47" w14:paraId="3EFD9ECB" w14:textId="77777777">
      <w:pPr>
        <w:spacing w:after="0"/>
      </w:pPr>
      <w:r>
        <w:rPr>
          <w:vertAlign w:val="superscript"/>
        </w:rPr>
        <w:footnoteRef/>
      </w:r>
      <w:r>
        <w:t xml:space="preserve"> </w:t>
      </w:r>
      <w:r>
        <w:rPr>
          <w:sz w:val="20"/>
          <w:szCs w:val="20"/>
        </w:rPr>
        <w:t>VIII część kodu resortowego: 3300</w:t>
      </w:r>
    </w:p>
  </w:footnote>
  <w:footnote w:id="22">
    <w:p w:rsidR="00D65C47" w:rsidP="00D65C47" w:rsidRDefault="00D65C47" w14:paraId="41BE119C" w14:textId="77777777">
      <w:pPr>
        <w:spacing w:after="0"/>
      </w:pPr>
      <w:r>
        <w:rPr>
          <w:vertAlign w:val="superscript"/>
        </w:rPr>
        <w:footnoteRef/>
      </w:r>
      <w:r>
        <w:t xml:space="preserve"> </w:t>
      </w:r>
      <w:r>
        <w:rPr>
          <w:sz w:val="20"/>
          <w:szCs w:val="20"/>
        </w:rPr>
        <w:t>VIII część kodu resortowego: 4700, 4702, 4704, 4710, 4712, 4714, 4716</w:t>
      </w:r>
    </w:p>
  </w:footnote>
  <w:footnote w:id="23">
    <w:p w:rsidR="00D65C47" w:rsidP="00D65C47" w:rsidRDefault="00D65C47" w14:paraId="52A8AD5D" w14:textId="77777777">
      <w:pPr>
        <w:spacing w:after="0"/>
      </w:pPr>
      <w:r>
        <w:rPr>
          <w:vertAlign w:val="superscript"/>
        </w:rPr>
        <w:footnoteRef/>
      </w:r>
      <w:r>
        <w:t xml:space="preserve"> </w:t>
      </w:r>
      <w:r>
        <w:rPr>
          <w:sz w:val="20"/>
          <w:szCs w:val="20"/>
        </w:rPr>
        <w:t>VIII część kodu resortowego: 2730, 2732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C9" w:rsidP="00904F4D" w:rsidRDefault="009E43C9" w14:paraId="1F72F646" w14:textId="77777777">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6F2"/>
    <w:multiLevelType w:val="hybridMultilevel"/>
    <w:tmpl w:val="AFBC5454"/>
    <w:lvl w:ilvl="0" w:tplc="96F01B6E">
      <w:start w:val="1"/>
      <w:numFmt w:val="bullet"/>
      <w:lvlText w:val=""/>
      <w:lvlJc w:val="left"/>
      <w:pPr>
        <w:ind w:left="720" w:hanging="360"/>
      </w:pPr>
      <w:rPr>
        <w:rFonts w:hint="default" w:ascii="Symbol" w:hAnsi="Symbol"/>
      </w:rPr>
    </w:lvl>
    <w:lvl w:ilvl="1" w:tplc="D02CDC62">
      <w:start w:val="1"/>
      <w:numFmt w:val="bullet"/>
      <w:lvlText w:val="o"/>
      <w:lvlJc w:val="left"/>
      <w:pPr>
        <w:ind w:left="1440" w:hanging="360"/>
      </w:pPr>
      <w:rPr>
        <w:rFonts w:hint="default" w:ascii="Courier New" w:hAnsi="Courier New" w:cs="Times New Roman"/>
      </w:rPr>
    </w:lvl>
    <w:lvl w:ilvl="2" w:tplc="5582C89A">
      <w:start w:val="1"/>
      <w:numFmt w:val="bullet"/>
      <w:lvlText w:val=""/>
      <w:lvlJc w:val="left"/>
      <w:pPr>
        <w:ind w:left="2160" w:hanging="360"/>
      </w:pPr>
      <w:rPr>
        <w:rFonts w:hint="default" w:ascii="Wingdings" w:hAnsi="Wingdings"/>
      </w:rPr>
    </w:lvl>
    <w:lvl w:ilvl="3" w:tplc="51FA63FA">
      <w:start w:val="1"/>
      <w:numFmt w:val="bullet"/>
      <w:lvlText w:val=""/>
      <w:lvlJc w:val="left"/>
      <w:pPr>
        <w:ind w:left="2880" w:hanging="360"/>
      </w:pPr>
      <w:rPr>
        <w:rFonts w:hint="default" w:ascii="Symbol" w:hAnsi="Symbol"/>
      </w:rPr>
    </w:lvl>
    <w:lvl w:ilvl="4" w:tplc="F66A0082">
      <w:start w:val="1"/>
      <w:numFmt w:val="bullet"/>
      <w:lvlText w:val="o"/>
      <w:lvlJc w:val="left"/>
      <w:pPr>
        <w:ind w:left="3600" w:hanging="360"/>
      </w:pPr>
      <w:rPr>
        <w:rFonts w:hint="default" w:ascii="Courier New" w:hAnsi="Courier New" w:cs="Times New Roman"/>
      </w:rPr>
    </w:lvl>
    <w:lvl w:ilvl="5" w:tplc="B9162222">
      <w:start w:val="1"/>
      <w:numFmt w:val="bullet"/>
      <w:lvlText w:val=""/>
      <w:lvlJc w:val="left"/>
      <w:pPr>
        <w:ind w:left="4320" w:hanging="360"/>
      </w:pPr>
      <w:rPr>
        <w:rFonts w:hint="default" w:ascii="Wingdings" w:hAnsi="Wingdings"/>
      </w:rPr>
    </w:lvl>
    <w:lvl w:ilvl="6" w:tplc="BED2FBA8">
      <w:start w:val="1"/>
      <w:numFmt w:val="bullet"/>
      <w:lvlText w:val=""/>
      <w:lvlJc w:val="left"/>
      <w:pPr>
        <w:ind w:left="5040" w:hanging="360"/>
      </w:pPr>
      <w:rPr>
        <w:rFonts w:hint="default" w:ascii="Symbol" w:hAnsi="Symbol"/>
      </w:rPr>
    </w:lvl>
    <w:lvl w:ilvl="7" w:tplc="F0E05D4C">
      <w:start w:val="1"/>
      <w:numFmt w:val="bullet"/>
      <w:lvlText w:val="o"/>
      <w:lvlJc w:val="left"/>
      <w:pPr>
        <w:ind w:left="5760" w:hanging="360"/>
      </w:pPr>
      <w:rPr>
        <w:rFonts w:hint="default" w:ascii="Courier New" w:hAnsi="Courier New" w:cs="Times New Roman"/>
      </w:rPr>
    </w:lvl>
    <w:lvl w:ilvl="8" w:tplc="96ACF146">
      <w:start w:val="1"/>
      <w:numFmt w:val="bullet"/>
      <w:lvlText w:val=""/>
      <w:lvlJc w:val="left"/>
      <w:pPr>
        <w:ind w:left="6480" w:hanging="360"/>
      </w:pPr>
      <w:rPr>
        <w:rFonts w:hint="default" w:ascii="Wingdings" w:hAnsi="Wingdings"/>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F5DD2"/>
    <w:multiLevelType w:val="hybridMultilevel"/>
    <w:tmpl w:val="7382D24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6" w15:restartNumberingAfterBreak="0">
    <w:nsid w:val="13DB7F5D"/>
    <w:multiLevelType w:val="hybridMultilevel"/>
    <w:tmpl w:val="C234E8E6"/>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7"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75F5136"/>
    <w:multiLevelType w:val="hybridMultilevel"/>
    <w:tmpl w:val="BAAAC2AE"/>
    <w:lvl w:ilvl="0" w:tplc="04150003">
      <w:start w:val="1"/>
      <w:numFmt w:val="bullet"/>
      <w:lvlText w:val="o"/>
      <w:lvlJc w:val="left"/>
      <w:pPr>
        <w:ind w:left="720" w:hanging="360"/>
      </w:pPr>
      <w:rPr>
        <w:rFonts w:hint="default" w:ascii="Courier New" w:hAnsi="Courier New"/>
      </w:rPr>
    </w:lvl>
    <w:lvl w:ilvl="1" w:tplc="04150003">
      <w:start w:val="1"/>
      <w:numFmt w:val="bullet"/>
      <w:lvlText w:val="o"/>
      <w:lvlJc w:val="left"/>
      <w:pPr>
        <w:ind w:left="1440" w:hanging="360"/>
      </w:pPr>
      <w:rPr>
        <w:rFonts w:hint="default" w:ascii="Courier New" w:hAnsi="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04C54"/>
    <w:multiLevelType w:val="hybridMultilevel"/>
    <w:tmpl w:val="FFAC095A"/>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11"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2" w15:restartNumberingAfterBreak="0">
    <w:nsid w:val="1C6930F5"/>
    <w:multiLevelType w:val="hybridMultilevel"/>
    <w:tmpl w:val="2F2C2DA2"/>
    <w:lvl w:ilvl="0" w:tplc="16484D7A">
      <w:start w:val="1"/>
      <w:numFmt w:val="bullet"/>
      <w:lvlText w:val="-"/>
      <w:lvlJc w:val="left"/>
      <w:pPr>
        <w:ind w:left="720" w:hanging="360"/>
      </w:pPr>
      <w:rPr>
        <w:rFonts w:hint="default" w:ascii="Calibri" w:hAnsi="Calibri" w:cs="Times New Roman"/>
      </w:rPr>
    </w:lvl>
    <w:lvl w:ilvl="1" w:tplc="BF0824F4">
      <w:start w:val="1"/>
      <w:numFmt w:val="bullet"/>
      <w:lvlText w:val="o"/>
      <w:lvlJc w:val="left"/>
      <w:pPr>
        <w:ind w:left="1440" w:hanging="360"/>
      </w:pPr>
      <w:rPr>
        <w:rFonts w:hint="default" w:ascii="Courier New" w:hAnsi="Courier New" w:cs="Times New Roman"/>
      </w:rPr>
    </w:lvl>
    <w:lvl w:ilvl="2" w:tplc="022A7660">
      <w:start w:val="1"/>
      <w:numFmt w:val="bullet"/>
      <w:lvlText w:val=""/>
      <w:lvlJc w:val="left"/>
      <w:pPr>
        <w:ind w:left="2160" w:hanging="360"/>
      </w:pPr>
      <w:rPr>
        <w:rFonts w:hint="default" w:ascii="Wingdings" w:hAnsi="Wingdings"/>
      </w:rPr>
    </w:lvl>
    <w:lvl w:ilvl="3" w:tplc="C698309C">
      <w:start w:val="1"/>
      <w:numFmt w:val="bullet"/>
      <w:lvlText w:val=""/>
      <w:lvlJc w:val="left"/>
      <w:pPr>
        <w:ind w:left="2880" w:hanging="360"/>
      </w:pPr>
      <w:rPr>
        <w:rFonts w:hint="default" w:ascii="Symbol" w:hAnsi="Symbol"/>
      </w:rPr>
    </w:lvl>
    <w:lvl w:ilvl="4" w:tplc="220EF78E">
      <w:start w:val="1"/>
      <w:numFmt w:val="bullet"/>
      <w:lvlText w:val="o"/>
      <w:lvlJc w:val="left"/>
      <w:pPr>
        <w:ind w:left="3600" w:hanging="360"/>
      </w:pPr>
      <w:rPr>
        <w:rFonts w:hint="default" w:ascii="Courier New" w:hAnsi="Courier New" w:cs="Times New Roman"/>
      </w:rPr>
    </w:lvl>
    <w:lvl w:ilvl="5" w:tplc="B9207AF6">
      <w:start w:val="1"/>
      <w:numFmt w:val="bullet"/>
      <w:lvlText w:val=""/>
      <w:lvlJc w:val="left"/>
      <w:pPr>
        <w:ind w:left="4320" w:hanging="360"/>
      </w:pPr>
      <w:rPr>
        <w:rFonts w:hint="default" w:ascii="Wingdings" w:hAnsi="Wingdings"/>
      </w:rPr>
    </w:lvl>
    <w:lvl w:ilvl="6" w:tplc="D5DC0170">
      <w:start w:val="1"/>
      <w:numFmt w:val="bullet"/>
      <w:lvlText w:val=""/>
      <w:lvlJc w:val="left"/>
      <w:pPr>
        <w:ind w:left="5040" w:hanging="360"/>
      </w:pPr>
      <w:rPr>
        <w:rFonts w:hint="default" w:ascii="Symbol" w:hAnsi="Symbol"/>
      </w:rPr>
    </w:lvl>
    <w:lvl w:ilvl="7" w:tplc="94F87A88">
      <w:start w:val="1"/>
      <w:numFmt w:val="bullet"/>
      <w:lvlText w:val="o"/>
      <w:lvlJc w:val="left"/>
      <w:pPr>
        <w:ind w:left="5760" w:hanging="360"/>
      </w:pPr>
      <w:rPr>
        <w:rFonts w:hint="default" w:ascii="Courier New" w:hAnsi="Courier New" w:cs="Times New Roman"/>
      </w:rPr>
    </w:lvl>
    <w:lvl w:ilvl="8" w:tplc="18608AD2">
      <w:start w:val="1"/>
      <w:numFmt w:val="bullet"/>
      <w:lvlText w:val=""/>
      <w:lvlJc w:val="left"/>
      <w:pPr>
        <w:ind w:left="6480" w:hanging="360"/>
      </w:pPr>
      <w:rPr>
        <w:rFonts w:hint="default" w:ascii="Wingdings" w:hAnsi="Wingdings"/>
      </w:rPr>
    </w:lvl>
  </w:abstractNum>
  <w:abstractNum w:abstractNumId="13" w15:restartNumberingAfterBreak="0">
    <w:nsid w:val="1E765499"/>
    <w:multiLevelType w:val="hybridMultilevel"/>
    <w:tmpl w:val="606A2222"/>
    <w:lvl w:ilvl="0" w:tplc="37B81C0A">
      <w:start w:val="1"/>
      <w:numFmt w:val="bullet"/>
      <w:lvlText w:val=""/>
      <w:lvlJc w:val="left"/>
      <w:pPr>
        <w:ind w:left="502" w:hanging="360"/>
      </w:pPr>
      <w:rPr>
        <w:rFonts w:hint="default" w:ascii="Symbol" w:hAnsi="Symbol"/>
      </w:rPr>
    </w:lvl>
    <w:lvl w:ilvl="1" w:tplc="04150003" w:tentative="1">
      <w:start w:val="1"/>
      <w:numFmt w:val="bullet"/>
      <w:lvlText w:val="o"/>
      <w:lvlJc w:val="left"/>
      <w:pPr>
        <w:ind w:left="1222" w:hanging="360"/>
      </w:pPr>
      <w:rPr>
        <w:rFonts w:hint="default" w:ascii="Courier New" w:hAnsi="Courier New" w:cs="Courier New"/>
      </w:rPr>
    </w:lvl>
    <w:lvl w:ilvl="2" w:tplc="04150005" w:tentative="1">
      <w:start w:val="1"/>
      <w:numFmt w:val="bullet"/>
      <w:lvlText w:val=""/>
      <w:lvlJc w:val="left"/>
      <w:pPr>
        <w:ind w:left="1942" w:hanging="360"/>
      </w:pPr>
      <w:rPr>
        <w:rFonts w:hint="default" w:ascii="Wingdings" w:hAnsi="Wingdings"/>
      </w:rPr>
    </w:lvl>
    <w:lvl w:ilvl="3" w:tplc="04150001" w:tentative="1">
      <w:start w:val="1"/>
      <w:numFmt w:val="bullet"/>
      <w:lvlText w:val=""/>
      <w:lvlJc w:val="left"/>
      <w:pPr>
        <w:ind w:left="2662" w:hanging="360"/>
      </w:pPr>
      <w:rPr>
        <w:rFonts w:hint="default" w:ascii="Symbol" w:hAnsi="Symbol"/>
      </w:rPr>
    </w:lvl>
    <w:lvl w:ilvl="4" w:tplc="04150003" w:tentative="1">
      <w:start w:val="1"/>
      <w:numFmt w:val="bullet"/>
      <w:lvlText w:val="o"/>
      <w:lvlJc w:val="left"/>
      <w:pPr>
        <w:ind w:left="3382" w:hanging="360"/>
      </w:pPr>
      <w:rPr>
        <w:rFonts w:hint="default" w:ascii="Courier New" w:hAnsi="Courier New" w:cs="Courier New"/>
      </w:rPr>
    </w:lvl>
    <w:lvl w:ilvl="5" w:tplc="04150005" w:tentative="1">
      <w:start w:val="1"/>
      <w:numFmt w:val="bullet"/>
      <w:lvlText w:val=""/>
      <w:lvlJc w:val="left"/>
      <w:pPr>
        <w:ind w:left="4102" w:hanging="360"/>
      </w:pPr>
      <w:rPr>
        <w:rFonts w:hint="default" w:ascii="Wingdings" w:hAnsi="Wingdings"/>
      </w:rPr>
    </w:lvl>
    <w:lvl w:ilvl="6" w:tplc="04150001" w:tentative="1">
      <w:start w:val="1"/>
      <w:numFmt w:val="bullet"/>
      <w:lvlText w:val=""/>
      <w:lvlJc w:val="left"/>
      <w:pPr>
        <w:ind w:left="4822" w:hanging="360"/>
      </w:pPr>
      <w:rPr>
        <w:rFonts w:hint="default" w:ascii="Symbol" w:hAnsi="Symbol"/>
      </w:rPr>
    </w:lvl>
    <w:lvl w:ilvl="7" w:tplc="04150003" w:tentative="1">
      <w:start w:val="1"/>
      <w:numFmt w:val="bullet"/>
      <w:lvlText w:val="o"/>
      <w:lvlJc w:val="left"/>
      <w:pPr>
        <w:ind w:left="5542" w:hanging="360"/>
      </w:pPr>
      <w:rPr>
        <w:rFonts w:hint="default" w:ascii="Courier New" w:hAnsi="Courier New" w:cs="Courier New"/>
      </w:rPr>
    </w:lvl>
    <w:lvl w:ilvl="8" w:tplc="04150005" w:tentative="1">
      <w:start w:val="1"/>
      <w:numFmt w:val="bullet"/>
      <w:lvlText w:val=""/>
      <w:lvlJc w:val="left"/>
      <w:pPr>
        <w:ind w:left="6262" w:hanging="360"/>
      </w:pPr>
      <w:rPr>
        <w:rFonts w:hint="default" w:ascii="Wingdings" w:hAnsi="Wingdings"/>
      </w:rPr>
    </w:lvl>
  </w:abstractNum>
  <w:abstractNum w:abstractNumId="14" w15:restartNumberingAfterBreak="0">
    <w:nsid w:val="22ED17AB"/>
    <w:multiLevelType w:val="hybridMultilevel"/>
    <w:tmpl w:val="4A3C424E"/>
    <w:lvl w:ilvl="0" w:tplc="16484D7A">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5"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EA51B7"/>
    <w:multiLevelType w:val="hybridMultilevel"/>
    <w:tmpl w:val="28B2A820"/>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1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8" w15:restartNumberingAfterBreak="0">
    <w:nsid w:val="44DE388C"/>
    <w:multiLevelType w:val="hybridMultilevel"/>
    <w:tmpl w:val="07B628B8"/>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rPr>
    </w:lvl>
    <w:lvl w:ilvl="8" w:tplc="04150005" w:tentative="1">
      <w:start w:val="1"/>
      <w:numFmt w:val="bullet"/>
      <w:lvlText w:val=""/>
      <w:lvlJc w:val="left"/>
      <w:pPr>
        <w:ind w:left="6120" w:hanging="360"/>
      </w:pPr>
      <w:rPr>
        <w:rFonts w:hint="default" w:ascii="Wingdings" w:hAnsi="Wingdings"/>
      </w:rPr>
    </w:lvl>
  </w:abstractNum>
  <w:abstractNum w:abstractNumId="19"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B22AE5"/>
    <w:multiLevelType w:val="hybridMultilevel"/>
    <w:tmpl w:val="954E4E4A"/>
    <w:lvl w:ilvl="0" w:tplc="EE2A4D48">
      <w:start w:val="1"/>
      <w:numFmt w:val="bullet"/>
      <w:lvlText w:val=""/>
      <w:lvlJc w:val="left"/>
      <w:pPr>
        <w:ind w:left="720" w:hanging="360"/>
      </w:pPr>
      <w:rPr>
        <w:rFonts w:hint="default" w:ascii="Symbol" w:hAnsi="Symbol"/>
      </w:rPr>
    </w:lvl>
    <w:lvl w:ilvl="1" w:tplc="5D24A6E6">
      <w:start w:val="1"/>
      <w:numFmt w:val="bullet"/>
      <w:lvlText w:val="o"/>
      <w:lvlJc w:val="left"/>
      <w:pPr>
        <w:ind w:left="1440" w:hanging="360"/>
      </w:pPr>
      <w:rPr>
        <w:rFonts w:hint="default" w:ascii="Courier New" w:hAnsi="Courier New" w:cs="Times New Roman"/>
      </w:rPr>
    </w:lvl>
    <w:lvl w:ilvl="2" w:tplc="361ADA00">
      <w:start w:val="1"/>
      <w:numFmt w:val="bullet"/>
      <w:lvlText w:val=""/>
      <w:lvlJc w:val="left"/>
      <w:pPr>
        <w:ind w:left="2160" w:hanging="360"/>
      </w:pPr>
      <w:rPr>
        <w:rFonts w:hint="default" w:ascii="Wingdings" w:hAnsi="Wingdings"/>
      </w:rPr>
    </w:lvl>
    <w:lvl w:ilvl="3" w:tplc="B1E2B140">
      <w:start w:val="1"/>
      <w:numFmt w:val="bullet"/>
      <w:lvlText w:val=""/>
      <w:lvlJc w:val="left"/>
      <w:pPr>
        <w:ind w:left="2880" w:hanging="360"/>
      </w:pPr>
      <w:rPr>
        <w:rFonts w:hint="default" w:ascii="Symbol" w:hAnsi="Symbol"/>
      </w:rPr>
    </w:lvl>
    <w:lvl w:ilvl="4" w:tplc="8E6411A6">
      <w:start w:val="1"/>
      <w:numFmt w:val="bullet"/>
      <w:lvlText w:val="o"/>
      <w:lvlJc w:val="left"/>
      <w:pPr>
        <w:ind w:left="3600" w:hanging="360"/>
      </w:pPr>
      <w:rPr>
        <w:rFonts w:hint="default" w:ascii="Courier New" w:hAnsi="Courier New" w:cs="Times New Roman"/>
      </w:rPr>
    </w:lvl>
    <w:lvl w:ilvl="5" w:tplc="8716F1C0">
      <w:start w:val="1"/>
      <w:numFmt w:val="bullet"/>
      <w:lvlText w:val=""/>
      <w:lvlJc w:val="left"/>
      <w:pPr>
        <w:ind w:left="4320" w:hanging="360"/>
      </w:pPr>
      <w:rPr>
        <w:rFonts w:hint="default" w:ascii="Wingdings" w:hAnsi="Wingdings"/>
      </w:rPr>
    </w:lvl>
    <w:lvl w:ilvl="6" w:tplc="1C9CEE22">
      <w:start w:val="1"/>
      <w:numFmt w:val="bullet"/>
      <w:lvlText w:val=""/>
      <w:lvlJc w:val="left"/>
      <w:pPr>
        <w:ind w:left="5040" w:hanging="360"/>
      </w:pPr>
      <w:rPr>
        <w:rFonts w:hint="default" w:ascii="Symbol" w:hAnsi="Symbol"/>
      </w:rPr>
    </w:lvl>
    <w:lvl w:ilvl="7" w:tplc="38928088">
      <w:start w:val="1"/>
      <w:numFmt w:val="bullet"/>
      <w:lvlText w:val="o"/>
      <w:lvlJc w:val="left"/>
      <w:pPr>
        <w:ind w:left="5760" w:hanging="360"/>
      </w:pPr>
      <w:rPr>
        <w:rFonts w:hint="default" w:ascii="Courier New" w:hAnsi="Courier New" w:cs="Times New Roman"/>
      </w:rPr>
    </w:lvl>
    <w:lvl w:ilvl="8" w:tplc="5AEC94E8">
      <w:start w:val="1"/>
      <w:numFmt w:val="bullet"/>
      <w:lvlText w:val=""/>
      <w:lvlJc w:val="left"/>
      <w:pPr>
        <w:ind w:left="6480" w:hanging="360"/>
      </w:pPr>
      <w:rPr>
        <w:rFonts w:hint="default" w:ascii="Wingdings" w:hAnsi="Wingdings"/>
      </w:rPr>
    </w:lvl>
  </w:abstractNum>
  <w:abstractNum w:abstractNumId="21" w15:restartNumberingAfterBreak="0">
    <w:nsid w:val="4DB31926"/>
    <w:multiLevelType w:val="hybridMultilevel"/>
    <w:tmpl w:val="F67C9584"/>
    <w:lvl w:ilvl="0" w:tplc="F106F23C">
      <w:start w:val="1"/>
      <w:numFmt w:val="bullet"/>
      <w:lvlText w:val=""/>
      <w:lvlJc w:val="left"/>
      <w:pPr>
        <w:ind w:left="720" w:hanging="360"/>
      </w:pPr>
      <w:rPr>
        <w:rFonts w:hint="default" w:ascii="Symbol" w:hAnsi="Symbol"/>
        <w:strike w:val="0"/>
        <w:color w:val="auto"/>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2" w15:restartNumberingAfterBreak="0">
    <w:nsid w:val="53151C81"/>
    <w:multiLevelType w:val="hybridMultilevel"/>
    <w:tmpl w:val="4EDE0736"/>
    <w:lvl w:ilvl="0" w:tplc="E8EC5E0E">
      <w:start w:val="1"/>
      <w:numFmt w:val="bullet"/>
      <w:lvlText w:val="-"/>
      <w:lvlJc w:val="left"/>
      <w:pPr>
        <w:ind w:left="720" w:hanging="360"/>
      </w:pPr>
      <w:rPr>
        <w:rFonts w:hint="default" w:ascii="Calibri" w:hAnsi="Calibri" w:cs="Times New Roman"/>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23"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3"/>
  </w:num>
  <w:num w:numId="5">
    <w:abstractNumId w:val="7"/>
  </w:num>
  <w:num w:numId="6">
    <w:abstractNumId w:val="9"/>
  </w:num>
  <w:num w:numId="7">
    <w:abstractNumId w:val="19"/>
  </w:num>
  <w:num w:numId="8">
    <w:abstractNumId w:val="24"/>
  </w:num>
  <w:num w:numId="9">
    <w:abstractNumId w:val="11"/>
  </w:num>
  <w:num w:numId="10">
    <w:abstractNumId w:val="2"/>
  </w:num>
  <w:num w:numId="11">
    <w:abstractNumId w:val="3"/>
  </w:num>
  <w:num w:numId="12">
    <w:abstractNumId w:val="21"/>
  </w:num>
  <w:num w:numId="13">
    <w:abstractNumId w:val="2"/>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0"/>
  </w:num>
  <w:num w:numId="21">
    <w:abstractNumId w:val="18"/>
  </w:num>
  <w:num w:numId="22">
    <w:abstractNumId w:val="8"/>
  </w:num>
  <w:num w:numId="23">
    <w:abstractNumId w:val="10"/>
  </w:num>
  <w:num w:numId="24">
    <w:abstractNumId w:val="8"/>
  </w:num>
  <w:num w:numId="25">
    <w:abstractNumId w:val="18"/>
  </w:num>
  <w:num w:numId="26">
    <w:abstractNumId w:val="22"/>
  </w:num>
  <w:num w:numId="27">
    <w:abstractNumId w:val="20"/>
  </w:num>
  <w:num w:numId="28">
    <w:abstractNumId w:val="12"/>
  </w:num>
  <w:num w:numId="29">
    <w:abstractNumId w:val="16"/>
  </w:num>
  <w:num w:numId="30">
    <w:abstractNumId w:val="5"/>
  </w:num>
  <w:num w:numId="31">
    <w:abstractNumId w:val="14"/>
  </w:num>
  <w:num w:numId="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22CF7"/>
    <w:rsid w:val="00052FEB"/>
    <w:rsid w:val="00054F52"/>
    <w:rsid w:val="000975C4"/>
    <w:rsid w:val="00097CD1"/>
    <w:rsid w:val="000A4537"/>
    <w:rsid w:val="000B3CD6"/>
    <w:rsid w:val="000B6B8A"/>
    <w:rsid w:val="000C16E8"/>
    <w:rsid w:val="000D6DA2"/>
    <w:rsid w:val="000E3104"/>
    <w:rsid w:val="000E7E32"/>
    <w:rsid w:val="001051C4"/>
    <w:rsid w:val="00111591"/>
    <w:rsid w:val="001248B2"/>
    <w:rsid w:val="001636F5"/>
    <w:rsid w:val="001733F6"/>
    <w:rsid w:val="00174B15"/>
    <w:rsid w:val="00197F09"/>
    <w:rsid w:val="001A3C70"/>
    <w:rsid w:val="001C6C71"/>
    <w:rsid w:val="001E16F4"/>
    <w:rsid w:val="00203C43"/>
    <w:rsid w:val="00217B2A"/>
    <w:rsid w:val="0023555D"/>
    <w:rsid w:val="002426B9"/>
    <w:rsid w:val="00251BCB"/>
    <w:rsid w:val="0029122B"/>
    <w:rsid w:val="002943FA"/>
    <w:rsid w:val="002A3FA9"/>
    <w:rsid w:val="002A7274"/>
    <w:rsid w:val="002F08C6"/>
    <w:rsid w:val="00304028"/>
    <w:rsid w:val="0030695E"/>
    <w:rsid w:val="00306CD4"/>
    <w:rsid w:val="00307022"/>
    <w:rsid w:val="00314C8C"/>
    <w:rsid w:val="00323331"/>
    <w:rsid w:val="00337C98"/>
    <w:rsid w:val="00353112"/>
    <w:rsid w:val="00367A56"/>
    <w:rsid w:val="00370AD8"/>
    <w:rsid w:val="0037477A"/>
    <w:rsid w:val="00376A35"/>
    <w:rsid w:val="00381A46"/>
    <w:rsid w:val="00386B96"/>
    <w:rsid w:val="003902F3"/>
    <w:rsid w:val="003A484B"/>
    <w:rsid w:val="003C0F43"/>
    <w:rsid w:val="00413384"/>
    <w:rsid w:val="004201FA"/>
    <w:rsid w:val="00437684"/>
    <w:rsid w:val="00445108"/>
    <w:rsid w:val="00454C80"/>
    <w:rsid w:val="00455866"/>
    <w:rsid w:val="004561D5"/>
    <w:rsid w:val="00474268"/>
    <w:rsid w:val="004929F9"/>
    <w:rsid w:val="00494A64"/>
    <w:rsid w:val="00497E32"/>
    <w:rsid w:val="004A7DDE"/>
    <w:rsid w:val="004B3080"/>
    <w:rsid w:val="004C3D74"/>
    <w:rsid w:val="004E78D3"/>
    <w:rsid w:val="00522101"/>
    <w:rsid w:val="00530452"/>
    <w:rsid w:val="00533263"/>
    <w:rsid w:val="00541040"/>
    <w:rsid w:val="00547E53"/>
    <w:rsid w:val="005570A7"/>
    <w:rsid w:val="00557EDC"/>
    <w:rsid w:val="005A1ED6"/>
    <w:rsid w:val="005B6314"/>
    <w:rsid w:val="005C0BFF"/>
    <w:rsid w:val="005C77F0"/>
    <w:rsid w:val="005E49FF"/>
    <w:rsid w:val="0062463D"/>
    <w:rsid w:val="00643592"/>
    <w:rsid w:val="006676D2"/>
    <w:rsid w:val="00672A2A"/>
    <w:rsid w:val="0069111B"/>
    <w:rsid w:val="00695047"/>
    <w:rsid w:val="00696702"/>
    <w:rsid w:val="006A0D11"/>
    <w:rsid w:val="006C2223"/>
    <w:rsid w:val="006C7224"/>
    <w:rsid w:val="006D7D81"/>
    <w:rsid w:val="006E6A1B"/>
    <w:rsid w:val="006F5F71"/>
    <w:rsid w:val="00706CB6"/>
    <w:rsid w:val="0075478F"/>
    <w:rsid w:val="0076572D"/>
    <w:rsid w:val="007707E2"/>
    <w:rsid w:val="0077668D"/>
    <w:rsid w:val="0077767B"/>
    <w:rsid w:val="00793EBA"/>
    <w:rsid w:val="007B34B0"/>
    <w:rsid w:val="007B46ED"/>
    <w:rsid w:val="007E2F13"/>
    <w:rsid w:val="007E6713"/>
    <w:rsid w:val="007F52F1"/>
    <w:rsid w:val="00806BA4"/>
    <w:rsid w:val="0082088E"/>
    <w:rsid w:val="00833BCB"/>
    <w:rsid w:val="00836A19"/>
    <w:rsid w:val="0084074F"/>
    <w:rsid w:val="0084104C"/>
    <w:rsid w:val="00841334"/>
    <w:rsid w:val="00842EF1"/>
    <w:rsid w:val="00851D1D"/>
    <w:rsid w:val="00857138"/>
    <w:rsid w:val="00861BB0"/>
    <w:rsid w:val="008667D5"/>
    <w:rsid w:val="00880842"/>
    <w:rsid w:val="0088104F"/>
    <w:rsid w:val="008838CC"/>
    <w:rsid w:val="00884232"/>
    <w:rsid w:val="008904C2"/>
    <w:rsid w:val="008A0202"/>
    <w:rsid w:val="008C5123"/>
    <w:rsid w:val="008E3B92"/>
    <w:rsid w:val="008F0BA9"/>
    <w:rsid w:val="00902221"/>
    <w:rsid w:val="009029B5"/>
    <w:rsid w:val="009036EE"/>
    <w:rsid w:val="00904F4D"/>
    <w:rsid w:val="00945C9E"/>
    <w:rsid w:val="00951860"/>
    <w:rsid w:val="00975B77"/>
    <w:rsid w:val="0099054F"/>
    <w:rsid w:val="009924C7"/>
    <w:rsid w:val="009A510E"/>
    <w:rsid w:val="009E1472"/>
    <w:rsid w:val="009E43C9"/>
    <w:rsid w:val="009F60B0"/>
    <w:rsid w:val="00A106C0"/>
    <w:rsid w:val="00A27313"/>
    <w:rsid w:val="00A54113"/>
    <w:rsid w:val="00A6025E"/>
    <w:rsid w:val="00A7368F"/>
    <w:rsid w:val="00A82C7E"/>
    <w:rsid w:val="00A84060"/>
    <w:rsid w:val="00A85155"/>
    <w:rsid w:val="00A9395D"/>
    <w:rsid w:val="00B01329"/>
    <w:rsid w:val="00B028B9"/>
    <w:rsid w:val="00B12BE4"/>
    <w:rsid w:val="00B229CD"/>
    <w:rsid w:val="00B51B92"/>
    <w:rsid w:val="00B65021"/>
    <w:rsid w:val="00B91CA4"/>
    <w:rsid w:val="00B92C2F"/>
    <w:rsid w:val="00B94144"/>
    <w:rsid w:val="00BA1227"/>
    <w:rsid w:val="00BA66A6"/>
    <w:rsid w:val="00BC0F23"/>
    <w:rsid w:val="00BE3447"/>
    <w:rsid w:val="00BF4FA1"/>
    <w:rsid w:val="00C24674"/>
    <w:rsid w:val="00C261A5"/>
    <w:rsid w:val="00C50DEE"/>
    <w:rsid w:val="00C53A71"/>
    <w:rsid w:val="00C546AF"/>
    <w:rsid w:val="00CB4EC3"/>
    <w:rsid w:val="00CD62A1"/>
    <w:rsid w:val="00CD7A81"/>
    <w:rsid w:val="00CE0868"/>
    <w:rsid w:val="00CE5A63"/>
    <w:rsid w:val="00CE7D61"/>
    <w:rsid w:val="00CF3396"/>
    <w:rsid w:val="00CF4003"/>
    <w:rsid w:val="00CF47E6"/>
    <w:rsid w:val="00D0340B"/>
    <w:rsid w:val="00D104F6"/>
    <w:rsid w:val="00D22D09"/>
    <w:rsid w:val="00D40D80"/>
    <w:rsid w:val="00D56AB9"/>
    <w:rsid w:val="00D65C47"/>
    <w:rsid w:val="00D776DB"/>
    <w:rsid w:val="00D81305"/>
    <w:rsid w:val="00D8305F"/>
    <w:rsid w:val="00D842D1"/>
    <w:rsid w:val="00D84F8F"/>
    <w:rsid w:val="00D9382A"/>
    <w:rsid w:val="00D9696F"/>
    <w:rsid w:val="00D96C48"/>
    <w:rsid w:val="00D9718D"/>
    <w:rsid w:val="00DC33D0"/>
    <w:rsid w:val="00DF25A2"/>
    <w:rsid w:val="00DF5FCE"/>
    <w:rsid w:val="00DF7C40"/>
    <w:rsid w:val="00E000FC"/>
    <w:rsid w:val="00E023C1"/>
    <w:rsid w:val="00E17A93"/>
    <w:rsid w:val="00E26DE1"/>
    <w:rsid w:val="00E316F0"/>
    <w:rsid w:val="00E33044"/>
    <w:rsid w:val="00E57EF6"/>
    <w:rsid w:val="00E61FB4"/>
    <w:rsid w:val="00E6526E"/>
    <w:rsid w:val="00E726FD"/>
    <w:rsid w:val="00EA0F60"/>
    <w:rsid w:val="00EA1E39"/>
    <w:rsid w:val="00EA4339"/>
    <w:rsid w:val="00EA4B2A"/>
    <w:rsid w:val="00EC5F89"/>
    <w:rsid w:val="00F15B78"/>
    <w:rsid w:val="00F16CB4"/>
    <w:rsid w:val="00F27A18"/>
    <w:rsid w:val="00F454FF"/>
    <w:rsid w:val="00F5772A"/>
    <w:rsid w:val="00F64B6E"/>
    <w:rsid w:val="00F70630"/>
    <w:rsid w:val="00F74A97"/>
    <w:rsid w:val="00F7633A"/>
    <w:rsid w:val="00F77CDD"/>
    <w:rsid w:val="00F85200"/>
    <w:rsid w:val="00F9631D"/>
    <w:rsid w:val="00FA6E5E"/>
    <w:rsid w:val="00FB09AF"/>
    <w:rsid w:val="00FB54FD"/>
    <w:rsid w:val="00FF350D"/>
    <w:rsid w:val="00FF4DAC"/>
    <w:rsid w:val="144498A7"/>
    <w:rsid w:val="14651617"/>
    <w:rsid w:val="22CE2EA9"/>
    <w:rsid w:val="2605CF6B"/>
    <w:rsid w:val="2A29459A"/>
    <w:rsid w:val="2B3FE3DD"/>
    <w:rsid w:val="323C4505"/>
    <w:rsid w:val="3BE3274B"/>
    <w:rsid w:val="3E92091F"/>
    <w:rsid w:val="402DD980"/>
    <w:rsid w:val="409D7011"/>
    <w:rsid w:val="42394072"/>
    <w:rsid w:val="490627EF"/>
    <w:rsid w:val="4F1FB100"/>
    <w:rsid w:val="5343272F"/>
    <w:rsid w:val="58C7F40C"/>
    <w:rsid w:val="71C2638B"/>
    <w:rsid w:val="72AE38F8"/>
    <w:rsid w:val="7695D4A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hAnsi="Calibri Light" w:eastAsia="Times New Roman"/>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029B5"/>
  </w:style>
  <w:style w:type="character" w:styleId="AkapitzlistZnak" w:customStyle="1">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hAnsi="Times New Roman" w:eastAsia="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hAnsi="Times New Roman" w:eastAsia="Times New Roman"/>
      <w:sz w:val="20"/>
      <w:szCs w:val="20"/>
      <w:lang w:val="x-none" w:eastAsia="pl-PL"/>
    </w:rPr>
  </w:style>
  <w:style w:type="character" w:styleId="TekstkomentarzaZnak" w:customStyle="1">
    <w:name w:val="Tekst komentarza Znak"/>
    <w:link w:val="Tekstkomentarza"/>
    <w:uiPriority w:val="99"/>
    <w:rsid w:val="009E43C9"/>
    <w:rPr>
      <w:rFonts w:ascii="Times New Roman" w:hAnsi="Times New Roman" w:eastAsia="Times New Roman" w:cs="Times New Roman"/>
      <w:sz w:val="20"/>
      <w:szCs w:val="20"/>
      <w:lang w:eastAsia="pl-PL"/>
    </w:rPr>
  </w:style>
  <w:style w:type="paragraph" w:styleId="Default" w:customStyle="1">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styleId="TekstdymkaZnak" w:customStyle="1">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hAnsi="Calibri" w:eastAsia="Calibri"/>
      <w:b/>
      <w:bCs/>
      <w:lang w:val="pl-PL" w:eastAsia="en-US"/>
    </w:rPr>
  </w:style>
  <w:style w:type="character" w:styleId="TematkomentarzaZnak" w:customStyle="1">
    <w:name w:val="Temat komentarza Znak"/>
    <w:link w:val="Tematkomentarza"/>
    <w:uiPriority w:val="99"/>
    <w:semiHidden/>
    <w:rsid w:val="00EC5F89"/>
    <w:rPr>
      <w:rFonts w:ascii="Times New Roman" w:hAnsi="Times New Roman" w:eastAsia="Times New Roman" w:cs="Times New Roman"/>
      <w:b/>
      <w:bCs/>
      <w:sz w:val="20"/>
      <w:szCs w:val="20"/>
      <w:lang w:eastAsia="en-US"/>
    </w:rPr>
  </w:style>
  <w:style w:type="character" w:styleId="Nagwek4Znak" w:customStyle="1">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styleId="TekstprzypisudolnegoZnak" w:customStyle="1">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styleId="Nagwek3Znak" w:customStyle="1">
    <w:name w:val="Nagłówek 3 Znak"/>
    <w:link w:val="Nagwek3"/>
    <w:uiPriority w:val="9"/>
    <w:rsid w:val="002A3FA9"/>
    <w:rPr>
      <w:rFonts w:ascii="Calibri Light" w:hAnsi="Calibri Light" w:eastAsia="Times New Roman" w:cs="Times New Roman"/>
      <w:b/>
      <w:bCs/>
      <w:sz w:val="26"/>
      <w:szCs w:val="26"/>
      <w:lang w:eastAsia="en-US"/>
    </w:rPr>
  </w:style>
  <w:style w:type="paragraph" w:styleId="paragraph" w:customStyle="1">
    <w:name w:val="paragraph"/>
    <w:basedOn w:val="Normalny"/>
    <w:uiPriority w:val="99"/>
    <w:rsid w:val="00D65C47"/>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rsid w:val="00D65C47"/>
  </w:style>
  <w:style w:type="character" w:styleId="eop" w:customStyle="1">
    <w:name w:val="eop"/>
    <w:rsid w:val="00D65C47"/>
  </w:style>
  <w:style w:type="character" w:styleId="contextualspellingandgrammarerror" w:customStyle="1">
    <w:name w:val="contextualspellingandgrammarerror"/>
    <w:rsid w:val="00D6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852e5d6-3164-4114-9510-1696955387a4">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EC8107F11BB34F81F6D35CD3AFF487" ma:contentTypeVersion="12" ma:contentTypeDescription="Utwórz nowy dokument." ma:contentTypeScope="" ma:versionID="00ecbeb5a5b2064471bc9649b06fd18a">
  <xsd:schema xmlns:xsd="http://www.w3.org/2001/XMLSchema" xmlns:xs="http://www.w3.org/2001/XMLSchema" xmlns:p="http://schemas.microsoft.com/office/2006/metadata/properties" xmlns:ns2="9ebde75c-c695-442a-80d4-61b034fbba81" xmlns:ns3="6852e5d6-3164-4114-9510-1696955387a4" targetNamespace="http://schemas.microsoft.com/office/2006/metadata/properties" ma:root="true" ma:fieldsID="9a1792d97a81191c41d6204cd3c6b4a3" ns2:_="" ns3:_="">
    <xsd:import namespace="9ebde75c-c695-442a-80d4-61b034fbba81"/>
    <xsd:import namespace="6852e5d6-3164-4114-9510-1696955387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e75c-c695-442a-80d4-61b034fbb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2e5d6-3164-4114-9510-1696955387a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purl.org/dc/elements/1.1/"/>
    <ds:schemaRef ds:uri="6852e5d6-3164-4114-9510-1696955387a4"/>
    <ds:schemaRef ds:uri="9ebde75c-c695-442a-80d4-61b034fbba8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01C82753-CB86-4055-B3BC-1DF75BE0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e75c-c695-442a-80d4-61b034fbba81"/>
    <ds:schemaRef ds:uri="6852e5d6-3164-4114-9510-169695538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1DC415-2CED-4A49-BFD6-D525B779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2602</Words>
  <Characters>15615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4</cp:revision>
  <cp:lastPrinted>2022-04-15T07:22:00Z</cp:lastPrinted>
  <dcterms:created xsi:type="dcterms:W3CDTF">2022-03-24T06:46:00Z</dcterms:created>
  <dcterms:modified xsi:type="dcterms:W3CDTF">2022-04-15T07:29:00Z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0x010100F4EC8107F11BB34F81F6D35CD3AFF487</vt:lpwstr>
  </property>
</Properties>
</file>