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6.xml" ContentType="application/vnd.openxmlformats-officedocument.themeOverride+xml"/>
  <Override PartName="/word/charts/chart27.xml" ContentType="application/vnd.openxmlformats-officedocument.drawingml.chart+xml"/>
  <Override PartName="/word/theme/themeOverride7.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4.xml" ContentType="application/vnd.openxmlformats-officedocument.drawingml.chart+xml"/>
  <Override PartName="/word/charts/chart35.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charts/chart36.xml" ContentType="application/vnd.openxmlformats-officedocument.drawingml.chart+xml"/>
  <Override PartName="/word/theme/themeOverride8.xml" ContentType="application/vnd.openxmlformats-officedocument.themeOverride+xml"/>
  <Override PartName="/word/charts/chart37.xml" ContentType="application/vnd.openxmlformats-officedocument.drawingml.chart+xml"/>
  <Override PartName="/word/theme/themeOverride9.xml" ContentType="application/vnd.openxmlformats-officedocument.themeOverride+xml"/>
  <Override PartName="/word/charts/chart38.xml" ContentType="application/vnd.openxmlformats-officedocument.drawingml.chart+xml"/>
  <Override PartName="/word/theme/themeOverride10.xml" ContentType="application/vnd.openxmlformats-officedocument.themeOverride+xml"/>
  <Override PartName="/word/charts/chart39.xml" ContentType="application/vnd.openxmlformats-officedocument.drawingml.chart+xml"/>
  <Override PartName="/word/theme/themeOverride11.xml" ContentType="application/vnd.openxmlformats-officedocument.themeOverride+xml"/>
  <Override PartName="/word/charts/chart40.xml" ContentType="application/vnd.openxmlformats-officedocument.drawingml.chart+xml"/>
  <Override PartName="/word/theme/themeOverride12.xml" ContentType="application/vnd.openxmlformats-officedocument.themeOverride+xml"/>
  <Override PartName="/word/charts/chart41.xml" ContentType="application/vnd.openxmlformats-officedocument.drawingml.chart+xml"/>
  <Override PartName="/word/theme/themeOverride13.xml" ContentType="application/vnd.openxmlformats-officedocument.themeOverride+xml"/>
  <Override PartName="/word/charts/chart42.xml" ContentType="application/vnd.openxmlformats-officedocument.drawingml.chart+xml"/>
  <Override PartName="/word/theme/themeOverride14.xml" ContentType="application/vnd.openxmlformats-officedocument.themeOverride+xml"/>
  <Override PartName="/word/charts/chart43.xml" ContentType="application/vnd.openxmlformats-officedocument.drawingml.chart+xml"/>
  <Override PartName="/word/theme/themeOverride15.xml" ContentType="application/vnd.openxmlformats-officedocument.themeOverride+xml"/>
  <Override PartName="/word/charts/chart44.xml" ContentType="application/vnd.openxmlformats-officedocument.drawingml.chart+xml"/>
  <Override PartName="/word/theme/themeOverride16.xml" ContentType="application/vnd.openxmlformats-officedocument.themeOverride+xml"/>
  <Override PartName="/word/charts/chart45.xml" ContentType="application/vnd.openxmlformats-officedocument.drawingml.chart+xml"/>
  <Override PartName="/word/theme/themeOverride17.xml" ContentType="application/vnd.openxmlformats-officedocument.themeOverride+xml"/>
  <Override PartName="/word/charts/chart46.xml" ContentType="application/vnd.openxmlformats-officedocument.drawingml.chart+xml"/>
  <Override PartName="/word/theme/themeOverride18.xml" ContentType="application/vnd.openxmlformats-officedocument.themeOverride+xml"/>
  <Override PartName="/word/charts/chart47.xml" ContentType="application/vnd.openxmlformats-officedocument.drawingml.chart+xml"/>
  <Override PartName="/word/theme/themeOverride19.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64A4C" w14:textId="77777777" w:rsidR="00DC6E59" w:rsidRDefault="00082DF4" w:rsidP="00DF64C7">
      <w:pPr>
        <w:jc w:val="left"/>
        <w:rPr>
          <w:rFonts w:eastAsiaTheme="minorHAnsi" w:cs="Arial"/>
          <w:b/>
          <w:bCs/>
          <w:color w:val="E36C0A" w:themeColor="accent6" w:themeShade="BF"/>
          <w:sz w:val="36"/>
        </w:rPr>
      </w:pPr>
      <w:bookmarkStart w:id="0" w:name="_GoBack"/>
      <w:bookmarkEnd w:id="0"/>
      <w:r>
        <w:rPr>
          <w:rFonts w:eastAsiaTheme="minorHAnsi"/>
          <w:noProof/>
          <w:lang w:eastAsia="pl-PL"/>
        </w:rPr>
        <w:drawing>
          <wp:anchor distT="0" distB="0" distL="114300" distR="114300" simplePos="0" relativeHeight="251659264" behindDoc="0" locked="0" layoutInCell="1" allowOverlap="1" wp14:anchorId="7134B83A" wp14:editId="4F2D92CC">
            <wp:simplePos x="0" y="0"/>
            <wp:positionH relativeFrom="page">
              <wp:posOffset>268357</wp:posOffset>
            </wp:positionH>
            <wp:positionV relativeFrom="paragraph">
              <wp:posOffset>-314021</wp:posOffset>
            </wp:positionV>
            <wp:extent cx="7173097" cy="9710530"/>
            <wp:effectExtent l="0" t="0" r="8890" b="5080"/>
            <wp:wrapNone/>
            <wp:docPr id="12" name="Obraz 12" descr="Ewaluacja dotycząca sposobu, w jaki wsparcie w ramach RPO WSL na lata 2014-2020 przyczyniło się do osiągnięcia ceów w ramach Osi Priorytetowych XI Wzmocnienie potencjału edukacyjnego oraz XII Infrastruktura edukacyjna.&#10;&#10;Projekt współfinansowany przez Unię Europejską ze środków Europejskiego Funduszu Społecznego &#10;w ramach Regionalnego Programu Operacyjnego Województwa Śląskiego na lata 2014-2020.&#10;" title="Raport końc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190967" cy="9734722"/>
                    </a:xfrm>
                    <a:prstGeom prst="rect">
                      <a:avLst/>
                    </a:prstGeom>
                    <a:noFill/>
                    <a:ln>
                      <a:noFill/>
                    </a:ln>
                  </pic:spPr>
                </pic:pic>
              </a:graphicData>
            </a:graphic>
            <wp14:sizeRelH relativeFrom="page">
              <wp14:pctWidth>0</wp14:pctWidth>
            </wp14:sizeRelH>
            <wp14:sizeRelV relativeFrom="page">
              <wp14:pctHeight>0</wp14:pctHeight>
            </wp14:sizeRelV>
          </wp:anchor>
        </w:drawing>
      </w:r>
      <w:r w:rsidR="00DC6E59">
        <w:rPr>
          <w:rFonts w:eastAsiaTheme="minorHAnsi" w:cs="Arial"/>
          <w:b/>
          <w:bCs/>
          <w:color w:val="E36C0A" w:themeColor="accent6" w:themeShade="BF"/>
          <w:sz w:val="36"/>
        </w:rPr>
        <w:br w:type="page"/>
      </w:r>
    </w:p>
    <w:p w14:paraId="0EDD2033" w14:textId="77777777" w:rsidR="00D41271" w:rsidRDefault="00D41271" w:rsidP="00DF64C7">
      <w:pPr>
        <w:jc w:val="left"/>
        <w:rPr>
          <w:rFonts w:eastAsiaTheme="minorHAnsi"/>
        </w:rPr>
      </w:pPr>
    </w:p>
    <w:p w14:paraId="54290F28" w14:textId="77777777" w:rsidR="002F4C6F" w:rsidRPr="00DC6E59" w:rsidRDefault="002F4C6F" w:rsidP="00DF64C7">
      <w:pPr>
        <w:spacing w:before="1560"/>
        <w:jc w:val="left"/>
        <w:rPr>
          <w:rFonts w:eastAsiaTheme="minorHAnsi" w:cs="Arial"/>
          <w:b/>
          <w:bCs/>
          <w:color w:val="E36C0A" w:themeColor="accent6" w:themeShade="BF"/>
          <w:sz w:val="28"/>
        </w:rPr>
      </w:pPr>
      <w:r w:rsidRPr="00DC6E59">
        <w:rPr>
          <w:rFonts w:eastAsiaTheme="minorHAnsi" w:cs="Arial"/>
          <w:b/>
          <w:bCs/>
          <w:color w:val="E36C0A" w:themeColor="accent6" w:themeShade="BF"/>
          <w:sz w:val="28"/>
        </w:rPr>
        <w:t>Zamawiający:</w:t>
      </w:r>
    </w:p>
    <w:p w14:paraId="46374813" w14:textId="77777777" w:rsidR="00DC6E59" w:rsidRDefault="00DC6E59" w:rsidP="00DF64C7">
      <w:pPr>
        <w:autoSpaceDE w:val="0"/>
        <w:autoSpaceDN w:val="0"/>
        <w:adjustRightInd w:val="0"/>
        <w:jc w:val="left"/>
        <w:rPr>
          <w:rFonts w:eastAsia="Calibri" w:cs="Arial"/>
          <w:b/>
          <w:color w:val="000000"/>
          <w:lang w:eastAsia="pl-PL"/>
        </w:rPr>
      </w:pPr>
      <w:r w:rsidRPr="004C22CE">
        <w:rPr>
          <w:rFonts w:eastAsiaTheme="minorHAnsi" w:cs="Arial"/>
          <w:b/>
          <w:bCs/>
          <w:noProof/>
          <w:lang w:eastAsia="pl-PL"/>
        </w:rPr>
        <w:drawing>
          <wp:inline distT="0" distB="0" distL="0" distR="0" wp14:anchorId="3D2B1A41" wp14:editId="399AFD17">
            <wp:extent cx="1343025" cy="466725"/>
            <wp:effectExtent l="0" t="0" r="9525" b="9525"/>
            <wp:docPr id="5" name="Obraz 5" descr="Znak województwa śląskiego" title="Grafika ozdobna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466725"/>
                    </a:xfrm>
                    <a:prstGeom prst="rect">
                      <a:avLst/>
                    </a:prstGeom>
                    <a:noFill/>
                    <a:ln>
                      <a:noFill/>
                    </a:ln>
                  </pic:spPr>
                </pic:pic>
              </a:graphicData>
            </a:graphic>
          </wp:inline>
        </w:drawing>
      </w:r>
    </w:p>
    <w:p w14:paraId="51D4D2E0" w14:textId="77777777" w:rsidR="002F4C6F" w:rsidRPr="00047560" w:rsidRDefault="002F4C6F" w:rsidP="00DF64C7">
      <w:pPr>
        <w:autoSpaceDE w:val="0"/>
        <w:autoSpaceDN w:val="0"/>
        <w:adjustRightInd w:val="0"/>
        <w:jc w:val="left"/>
        <w:rPr>
          <w:rFonts w:eastAsia="Calibri" w:cs="Arial"/>
          <w:b/>
          <w:color w:val="000000"/>
          <w:lang w:eastAsia="pl-PL"/>
        </w:rPr>
      </w:pPr>
      <w:r w:rsidRPr="00047560">
        <w:rPr>
          <w:rFonts w:eastAsia="Calibri" w:cs="Arial"/>
          <w:b/>
          <w:color w:val="000000"/>
          <w:lang w:eastAsia="pl-PL"/>
        </w:rPr>
        <w:t xml:space="preserve">Województwo </w:t>
      </w:r>
      <w:r w:rsidR="008A7FE8" w:rsidRPr="00047560">
        <w:rPr>
          <w:rFonts w:eastAsia="Calibri" w:cs="Arial"/>
          <w:b/>
          <w:color w:val="000000"/>
          <w:lang w:eastAsia="pl-PL"/>
        </w:rPr>
        <w:t>Śląskie</w:t>
      </w:r>
    </w:p>
    <w:p w14:paraId="6CAAAA46" w14:textId="77777777" w:rsidR="002F4C6F" w:rsidRPr="00047560" w:rsidRDefault="008A7FE8" w:rsidP="00DF64C7">
      <w:pPr>
        <w:autoSpaceDE w:val="0"/>
        <w:autoSpaceDN w:val="0"/>
        <w:adjustRightInd w:val="0"/>
        <w:jc w:val="left"/>
        <w:rPr>
          <w:rFonts w:eastAsia="Calibri" w:cs="Arial"/>
          <w:color w:val="000000"/>
          <w:lang w:eastAsia="pl-PL"/>
        </w:rPr>
      </w:pPr>
      <w:r w:rsidRPr="00047560">
        <w:rPr>
          <w:rFonts w:eastAsia="Calibri" w:cs="Arial"/>
          <w:color w:val="000000"/>
          <w:lang w:eastAsia="pl-PL"/>
        </w:rPr>
        <w:t>ul. Ligonia 46</w:t>
      </w:r>
    </w:p>
    <w:p w14:paraId="6A532388" w14:textId="77777777" w:rsidR="002F4C6F" w:rsidRPr="00476C44" w:rsidRDefault="008A7FE8" w:rsidP="00DF64C7">
      <w:pPr>
        <w:autoSpaceDE w:val="0"/>
        <w:autoSpaceDN w:val="0"/>
        <w:adjustRightInd w:val="0"/>
        <w:jc w:val="left"/>
        <w:rPr>
          <w:rFonts w:eastAsia="Calibri" w:cs="Arial"/>
          <w:color w:val="000000"/>
          <w:lang w:eastAsia="pl-PL"/>
        </w:rPr>
      </w:pPr>
      <w:r w:rsidRPr="00047560">
        <w:rPr>
          <w:rFonts w:eastAsia="Calibri" w:cs="Arial"/>
          <w:color w:val="000000"/>
          <w:lang w:eastAsia="pl-PL"/>
        </w:rPr>
        <w:t>40-037 Katowice</w:t>
      </w:r>
    </w:p>
    <w:p w14:paraId="12870C06" w14:textId="77777777" w:rsidR="00F365C3" w:rsidRPr="00F365C3" w:rsidRDefault="002F4C6F" w:rsidP="00DF64C7">
      <w:pPr>
        <w:spacing w:before="1600"/>
        <w:jc w:val="left"/>
        <w:rPr>
          <w:rFonts w:eastAsiaTheme="minorHAnsi" w:cs="Arial"/>
          <w:b/>
          <w:bCs/>
          <w:color w:val="E36C0A" w:themeColor="accent6" w:themeShade="BF"/>
          <w:sz w:val="28"/>
        </w:rPr>
      </w:pPr>
      <w:r w:rsidRPr="00DC6E59">
        <w:rPr>
          <w:rFonts w:eastAsiaTheme="minorHAnsi" w:cs="Arial"/>
          <w:b/>
          <w:bCs/>
          <w:color w:val="E36C0A" w:themeColor="accent6" w:themeShade="BF"/>
          <w:sz w:val="28"/>
        </w:rPr>
        <w:t>Wykonawca:</w:t>
      </w:r>
    </w:p>
    <w:p w14:paraId="61E50012" w14:textId="77777777" w:rsidR="00F365C3" w:rsidRDefault="00F365C3" w:rsidP="00DF64C7">
      <w:pPr>
        <w:autoSpaceDE w:val="0"/>
        <w:autoSpaceDN w:val="0"/>
        <w:adjustRightInd w:val="0"/>
        <w:jc w:val="left"/>
        <w:rPr>
          <w:rFonts w:eastAsia="Calibri" w:cs="Arial"/>
          <w:b/>
          <w:color w:val="000000"/>
          <w:lang w:eastAsia="pl-PL"/>
        </w:rPr>
      </w:pPr>
    </w:p>
    <w:p w14:paraId="29408DBA" w14:textId="77777777" w:rsidR="00F365C3" w:rsidRDefault="00F365C3" w:rsidP="00DF64C7">
      <w:pPr>
        <w:autoSpaceDE w:val="0"/>
        <w:autoSpaceDN w:val="0"/>
        <w:adjustRightInd w:val="0"/>
        <w:spacing w:after="240"/>
        <w:jc w:val="left"/>
        <w:rPr>
          <w:rFonts w:eastAsia="Calibri" w:cs="Arial"/>
          <w:b/>
          <w:color w:val="000000"/>
          <w:lang w:eastAsia="pl-PL"/>
        </w:rPr>
      </w:pPr>
      <w:r w:rsidRPr="00047560">
        <w:rPr>
          <w:rFonts w:eastAsiaTheme="minorHAnsi" w:cs="Arial"/>
          <w:noProof/>
          <w:lang w:eastAsia="pl-PL"/>
        </w:rPr>
        <w:drawing>
          <wp:inline distT="0" distB="0" distL="0" distR="0" wp14:anchorId="09EC2E28" wp14:editId="44B35CFE">
            <wp:extent cx="933450" cy="477381"/>
            <wp:effectExtent l="0" t="0" r="0" b="0"/>
            <wp:docPr id="7" name="Obraz 5" descr="logo wykonawcy - EU-CONSULT sp. z o.o." title="Grafika ozdobna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u-consulteee-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0918" cy="481200"/>
                    </a:xfrm>
                    <a:prstGeom prst="rect">
                      <a:avLst/>
                    </a:prstGeom>
                    <a:noFill/>
                    <a:ln>
                      <a:noFill/>
                    </a:ln>
                  </pic:spPr>
                </pic:pic>
              </a:graphicData>
            </a:graphic>
          </wp:inline>
        </w:drawing>
      </w:r>
    </w:p>
    <w:p w14:paraId="2C89F495" w14:textId="77777777" w:rsidR="002F4C6F" w:rsidRPr="00047560" w:rsidRDefault="002F4C6F" w:rsidP="00DF64C7">
      <w:pPr>
        <w:autoSpaceDE w:val="0"/>
        <w:autoSpaceDN w:val="0"/>
        <w:adjustRightInd w:val="0"/>
        <w:jc w:val="left"/>
        <w:rPr>
          <w:rFonts w:eastAsia="Calibri" w:cs="Arial"/>
          <w:b/>
          <w:color w:val="000000"/>
          <w:lang w:eastAsia="pl-PL"/>
        </w:rPr>
      </w:pPr>
      <w:r w:rsidRPr="00047560">
        <w:rPr>
          <w:rFonts w:eastAsia="Calibri" w:cs="Arial"/>
          <w:b/>
          <w:color w:val="000000"/>
          <w:lang w:eastAsia="pl-PL"/>
        </w:rPr>
        <w:t>EU-CONSULT sp.</w:t>
      </w:r>
      <w:r w:rsidR="00827F84">
        <w:rPr>
          <w:rFonts w:eastAsia="Calibri" w:cs="Arial"/>
          <w:b/>
          <w:color w:val="000000"/>
          <w:lang w:eastAsia="pl-PL"/>
        </w:rPr>
        <w:t xml:space="preserve"> z </w:t>
      </w:r>
      <w:r w:rsidRPr="00047560">
        <w:rPr>
          <w:rFonts w:eastAsia="Calibri" w:cs="Arial"/>
          <w:b/>
          <w:color w:val="000000"/>
          <w:lang w:eastAsia="pl-PL"/>
        </w:rPr>
        <w:t>o.o.</w:t>
      </w:r>
    </w:p>
    <w:p w14:paraId="4378D411" w14:textId="77777777" w:rsidR="002F4C6F" w:rsidRPr="00047560" w:rsidRDefault="002F4C6F" w:rsidP="00DF64C7">
      <w:pPr>
        <w:autoSpaceDE w:val="0"/>
        <w:autoSpaceDN w:val="0"/>
        <w:adjustRightInd w:val="0"/>
        <w:jc w:val="left"/>
        <w:rPr>
          <w:rFonts w:eastAsia="Calibri" w:cs="Arial"/>
          <w:color w:val="000000"/>
          <w:lang w:eastAsia="pl-PL"/>
        </w:rPr>
      </w:pPr>
      <w:r w:rsidRPr="00047560">
        <w:rPr>
          <w:rFonts w:eastAsia="Calibri" w:cs="Arial"/>
          <w:color w:val="000000"/>
          <w:lang w:eastAsia="pl-PL"/>
        </w:rPr>
        <w:t>ul. Toruńska 18C, lokal D</w:t>
      </w:r>
    </w:p>
    <w:p w14:paraId="0D6C6526" w14:textId="77777777" w:rsidR="002F4C6F" w:rsidRPr="00047560" w:rsidRDefault="002F4C6F" w:rsidP="00DF64C7">
      <w:pPr>
        <w:jc w:val="left"/>
        <w:rPr>
          <w:rFonts w:eastAsiaTheme="minorHAnsi" w:cs="Arial"/>
        </w:rPr>
      </w:pPr>
      <w:r w:rsidRPr="00047560">
        <w:rPr>
          <w:rFonts w:eastAsiaTheme="minorHAnsi" w:cs="Arial"/>
        </w:rPr>
        <w:t>80-747 Gdańsk</w:t>
      </w:r>
    </w:p>
    <w:p w14:paraId="12711589" w14:textId="77777777" w:rsidR="002F4C6F" w:rsidRPr="00047560" w:rsidRDefault="002F4C6F" w:rsidP="00DF64C7">
      <w:pPr>
        <w:jc w:val="left"/>
        <w:rPr>
          <w:rFonts w:eastAsiaTheme="minorHAnsi" w:cs="Arial"/>
          <w:bCs/>
        </w:rPr>
      </w:pPr>
      <w:r w:rsidRPr="00047560">
        <w:rPr>
          <w:rFonts w:eastAsiaTheme="minorHAnsi" w:cs="Arial"/>
          <w:bCs/>
        </w:rPr>
        <w:t>www.eu-consult.pl</w:t>
      </w:r>
    </w:p>
    <w:p w14:paraId="1753DB20" w14:textId="77777777" w:rsidR="00FD6043" w:rsidRPr="00047560" w:rsidRDefault="000420EA" w:rsidP="00DF64C7">
      <w:pPr>
        <w:spacing w:before="800"/>
        <w:jc w:val="left"/>
        <w:rPr>
          <w:rFonts w:eastAsiaTheme="minorHAnsi" w:cs="Arial"/>
          <w:i/>
          <w:sz w:val="20"/>
        </w:rPr>
      </w:pPr>
      <w:r w:rsidRPr="00047560">
        <w:rPr>
          <w:rFonts w:eastAsiaTheme="minorHAnsi" w:cs="Arial"/>
          <w:i/>
          <w:sz w:val="20"/>
        </w:rPr>
        <w:t>Opracował Zespół Badawczy</w:t>
      </w:r>
      <w:r w:rsidR="00827F84">
        <w:rPr>
          <w:rFonts w:eastAsiaTheme="minorHAnsi" w:cs="Arial"/>
          <w:i/>
          <w:sz w:val="20"/>
        </w:rPr>
        <w:t xml:space="preserve"> w </w:t>
      </w:r>
      <w:r w:rsidRPr="00047560">
        <w:rPr>
          <w:rFonts w:eastAsiaTheme="minorHAnsi" w:cs="Arial"/>
          <w:i/>
          <w:sz w:val="20"/>
        </w:rPr>
        <w:t>składzie:</w:t>
      </w:r>
    </w:p>
    <w:p w14:paraId="070A1081" w14:textId="77777777" w:rsidR="000420EA" w:rsidRPr="00047560" w:rsidRDefault="000420EA" w:rsidP="00DF64C7">
      <w:pPr>
        <w:jc w:val="left"/>
        <w:rPr>
          <w:rFonts w:eastAsiaTheme="minorHAnsi" w:cs="Arial"/>
          <w:i/>
          <w:sz w:val="20"/>
        </w:rPr>
      </w:pPr>
      <w:r w:rsidRPr="00047560">
        <w:rPr>
          <w:rFonts w:eastAsiaTheme="minorHAnsi" w:cs="Arial"/>
          <w:i/>
          <w:sz w:val="20"/>
        </w:rPr>
        <w:t>Krzysztof Gutta – kierownik Zespołu</w:t>
      </w:r>
      <w:r w:rsidR="001302FB" w:rsidRPr="00047560">
        <w:rPr>
          <w:rFonts w:eastAsiaTheme="minorHAnsi" w:cs="Arial"/>
          <w:i/>
          <w:sz w:val="20"/>
        </w:rPr>
        <w:t xml:space="preserve"> Badawczego</w:t>
      </w:r>
    </w:p>
    <w:p w14:paraId="2827C8FB" w14:textId="77777777" w:rsidR="009B63F2" w:rsidRPr="003D184E" w:rsidRDefault="009B63F2" w:rsidP="00DF64C7">
      <w:pPr>
        <w:jc w:val="left"/>
        <w:rPr>
          <w:rFonts w:eastAsiaTheme="minorHAnsi" w:cs="Arial"/>
          <w:i/>
          <w:sz w:val="20"/>
        </w:rPr>
      </w:pPr>
      <w:r w:rsidRPr="003D184E">
        <w:rPr>
          <w:rFonts w:eastAsiaTheme="minorHAnsi" w:cs="Arial"/>
          <w:i/>
          <w:sz w:val="20"/>
        </w:rPr>
        <w:t>Michał Dominik</w:t>
      </w:r>
    </w:p>
    <w:p w14:paraId="19560DCB" w14:textId="77777777" w:rsidR="009B63F2" w:rsidRDefault="009B63F2" w:rsidP="00DF64C7">
      <w:pPr>
        <w:jc w:val="left"/>
        <w:rPr>
          <w:rFonts w:eastAsiaTheme="minorHAnsi" w:cs="Arial"/>
          <w:i/>
          <w:sz w:val="20"/>
        </w:rPr>
      </w:pPr>
      <w:r>
        <w:rPr>
          <w:rFonts w:eastAsiaTheme="minorHAnsi" w:cs="Arial"/>
          <w:i/>
          <w:sz w:val="20"/>
        </w:rPr>
        <w:t>Katarzyna Gutta</w:t>
      </w:r>
    </w:p>
    <w:p w14:paraId="155BD899" w14:textId="77777777" w:rsidR="00F95AE2" w:rsidRDefault="00B00170" w:rsidP="00DF64C7">
      <w:pPr>
        <w:jc w:val="left"/>
        <w:rPr>
          <w:rFonts w:eastAsiaTheme="minorHAnsi" w:cs="Arial"/>
          <w:i/>
          <w:sz w:val="20"/>
        </w:rPr>
      </w:pPr>
      <w:r w:rsidRPr="00047560">
        <w:rPr>
          <w:rFonts w:eastAsiaTheme="minorHAnsi" w:cs="Arial"/>
          <w:i/>
          <w:sz w:val="20"/>
        </w:rPr>
        <w:t>Agata Płatek</w:t>
      </w:r>
    </w:p>
    <w:p w14:paraId="7F9133BB" w14:textId="0376E885" w:rsidR="00DC6E59" w:rsidRPr="00F95AE2" w:rsidRDefault="008901CF" w:rsidP="00DF64C7">
      <w:pPr>
        <w:spacing w:before="960"/>
        <w:jc w:val="left"/>
        <w:rPr>
          <w:rFonts w:eastAsiaTheme="minorHAnsi" w:cs="Arial"/>
          <w:i/>
          <w:sz w:val="20"/>
        </w:rPr>
      </w:pPr>
      <w:r>
        <w:rPr>
          <w:rFonts w:eastAsiaTheme="minorHAnsi" w:cs="Arial"/>
          <w:b/>
        </w:rPr>
        <w:t>Gdańsk 2020</w:t>
      </w:r>
      <w:r w:rsidR="00DC6E59">
        <w:rPr>
          <w:rFonts w:eastAsiaTheme="minorHAnsi" w:cs="Arial"/>
          <w:b/>
        </w:rPr>
        <w:br w:type="page"/>
      </w:r>
    </w:p>
    <w:sdt>
      <w:sdtPr>
        <w:id w:val="-1153837579"/>
        <w:docPartObj>
          <w:docPartGallery w:val="Table of Contents"/>
          <w:docPartUnique/>
        </w:docPartObj>
      </w:sdtPr>
      <w:sdtEndPr/>
      <w:sdtContent>
        <w:sdt>
          <w:sdtPr>
            <w:rPr>
              <w:b/>
              <w:bCs/>
            </w:rPr>
            <w:id w:val="873654342"/>
            <w:docPartObj>
              <w:docPartGallery w:val="Table of Contents"/>
              <w:docPartUnique/>
            </w:docPartObj>
          </w:sdtPr>
          <w:sdtEndPr>
            <w:rPr>
              <w:b w:val="0"/>
              <w:bCs w:val="0"/>
            </w:rPr>
          </w:sdtEndPr>
          <w:sdtContent>
            <w:p w14:paraId="007A7816" w14:textId="77777777" w:rsidR="001C09EE" w:rsidRPr="007B5F7E" w:rsidRDefault="00A127C3" w:rsidP="00DF64C7">
              <w:pPr>
                <w:pStyle w:val="Spistreci1"/>
                <w:jc w:val="left"/>
                <w:rPr>
                  <w:b/>
                  <w:bCs/>
                </w:rPr>
              </w:pPr>
              <w:r>
                <w:rPr>
                  <w:b/>
                  <w:bCs/>
                </w:rPr>
                <w:t xml:space="preserve"> </w:t>
              </w:r>
            </w:p>
          </w:sdtContent>
        </w:sdt>
        <w:p w14:paraId="755D8DE0" w14:textId="2DA4CF12" w:rsidR="003171F9" w:rsidRDefault="001C09EE" w:rsidP="00DF64C7">
          <w:pPr>
            <w:pStyle w:val="Spistreci1"/>
            <w:jc w:val="left"/>
            <w:rPr>
              <w:rFonts w:asciiTheme="minorHAnsi" w:hAnsiTheme="minorHAnsi"/>
              <w:noProof/>
              <w:lang w:eastAsia="pl-PL"/>
            </w:rPr>
          </w:pPr>
          <w:r>
            <w:fldChar w:fldCharType="begin"/>
          </w:r>
          <w:r>
            <w:instrText xml:space="preserve"> TOC \o "1-3" \h \z \u </w:instrText>
          </w:r>
          <w:r>
            <w:fldChar w:fldCharType="separate"/>
          </w:r>
          <w:hyperlink w:anchor="_Toc38034988" w:history="1">
            <w:r w:rsidR="003171F9" w:rsidRPr="003737E4">
              <w:rPr>
                <w:rStyle w:val="Hipercze"/>
                <w:noProof/>
              </w:rPr>
              <w:t>1.</w:t>
            </w:r>
            <w:r w:rsidR="003171F9">
              <w:rPr>
                <w:rFonts w:asciiTheme="minorHAnsi" w:hAnsiTheme="minorHAnsi"/>
                <w:noProof/>
                <w:lang w:eastAsia="pl-PL"/>
              </w:rPr>
              <w:tab/>
            </w:r>
            <w:r w:rsidR="003171F9" w:rsidRPr="003737E4">
              <w:rPr>
                <w:rStyle w:val="Hipercze"/>
                <w:noProof/>
              </w:rPr>
              <w:t>Streszczenie</w:t>
            </w:r>
            <w:r w:rsidR="003171F9">
              <w:rPr>
                <w:noProof/>
                <w:webHidden/>
              </w:rPr>
              <w:tab/>
            </w:r>
            <w:r w:rsidR="003171F9">
              <w:rPr>
                <w:noProof/>
                <w:webHidden/>
              </w:rPr>
              <w:fldChar w:fldCharType="begin"/>
            </w:r>
            <w:r w:rsidR="003171F9">
              <w:rPr>
                <w:noProof/>
                <w:webHidden/>
              </w:rPr>
              <w:instrText xml:space="preserve"> PAGEREF _Toc38034988 \h </w:instrText>
            </w:r>
            <w:r w:rsidR="003171F9">
              <w:rPr>
                <w:noProof/>
                <w:webHidden/>
              </w:rPr>
            </w:r>
            <w:r w:rsidR="003171F9">
              <w:rPr>
                <w:noProof/>
                <w:webHidden/>
              </w:rPr>
              <w:fldChar w:fldCharType="separate"/>
            </w:r>
            <w:r w:rsidR="00A8147E">
              <w:rPr>
                <w:noProof/>
                <w:webHidden/>
              </w:rPr>
              <w:t>6</w:t>
            </w:r>
            <w:r w:rsidR="003171F9">
              <w:rPr>
                <w:noProof/>
                <w:webHidden/>
              </w:rPr>
              <w:fldChar w:fldCharType="end"/>
            </w:r>
          </w:hyperlink>
        </w:p>
        <w:p w14:paraId="2118B8D3" w14:textId="326F61A9" w:rsidR="003171F9" w:rsidRDefault="00064BAA" w:rsidP="00DF64C7">
          <w:pPr>
            <w:pStyle w:val="Spistreci1"/>
            <w:jc w:val="left"/>
            <w:rPr>
              <w:rFonts w:asciiTheme="minorHAnsi" w:hAnsiTheme="minorHAnsi"/>
              <w:noProof/>
              <w:lang w:eastAsia="pl-PL"/>
            </w:rPr>
          </w:pPr>
          <w:hyperlink w:anchor="_Toc38034989" w:history="1">
            <w:r w:rsidR="003171F9" w:rsidRPr="003737E4">
              <w:rPr>
                <w:rStyle w:val="Hipercze"/>
                <w:noProof/>
              </w:rPr>
              <w:t>2.</w:t>
            </w:r>
            <w:r w:rsidR="003171F9">
              <w:rPr>
                <w:rFonts w:asciiTheme="minorHAnsi" w:hAnsiTheme="minorHAnsi"/>
                <w:noProof/>
                <w:lang w:eastAsia="pl-PL"/>
              </w:rPr>
              <w:tab/>
            </w:r>
            <w:r w:rsidR="003171F9" w:rsidRPr="003737E4">
              <w:rPr>
                <w:rStyle w:val="Hipercze"/>
                <w:noProof/>
              </w:rPr>
              <w:t>Summary</w:t>
            </w:r>
            <w:r w:rsidR="003171F9">
              <w:rPr>
                <w:noProof/>
                <w:webHidden/>
              </w:rPr>
              <w:tab/>
            </w:r>
            <w:r w:rsidR="003171F9">
              <w:rPr>
                <w:noProof/>
                <w:webHidden/>
              </w:rPr>
              <w:fldChar w:fldCharType="begin"/>
            </w:r>
            <w:r w:rsidR="003171F9">
              <w:rPr>
                <w:noProof/>
                <w:webHidden/>
              </w:rPr>
              <w:instrText xml:space="preserve"> PAGEREF _Toc38034989 \h </w:instrText>
            </w:r>
            <w:r w:rsidR="003171F9">
              <w:rPr>
                <w:noProof/>
                <w:webHidden/>
              </w:rPr>
            </w:r>
            <w:r w:rsidR="003171F9">
              <w:rPr>
                <w:noProof/>
                <w:webHidden/>
              </w:rPr>
              <w:fldChar w:fldCharType="separate"/>
            </w:r>
            <w:r w:rsidR="00A8147E">
              <w:rPr>
                <w:noProof/>
                <w:webHidden/>
              </w:rPr>
              <w:t>10</w:t>
            </w:r>
            <w:r w:rsidR="003171F9">
              <w:rPr>
                <w:noProof/>
                <w:webHidden/>
              </w:rPr>
              <w:fldChar w:fldCharType="end"/>
            </w:r>
          </w:hyperlink>
        </w:p>
        <w:p w14:paraId="4C772BA0" w14:textId="564AAA9D" w:rsidR="003171F9" w:rsidRDefault="00064BAA" w:rsidP="00DF64C7">
          <w:pPr>
            <w:pStyle w:val="Spistreci1"/>
            <w:jc w:val="left"/>
            <w:rPr>
              <w:rFonts w:asciiTheme="minorHAnsi" w:hAnsiTheme="minorHAnsi"/>
              <w:noProof/>
              <w:lang w:eastAsia="pl-PL"/>
            </w:rPr>
          </w:pPr>
          <w:hyperlink w:anchor="_Toc38034990" w:history="1">
            <w:r w:rsidR="003171F9" w:rsidRPr="003737E4">
              <w:rPr>
                <w:rStyle w:val="Hipercze"/>
                <w:noProof/>
              </w:rPr>
              <w:t>3.</w:t>
            </w:r>
            <w:r w:rsidR="003171F9">
              <w:rPr>
                <w:rFonts w:asciiTheme="minorHAnsi" w:hAnsiTheme="minorHAnsi"/>
                <w:noProof/>
                <w:lang w:eastAsia="pl-PL"/>
              </w:rPr>
              <w:tab/>
            </w:r>
            <w:r w:rsidR="003171F9" w:rsidRPr="003737E4">
              <w:rPr>
                <w:rStyle w:val="Hipercze"/>
                <w:noProof/>
              </w:rPr>
              <w:t>Wykaz skrótów</w:t>
            </w:r>
            <w:r w:rsidR="003171F9">
              <w:rPr>
                <w:noProof/>
                <w:webHidden/>
              </w:rPr>
              <w:tab/>
            </w:r>
            <w:r w:rsidR="003171F9">
              <w:rPr>
                <w:noProof/>
                <w:webHidden/>
              </w:rPr>
              <w:fldChar w:fldCharType="begin"/>
            </w:r>
            <w:r w:rsidR="003171F9">
              <w:rPr>
                <w:noProof/>
                <w:webHidden/>
              </w:rPr>
              <w:instrText xml:space="preserve"> PAGEREF _Toc38034990 \h </w:instrText>
            </w:r>
            <w:r w:rsidR="003171F9">
              <w:rPr>
                <w:noProof/>
                <w:webHidden/>
              </w:rPr>
            </w:r>
            <w:r w:rsidR="003171F9">
              <w:rPr>
                <w:noProof/>
                <w:webHidden/>
              </w:rPr>
              <w:fldChar w:fldCharType="separate"/>
            </w:r>
            <w:r w:rsidR="00A8147E">
              <w:rPr>
                <w:noProof/>
                <w:webHidden/>
              </w:rPr>
              <w:t>14</w:t>
            </w:r>
            <w:r w:rsidR="003171F9">
              <w:rPr>
                <w:noProof/>
                <w:webHidden/>
              </w:rPr>
              <w:fldChar w:fldCharType="end"/>
            </w:r>
          </w:hyperlink>
        </w:p>
        <w:p w14:paraId="12D18314" w14:textId="157BA964" w:rsidR="003171F9" w:rsidRDefault="00064BAA" w:rsidP="00DF64C7">
          <w:pPr>
            <w:pStyle w:val="Spistreci1"/>
            <w:jc w:val="left"/>
            <w:rPr>
              <w:rFonts w:asciiTheme="minorHAnsi" w:hAnsiTheme="minorHAnsi"/>
              <w:noProof/>
              <w:lang w:eastAsia="pl-PL"/>
            </w:rPr>
          </w:pPr>
          <w:hyperlink w:anchor="_Toc38034991" w:history="1">
            <w:r w:rsidR="003171F9" w:rsidRPr="003737E4">
              <w:rPr>
                <w:rStyle w:val="Hipercze"/>
                <w:noProof/>
              </w:rPr>
              <w:t>4.</w:t>
            </w:r>
            <w:r w:rsidR="003171F9">
              <w:rPr>
                <w:rFonts w:asciiTheme="minorHAnsi" w:hAnsiTheme="minorHAnsi"/>
                <w:noProof/>
                <w:lang w:eastAsia="pl-PL"/>
              </w:rPr>
              <w:tab/>
            </w:r>
            <w:r w:rsidR="003171F9" w:rsidRPr="003737E4">
              <w:rPr>
                <w:rStyle w:val="Hipercze"/>
                <w:noProof/>
              </w:rPr>
              <w:t>Wprowadzenie</w:t>
            </w:r>
            <w:r w:rsidR="003171F9">
              <w:rPr>
                <w:noProof/>
                <w:webHidden/>
              </w:rPr>
              <w:tab/>
            </w:r>
            <w:r w:rsidR="003171F9">
              <w:rPr>
                <w:noProof/>
                <w:webHidden/>
              </w:rPr>
              <w:fldChar w:fldCharType="begin"/>
            </w:r>
            <w:r w:rsidR="003171F9">
              <w:rPr>
                <w:noProof/>
                <w:webHidden/>
              </w:rPr>
              <w:instrText xml:space="preserve"> PAGEREF _Toc38034991 \h </w:instrText>
            </w:r>
            <w:r w:rsidR="003171F9">
              <w:rPr>
                <w:noProof/>
                <w:webHidden/>
              </w:rPr>
            </w:r>
            <w:r w:rsidR="003171F9">
              <w:rPr>
                <w:noProof/>
                <w:webHidden/>
              </w:rPr>
              <w:fldChar w:fldCharType="separate"/>
            </w:r>
            <w:r w:rsidR="00A8147E">
              <w:rPr>
                <w:noProof/>
                <w:webHidden/>
              </w:rPr>
              <w:t>16</w:t>
            </w:r>
            <w:r w:rsidR="003171F9">
              <w:rPr>
                <w:noProof/>
                <w:webHidden/>
              </w:rPr>
              <w:fldChar w:fldCharType="end"/>
            </w:r>
          </w:hyperlink>
        </w:p>
        <w:p w14:paraId="0A9E439A" w14:textId="54DC88CB" w:rsidR="003171F9" w:rsidRDefault="00064BAA" w:rsidP="00DF64C7">
          <w:pPr>
            <w:pStyle w:val="Spistreci2"/>
            <w:rPr>
              <w:rFonts w:asciiTheme="minorHAnsi" w:hAnsiTheme="minorHAnsi"/>
              <w:noProof/>
              <w:lang w:eastAsia="pl-PL"/>
            </w:rPr>
          </w:pPr>
          <w:hyperlink w:anchor="_Toc38034992" w:history="1">
            <w:r w:rsidR="003171F9" w:rsidRPr="003737E4">
              <w:rPr>
                <w:rStyle w:val="Hipercze"/>
                <w:noProof/>
              </w:rPr>
              <w:t>4.1.</w:t>
            </w:r>
            <w:r w:rsidR="003171F9">
              <w:rPr>
                <w:rFonts w:asciiTheme="minorHAnsi" w:hAnsiTheme="minorHAnsi"/>
                <w:noProof/>
                <w:lang w:eastAsia="pl-PL"/>
              </w:rPr>
              <w:tab/>
            </w:r>
            <w:r w:rsidR="003171F9" w:rsidRPr="003737E4">
              <w:rPr>
                <w:rStyle w:val="Hipercze"/>
                <w:noProof/>
              </w:rPr>
              <w:t>Cele badania</w:t>
            </w:r>
            <w:r w:rsidR="003171F9">
              <w:rPr>
                <w:noProof/>
                <w:webHidden/>
              </w:rPr>
              <w:tab/>
            </w:r>
            <w:r w:rsidR="003171F9">
              <w:rPr>
                <w:noProof/>
                <w:webHidden/>
              </w:rPr>
              <w:fldChar w:fldCharType="begin"/>
            </w:r>
            <w:r w:rsidR="003171F9">
              <w:rPr>
                <w:noProof/>
                <w:webHidden/>
              </w:rPr>
              <w:instrText xml:space="preserve"> PAGEREF _Toc38034992 \h </w:instrText>
            </w:r>
            <w:r w:rsidR="003171F9">
              <w:rPr>
                <w:noProof/>
                <w:webHidden/>
              </w:rPr>
            </w:r>
            <w:r w:rsidR="003171F9">
              <w:rPr>
                <w:noProof/>
                <w:webHidden/>
              </w:rPr>
              <w:fldChar w:fldCharType="separate"/>
            </w:r>
            <w:r w:rsidR="00A8147E">
              <w:rPr>
                <w:noProof/>
                <w:webHidden/>
              </w:rPr>
              <w:t>16</w:t>
            </w:r>
            <w:r w:rsidR="003171F9">
              <w:rPr>
                <w:noProof/>
                <w:webHidden/>
              </w:rPr>
              <w:fldChar w:fldCharType="end"/>
            </w:r>
          </w:hyperlink>
        </w:p>
        <w:p w14:paraId="74941A4C" w14:textId="53907828" w:rsidR="003171F9" w:rsidRDefault="00064BAA" w:rsidP="00DF64C7">
          <w:pPr>
            <w:pStyle w:val="Spistreci2"/>
            <w:rPr>
              <w:rFonts w:asciiTheme="minorHAnsi" w:hAnsiTheme="minorHAnsi"/>
              <w:noProof/>
              <w:lang w:eastAsia="pl-PL"/>
            </w:rPr>
          </w:pPr>
          <w:hyperlink w:anchor="_Toc38034993" w:history="1">
            <w:r w:rsidR="003171F9" w:rsidRPr="003737E4">
              <w:rPr>
                <w:rStyle w:val="Hipercze"/>
                <w:noProof/>
              </w:rPr>
              <w:t>4.2.</w:t>
            </w:r>
            <w:r w:rsidR="003171F9">
              <w:rPr>
                <w:rFonts w:asciiTheme="minorHAnsi" w:hAnsiTheme="minorHAnsi"/>
                <w:noProof/>
                <w:lang w:eastAsia="pl-PL"/>
              </w:rPr>
              <w:tab/>
            </w:r>
            <w:r w:rsidR="003171F9" w:rsidRPr="003737E4">
              <w:rPr>
                <w:rStyle w:val="Hipercze"/>
                <w:noProof/>
              </w:rPr>
              <w:t>Kryteria ewaluacyjne</w:t>
            </w:r>
            <w:r w:rsidR="003171F9">
              <w:rPr>
                <w:noProof/>
                <w:webHidden/>
              </w:rPr>
              <w:tab/>
            </w:r>
            <w:r w:rsidR="003171F9">
              <w:rPr>
                <w:noProof/>
                <w:webHidden/>
              </w:rPr>
              <w:fldChar w:fldCharType="begin"/>
            </w:r>
            <w:r w:rsidR="003171F9">
              <w:rPr>
                <w:noProof/>
                <w:webHidden/>
              </w:rPr>
              <w:instrText xml:space="preserve"> PAGEREF _Toc38034993 \h </w:instrText>
            </w:r>
            <w:r w:rsidR="003171F9">
              <w:rPr>
                <w:noProof/>
                <w:webHidden/>
              </w:rPr>
            </w:r>
            <w:r w:rsidR="003171F9">
              <w:rPr>
                <w:noProof/>
                <w:webHidden/>
              </w:rPr>
              <w:fldChar w:fldCharType="separate"/>
            </w:r>
            <w:r w:rsidR="00A8147E">
              <w:rPr>
                <w:noProof/>
                <w:webHidden/>
              </w:rPr>
              <w:t>16</w:t>
            </w:r>
            <w:r w:rsidR="003171F9">
              <w:rPr>
                <w:noProof/>
                <w:webHidden/>
              </w:rPr>
              <w:fldChar w:fldCharType="end"/>
            </w:r>
          </w:hyperlink>
        </w:p>
        <w:p w14:paraId="70C1CE04" w14:textId="0D84D619" w:rsidR="003171F9" w:rsidRDefault="00064BAA" w:rsidP="00DF64C7">
          <w:pPr>
            <w:pStyle w:val="Spistreci2"/>
            <w:rPr>
              <w:rFonts w:asciiTheme="minorHAnsi" w:hAnsiTheme="minorHAnsi"/>
              <w:noProof/>
              <w:lang w:eastAsia="pl-PL"/>
            </w:rPr>
          </w:pPr>
          <w:hyperlink w:anchor="_Toc38034994" w:history="1">
            <w:r w:rsidR="003171F9" w:rsidRPr="003737E4">
              <w:rPr>
                <w:rStyle w:val="Hipercze"/>
                <w:noProof/>
              </w:rPr>
              <w:t>4.3.</w:t>
            </w:r>
            <w:r w:rsidR="003171F9">
              <w:rPr>
                <w:rFonts w:asciiTheme="minorHAnsi" w:hAnsiTheme="minorHAnsi"/>
                <w:noProof/>
                <w:lang w:eastAsia="pl-PL"/>
              </w:rPr>
              <w:tab/>
            </w:r>
            <w:r w:rsidR="003171F9" w:rsidRPr="003737E4">
              <w:rPr>
                <w:rStyle w:val="Hipercze"/>
                <w:noProof/>
              </w:rPr>
              <w:t>Zakres czasowy</w:t>
            </w:r>
            <w:r w:rsidR="003171F9">
              <w:rPr>
                <w:noProof/>
                <w:webHidden/>
              </w:rPr>
              <w:tab/>
            </w:r>
            <w:r w:rsidR="003171F9">
              <w:rPr>
                <w:noProof/>
                <w:webHidden/>
              </w:rPr>
              <w:fldChar w:fldCharType="begin"/>
            </w:r>
            <w:r w:rsidR="003171F9">
              <w:rPr>
                <w:noProof/>
                <w:webHidden/>
              </w:rPr>
              <w:instrText xml:space="preserve"> PAGEREF _Toc38034994 \h </w:instrText>
            </w:r>
            <w:r w:rsidR="003171F9">
              <w:rPr>
                <w:noProof/>
                <w:webHidden/>
              </w:rPr>
            </w:r>
            <w:r w:rsidR="003171F9">
              <w:rPr>
                <w:noProof/>
                <w:webHidden/>
              </w:rPr>
              <w:fldChar w:fldCharType="separate"/>
            </w:r>
            <w:r w:rsidR="00A8147E">
              <w:rPr>
                <w:noProof/>
                <w:webHidden/>
              </w:rPr>
              <w:t>17</w:t>
            </w:r>
            <w:r w:rsidR="003171F9">
              <w:rPr>
                <w:noProof/>
                <w:webHidden/>
              </w:rPr>
              <w:fldChar w:fldCharType="end"/>
            </w:r>
          </w:hyperlink>
        </w:p>
        <w:p w14:paraId="56096BC2" w14:textId="3885C450" w:rsidR="003171F9" w:rsidRDefault="00064BAA" w:rsidP="00DF64C7">
          <w:pPr>
            <w:pStyle w:val="Spistreci2"/>
            <w:rPr>
              <w:rFonts w:asciiTheme="minorHAnsi" w:hAnsiTheme="minorHAnsi"/>
              <w:noProof/>
              <w:lang w:eastAsia="pl-PL"/>
            </w:rPr>
          </w:pPr>
          <w:hyperlink w:anchor="_Toc38034995" w:history="1">
            <w:r w:rsidR="003171F9" w:rsidRPr="003737E4">
              <w:rPr>
                <w:rStyle w:val="Hipercze"/>
                <w:noProof/>
              </w:rPr>
              <w:t>4.4.</w:t>
            </w:r>
            <w:r w:rsidR="003171F9">
              <w:rPr>
                <w:rFonts w:asciiTheme="minorHAnsi" w:hAnsiTheme="minorHAnsi"/>
                <w:noProof/>
                <w:lang w:eastAsia="pl-PL"/>
              </w:rPr>
              <w:tab/>
            </w:r>
            <w:r w:rsidR="003171F9" w:rsidRPr="003737E4">
              <w:rPr>
                <w:rStyle w:val="Hipercze"/>
                <w:noProof/>
              </w:rPr>
              <w:t>Zakres przedmiotowy</w:t>
            </w:r>
            <w:r w:rsidR="003171F9">
              <w:rPr>
                <w:noProof/>
                <w:webHidden/>
              </w:rPr>
              <w:tab/>
            </w:r>
            <w:r w:rsidR="003171F9">
              <w:rPr>
                <w:noProof/>
                <w:webHidden/>
              </w:rPr>
              <w:fldChar w:fldCharType="begin"/>
            </w:r>
            <w:r w:rsidR="003171F9">
              <w:rPr>
                <w:noProof/>
                <w:webHidden/>
              </w:rPr>
              <w:instrText xml:space="preserve"> PAGEREF _Toc38034995 \h </w:instrText>
            </w:r>
            <w:r w:rsidR="003171F9">
              <w:rPr>
                <w:noProof/>
                <w:webHidden/>
              </w:rPr>
            </w:r>
            <w:r w:rsidR="003171F9">
              <w:rPr>
                <w:noProof/>
                <w:webHidden/>
              </w:rPr>
              <w:fldChar w:fldCharType="separate"/>
            </w:r>
            <w:r w:rsidR="00A8147E">
              <w:rPr>
                <w:noProof/>
                <w:webHidden/>
              </w:rPr>
              <w:t>17</w:t>
            </w:r>
            <w:r w:rsidR="003171F9">
              <w:rPr>
                <w:noProof/>
                <w:webHidden/>
              </w:rPr>
              <w:fldChar w:fldCharType="end"/>
            </w:r>
          </w:hyperlink>
        </w:p>
        <w:p w14:paraId="4277D881" w14:textId="02B6C5F4" w:rsidR="003171F9" w:rsidRDefault="00064BAA" w:rsidP="00DF64C7">
          <w:pPr>
            <w:pStyle w:val="Spistreci1"/>
            <w:jc w:val="left"/>
            <w:rPr>
              <w:rFonts w:asciiTheme="minorHAnsi" w:hAnsiTheme="minorHAnsi"/>
              <w:noProof/>
              <w:lang w:eastAsia="pl-PL"/>
            </w:rPr>
          </w:pPr>
          <w:hyperlink w:anchor="_Toc38034996" w:history="1">
            <w:r w:rsidR="003171F9" w:rsidRPr="003737E4">
              <w:rPr>
                <w:rStyle w:val="Hipercze"/>
                <w:noProof/>
              </w:rPr>
              <w:t>5.</w:t>
            </w:r>
            <w:r w:rsidR="003171F9">
              <w:rPr>
                <w:rFonts w:asciiTheme="minorHAnsi" w:hAnsiTheme="minorHAnsi"/>
                <w:noProof/>
                <w:lang w:eastAsia="pl-PL"/>
              </w:rPr>
              <w:tab/>
            </w:r>
            <w:r w:rsidR="003171F9" w:rsidRPr="003737E4">
              <w:rPr>
                <w:rStyle w:val="Hipercze"/>
                <w:noProof/>
              </w:rPr>
              <w:t>Metodologia badania</w:t>
            </w:r>
            <w:r w:rsidR="003171F9">
              <w:rPr>
                <w:noProof/>
                <w:webHidden/>
              </w:rPr>
              <w:tab/>
            </w:r>
            <w:r w:rsidR="003171F9">
              <w:rPr>
                <w:noProof/>
                <w:webHidden/>
              </w:rPr>
              <w:fldChar w:fldCharType="begin"/>
            </w:r>
            <w:r w:rsidR="003171F9">
              <w:rPr>
                <w:noProof/>
                <w:webHidden/>
              </w:rPr>
              <w:instrText xml:space="preserve"> PAGEREF _Toc38034996 \h </w:instrText>
            </w:r>
            <w:r w:rsidR="003171F9">
              <w:rPr>
                <w:noProof/>
                <w:webHidden/>
              </w:rPr>
            </w:r>
            <w:r w:rsidR="003171F9">
              <w:rPr>
                <w:noProof/>
                <w:webHidden/>
              </w:rPr>
              <w:fldChar w:fldCharType="separate"/>
            </w:r>
            <w:r w:rsidR="00A8147E">
              <w:rPr>
                <w:noProof/>
                <w:webHidden/>
              </w:rPr>
              <w:t>18</w:t>
            </w:r>
            <w:r w:rsidR="003171F9">
              <w:rPr>
                <w:noProof/>
                <w:webHidden/>
              </w:rPr>
              <w:fldChar w:fldCharType="end"/>
            </w:r>
          </w:hyperlink>
        </w:p>
        <w:p w14:paraId="0AB99D57" w14:textId="59D81C5D" w:rsidR="003171F9" w:rsidRDefault="00064BAA" w:rsidP="00DF64C7">
          <w:pPr>
            <w:pStyle w:val="Spistreci2"/>
            <w:rPr>
              <w:rFonts w:asciiTheme="minorHAnsi" w:hAnsiTheme="minorHAnsi"/>
              <w:noProof/>
              <w:lang w:eastAsia="pl-PL"/>
            </w:rPr>
          </w:pPr>
          <w:hyperlink w:anchor="_Toc38034997" w:history="1">
            <w:r w:rsidR="003171F9" w:rsidRPr="003737E4">
              <w:rPr>
                <w:rStyle w:val="Hipercze"/>
                <w:noProof/>
              </w:rPr>
              <w:t>5.1.</w:t>
            </w:r>
            <w:r w:rsidR="003171F9">
              <w:rPr>
                <w:rFonts w:asciiTheme="minorHAnsi" w:hAnsiTheme="minorHAnsi"/>
                <w:noProof/>
                <w:lang w:eastAsia="pl-PL"/>
              </w:rPr>
              <w:tab/>
            </w:r>
            <w:r w:rsidR="003171F9" w:rsidRPr="003737E4">
              <w:rPr>
                <w:rStyle w:val="Hipercze"/>
                <w:noProof/>
              </w:rPr>
              <w:t>Analiza danych zastanych (desk research)</w:t>
            </w:r>
            <w:r w:rsidR="003171F9">
              <w:rPr>
                <w:noProof/>
                <w:webHidden/>
              </w:rPr>
              <w:tab/>
            </w:r>
            <w:r w:rsidR="003171F9">
              <w:rPr>
                <w:noProof/>
                <w:webHidden/>
              </w:rPr>
              <w:fldChar w:fldCharType="begin"/>
            </w:r>
            <w:r w:rsidR="003171F9">
              <w:rPr>
                <w:noProof/>
                <w:webHidden/>
              </w:rPr>
              <w:instrText xml:space="preserve"> PAGEREF _Toc38034997 \h </w:instrText>
            </w:r>
            <w:r w:rsidR="003171F9">
              <w:rPr>
                <w:noProof/>
                <w:webHidden/>
              </w:rPr>
            </w:r>
            <w:r w:rsidR="003171F9">
              <w:rPr>
                <w:noProof/>
                <w:webHidden/>
              </w:rPr>
              <w:fldChar w:fldCharType="separate"/>
            </w:r>
            <w:r w:rsidR="00A8147E">
              <w:rPr>
                <w:noProof/>
                <w:webHidden/>
              </w:rPr>
              <w:t>18</w:t>
            </w:r>
            <w:r w:rsidR="003171F9">
              <w:rPr>
                <w:noProof/>
                <w:webHidden/>
              </w:rPr>
              <w:fldChar w:fldCharType="end"/>
            </w:r>
          </w:hyperlink>
        </w:p>
        <w:p w14:paraId="0DD5C93B" w14:textId="68E4AEBC" w:rsidR="003171F9" w:rsidRDefault="00064BAA" w:rsidP="00DF64C7">
          <w:pPr>
            <w:pStyle w:val="Spistreci2"/>
            <w:rPr>
              <w:rFonts w:asciiTheme="minorHAnsi" w:hAnsiTheme="minorHAnsi"/>
              <w:noProof/>
              <w:lang w:eastAsia="pl-PL"/>
            </w:rPr>
          </w:pPr>
          <w:hyperlink w:anchor="_Toc38034998" w:history="1">
            <w:r w:rsidR="003171F9" w:rsidRPr="003737E4">
              <w:rPr>
                <w:rStyle w:val="Hipercze"/>
                <w:noProof/>
              </w:rPr>
              <w:t>5.2.</w:t>
            </w:r>
            <w:r w:rsidR="003171F9">
              <w:rPr>
                <w:rFonts w:asciiTheme="minorHAnsi" w:hAnsiTheme="minorHAnsi"/>
                <w:noProof/>
                <w:lang w:eastAsia="pl-PL"/>
              </w:rPr>
              <w:tab/>
            </w:r>
            <w:r w:rsidR="003171F9" w:rsidRPr="003737E4">
              <w:rPr>
                <w:rStyle w:val="Hipercze"/>
                <w:noProof/>
              </w:rPr>
              <w:t>Indywidualne wywiady pogłębione (IDI) z przedstawicielami IZ oraz IP RPO WSL 2014</w:t>
            </w:r>
            <w:r w:rsidR="003171F9" w:rsidRPr="003737E4">
              <w:rPr>
                <w:rStyle w:val="Hipercze"/>
                <w:noProof/>
              </w:rPr>
              <w:noBreakHyphen/>
              <w:t>2020</w:t>
            </w:r>
            <w:r w:rsidR="003171F9">
              <w:rPr>
                <w:noProof/>
                <w:webHidden/>
              </w:rPr>
              <w:tab/>
            </w:r>
            <w:r w:rsidR="003171F9">
              <w:rPr>
                <w:noProof/>
                <w:webHidden/>
              </w:rPr>
              <w:fldChar w:fldCharType="begin"/>
            </w:r>
            <w:r w:rsidR="003171F9">
              <w:rPr>
                <w:noProof/>
                <w:webHidden/>
              </w:rPr>
              <w:instrText xml:space="preserve"> PAGEREF _Toc38034998 \h </w:instrText>
            </w:r>
            <w:r w:rsidR="003171F9">
              <w:rPr>
                <w:noProof/>
                <w:webHidden/>
              </w:rPr>
            </w:r>
            <w:r w:rsidR="003171F9">
              <w:rPr>
                <w:noProof/>
                <w:webHidden/>
              </w:rPr>
              <w:fldChar w:fldCharType="separate"/>
            </w:r>
            <w:r w:rsidR="00A8147E">
              <w:rPr>
                <w:noProof/>
                <w:webHidden/>
              </w:rPr>
              <w:t>18</w:t>
            </w:r>
            <w:r w:rsidR="003171F9">
              <w:rPr>
                <w:noProof/>
                <w:webHidden/>
              </w:rPr>
              <w:fldChar w:fldCharType="end"/>
            </w:r>
          </w:hyperlink>
        </w:p>
        <w:p w14:paraId="5D959FDE" w14:textId="155254B0" w:rsidR="003171F9" w:rsidRDefault="00064BAA" w:rsidP="00DF64C7">
          <w:pPr>
            <w:pStyle w:val="Spistreci2"/>
            <w:rPr>
              <w:rFonts w:asciiTheme="minorHAnsi" w:hAnsiTheme="minorHAnsi"/>
              <w:noProof/>
              <w:lang w:eastAsia="pl-PL"/>
            </w:rPr>
          </w:pPr>
          <w:hyperlink w:anchor="_Toc38034999" w:history="1">
            <w:r w:rsidR="003171F9" w:rsidRPr="003737E4">
              <w:rPr>
                <w:rStyle w:val="Hipercze"/>
                <w:noProof/>
              </w:rPr>
              <w:t>5.3.</w:t>
            </w:r>
            <w:r w:rsidR="003171F9">
              <w:rPr>
                <w:rFonts w:asciiTheme="minorHAnsi" w:hAnsiTheme="minorHAnsi"/>
                <w:noProof/>
                <w:lang w:eastAsia="pl-PL"/>
              </w:rPr>
              <w:tab/>
            </w:r>
            <w:r w:rsidR="003171F9" w:rsidRPr="003737E4">
              <w:rPr>
                <w:rStyle w:val="Hipercze"/>
                <w:noProof/>
              </w:rPr>
              <w:t>Telefoniczne wywiady pogłębione (TDI) z beneficjentami.</w:t>
            </w:r>
            <w:r w:rsidR="003171F9">
              <w:rPr>
                <w:noProof/>
                <w:webHidden/>
              </w:rPr>
              <w:tab/>
            </w:r>
            <w:r w:rsidR="003171F9">
              <w:rPr>
                <w:noProof/>
                <w:webHidden/>
              </w:rPr>
              <w:fldChar w:fldCharType="begin"/>
            </w:r>
            <w:r w:rsidR="003171F9">
              <w:rPr>
                <w:noProof/>
                <w:webHidden/>
              </w:rPr>
              <w:instrText xml:space="preserve"> PAGEREF _Toc38034999 \h </w:instrText>
            </w:r>
            <w:r w:rsidR="003171F9">
              <w:rPr>
                <w:noProof/>
                <w:webHidden/>
              </w:rPr>
            </w:r>
            <w:r w:rsidR="003171F9">
              <w:rPr>
                <w:noProof/>
                <w:webHidden/>
              </w:rPr>
              <w:fldChar w:fldCharType="separate"/>
            </w:r>
            <w:r w:rsidR="00A8147E">
              <w:rPr>
                <w:noProof/>
                <w:webHidden/>
              </w:rPr>
              <w:t>18</w:t>
            </w:r>
            <w:r w:rsidR="003171F9">
              <w:rPr>
                <w:noProof/>
                <w:webHidden/>
              </w:rPr>
              <w:fldChar w:fldCharType="end"/>
            </w:r>
          </w:hyperlink>
        </w:p>
        <w:p w14:paraId="5022F3C5" w14:textId="76D6EE88" w:rsidR="003171F9" w:rsidRDefault="00064BAA" w:rsidP="00DF64C7">
          <w:pPr>
            <w:pStyle w:val="Spistreci2"/>
            <w:rPr>
              <w:rFonts w:asciiTheme="minorHAnsi" w:hAnsiTheme="minorHAnsi"/>
              <w:noProof/>
              <w:lang w:eastAsia="pl-PL"/>
            </w:rPr>
          </w:pPr>
          <w:hyperlink w:anchor="_Toc38035000" w:history="1">
            <w:r w:rsidR="003171F9" w:rsidRPr="003737E4">
              <w:rPr>
                <w:rStyle w:val="Hipercze"/>
                <w:noProof/>
              </w:rPr>
              <w:t>5.4.</w:t>
            </w:r>
            <w:r w:rsidR="003171F9">
              <w:rPr>
                <w:rFonts w:asciiTheme="minorHAnsi" w:hAnsiTheme="minorHAnsi"/>
                <w:noProof/>
                <w:lang w:eastAsia="pl-PL"/>
              </w:rPr>
              <w:tab/>
            </w:r>
            <w:r w:rsidR="003171F9" w:rsidRPr="003737E4">
              <w:rPr>
                <w:rStyle w:val="Hipercze"/>
                <w:noProof/>
              </w:rPr>
              <w:t>Wywiady internetowe wspomagane komputerowo/ telefonicznie (CAWI/CATI) z beneficjentami</w:t>
            </w:r>
            <w:r w:rsidR="003171F9">
              <w:rPr>
                <w:noProof/>
                <w:webHidden/>
              </w:rPr>
              <w:tab/>
            </w:r>
            <w:r w:rsidR="003171F9">
              <w:rPr>
                <w:noProof/>
                <w:webHidden/>
              </w:rPr>
              <w:fldChar w:fldCharType="begin"/>
            </w:r>
            <w:r w:rsidR="003171F9">
              <w:rPr>
                <w:noProof/>
                <w:webHidden/>
              </w:rPr>
              <w:instrText xml:space="preserve"> PAGEREF _Toc38035000 \h </w:instrText>
            </w:r>
            <w:r w:rsidR="003171F9">
              <w:rPr>
                <w:noProof/>
                <w:webHidden/>
              </w:rPr>
            </w:r>
            <w:r w:rsidR="003171F9">
              <w:rPr>
                <w:noProof/>
                <w:webHidden/>
              </w:rPr>
              <w:fldChar w:fldCharType="separate"/>
            </w:r>
            <w:r w:rsidR="00A8147E">
              <w:rPr>
                <w:noProof/>
                <w:webHidden/>
              </w:rPr>
              <w:t>18</w:t>
            </w:r>
            <w:r w:rsidR="003171F9">
              <w:rPr>
                <w:noProof/>
                <w:webHidden/>
              </w:rPr>
              <w:fldChar w:fldCharType="end"/>
            </w:r>
          </w:hyperlink>
        </w:p>
        <w:p w14:paraId="67EEAA86" w14:textId="75F991D5" w:rsidR="003171F9" w:rsidRDefault="00064BAA" w:rsidP="00DF64C7">
          <w:pPr>
            <w:pStyle w:val="Spistreci2"/>
            <w:rPr>
              <w:rFonts w:asciiTheme="minorHAnsi" w:hAnsiTheme="minorHAnsi"/>
              <w:noProof/>
              <w:lang w:eastAsia="pl-PL"/>
            </w:rPr>
          </w:pPr>
          <w:hyperlink w:anchor="_Toc38035001" w:history="1">
            <w:r w:rsidR="003171F9" w:rsidRPr="003737E4">
              <w:rPr>
                <w:rStyle w:val="Hipercze"/>
                <w:noProof/>
              </w:rPr>
              <w:t>5.5.</w:t>
            </w:r>
            <w:r w:rsidR="003171F9">
              <w:rPr>
                <w:rFonts w:asciiTheme="minorHAnsi" w:hAnsiTheme="minorHAnsi"/>
                <w:noProof/>
                <w:lang w:eastAsia="pl-PL"/>
              </w:rPr>
              <w:tab/>
            </w:r>
            <w:r w:rsidR="003171F9" w:rsidRPr="003737E4">
              <w:rPr>
                <w:rStyle w:val="Hipercze"/>
                <w:noProof/>
              </w:rPr>
              <w:t>Wywiady internetowe wspomagane komputerowo/ telefonicznie (CAWI/CATI) z dyrektorami/ nauczycielami reprezentującymi instytucje wsparte w ramach OP XI i XII RPO WSL 2014-2020</w:t>
            </w:r>
            <w:r w:rsidR="003171F9">
              <w:rPr>
                <w:noProof/>
                <w:webHidden/>
              </w:rPr>
              <w:tab/>
            </w:r>
            <w:r w:rsidR="003171F9">
              <w:rPr>
                <w:noProof/>
                <w:webHidden/>
              </w:rPr>
              <w:fldChar w:fldCharType="begin"/>
            </w:r>
            <w:r w:rsidR="003171F9">
              <w:rPr>
                <w:noProof/>
                <w:webHidden/>
              </w:rPr>
              <w:instrText xml:space="preserve"> PAGEREF _Toc38035001 \h </w:instrText>
            </w:r>
            <w:r w:rsidR="003171F9">
              <w:rPr>
                <w:noProof/>
                <w:webHidden/>
              </w:rPr>
            </w:r>
            <w:r w:rsidR="003171F9">
              <w:rPr>
                <w:noProof/>
                <w:webHidden/>
              </w:rPr>
              <w:fldChar w:fldCharType="separate"/>
            </w:r>
            <w:r w:rsidR="00A8147E">
              <w:rPr>
                <w:noProof/>
                <w:webHidden/>
              </w:rPr>
              <w:t>19</w:t>
            </w:r>
            <w:r w:rsidR="003171F9">
              <w:rPr>
                <w:noProof/>
                <w:webHidden/>
              </w:rPr>
              <w:fldChar w:fldCharType="end"/>
            </w:r>
          </w:hyperlink>
        </w:p>
        <w:p w14:paraId="4A10CE57" w14:textId="32AD1C9A" w:rsidR="003171F9" w:rsidRDefault="00064BAA" w:rsidP="00DF64C7">
          <w:pPr>
            <w:pStyle w:val="Spistreci2"/>
            <w:rPr>
              <w:rFonts w:asciiTheme="minorHAnsi" w:hAnsiTheme="minorHAnsi"/>
              <w:noProof/>
              <w:lang w:eastAsia="pl-PL"/>
            </w:rPr>
          </w:pPr>
          <w:hyperlink w:anchor="_Toc38035002" w:history="1">
            <w:r w:rsidR="003171F9" w:rsidRPr="003737E4">
              <w:rPr>
                <w:rStyle w:val="Hipercze"/>
                <w:noProof/>
              </w:rPr>
              <w:t>5.6.</w:t>
            </w:r>
            <w:r w:rsidR="003171F9">
              <w:rPr>
                <w:rFonts w:asciiTheme="minorHAnsi" w:hAnsiTheme="minorHAnsi"/>
                <w:noProof/>
                <w:lang w:eastAsia="pl-PL"/>
              </w:rPr>
              <w:tab/>
            </w:r>
            <w:r w:rsidR="003171F9" w:rsidRPr="003737E4">
              <w:rPr>
                <w:rStyle w:val="Hipercze"/>
                <w:noProof/>
              </w:rPr>
              <w:t>Metody kontrfaktyczne</w:t>
            </w:r>
            <w:r w:rsidR="003171F9">
              <w:rPr>
                <w:noProof/>
                <w:webHidden/>
              </w:rPr>
              <w:tab/>
            </w:r>
            <w:r w:rsidR="003171F9">
              <w:rPr>
                <w:noProof/>
                <w:webHidden/>
              </w:rPr>
              <w:fldChar w:fldCharType="begin"/>
            </w:r>
            <w:r w:rsidR="003171F9">
              <w:rPr>
                <w:noProof/>
                <w:webHidden/>
              </w:rPr>
              <w:instrText xml:space="preserve"> PAGEREF _Toc38035002 \h </w:instrText>
            </w:r>
            <w:r w:rsidR="003171F9">
              <w:rPr>
                <w:noProof/>
                <w:webHidden/>
              </w:rPr>
            </w:r>
            <w:r w:rsidR="003171F9">
              <w:rPr>
                <w:noProof/>
                <w:webHidden/>
              </w:rPr>
              <w:fldChar w:fldCharType="separate"/>
            </w:r>
            <w:r w:rsidR="00A8147E">
              <w:rPr>
                <w:noProof/>
                <w:webHidden/>
              </w:rPr>
              <w:t>19</w:t>
            </w:r>
            <w:r w:rsidR="003171F9">
              <w:rPr>
                <w:noProof/>
                <w:webHidden/>
              </w:rPr>
              <w:fldChar w:fldCharType="end"/>
            </w:r>
          </w:hyperlink>
        </w:p>
        <w:p w14:paraId="01C8BC85" w14:textId="46E6493D" w:rsidR="003171F9" w:rsidRDefault="00064BAA" w:rsidP="00DF64C7">
          <w:pPr>
            <w:pStyle w:val="Spistreci2"/>
            <w:rPr>
              <w:rFonts w:asciiTheme="minorHAnsi" w:hAnsiTheme="minorHAnsi"/>
              <w:noProof/>
              <w:lang w:eastAsia="pl-PL"/>
            </w:rPr>
          </w:pPr>
          <w:hyperlink w:anchor="_Toc38035003" w:history="1">
            <w:r w:rsidR="003171F9" w:rsidRPr="003737E4">
              <w:rPr>
                <w:rStyle w:val="Hipercze"/>
                <w:noProof/>
              </w:rPr>
              <w:t>5.7.</w:t>
            </w:r>
            <w:r w:rsidR="003171F9">
              <w:rPr>
                <w:rFonts w:asciiTheme="minorHAnsi" w:hAnsiTheme="minorHAnsi"/>
                <w:noProof/>
                <w:lang w:eastAsia="pl-PL"/>
              </w:rPr>
              <w:tab/>
            </w:r>
            <w:r w:rsidR="003171F9" w:rsidRPr="003737E4">
              <w:rPr>
                <w:rStyle w:val="Hipercze"/>
                <w:noProof/>
              </w:rPr>
              <w:t>Panel delficki</w:t>
            </w:r>
            <w:r w:rsidR="003171F9">
              <w:rPr>
                <w:noProof/>
                <w:webHidden/>
              </w:rPr>
              <w:tab/>
            </w:r>
            <w:r w:rsidR="003171F9">
              <w:rPr>
                <w:noProof/>
                <w:webHidden/>
              </w:rPr>
              <w:fldChar w:fldCharType="begin"/>
            </w:r>
            <w:r w:rsidR="003171F9">
              <w:rPr>
                <w:noProof/>
                <w:webHidden/>
              </w:rPr>
              <w:instrText xml:space="preserve"> PAGEREF _Toc38035003 \h </w:instrText>
            </w:r>
            <w:r w:rsidR="003171F9">
              <w:rPr>
                <w:noProof/>
                <w:webHidden/>
              </w:rPr>
            </w:r>
            <w:r w:rsidR="003171F9">
              <w:rPr>
                <w:noProof/>
                <w:webHidden/>
              </w:rPr>
              <w:fldChar w:fldCharType="separate"/>
            </w:r>
            <w:r w:rsidR="00A8147E">
              <w:rPr>
                <w:noProof/>
                <w:webHidden/>
              </w:rPr>
              <w:t>19</w:t>
            </w:r>
            <w:r w:rsidR="003171F9">
              <w:rPr>
                <w:noProof/>
                <w:webHidden/>
              </w:rPr>
              <w:fldChar w:fldCharType="end"/>
            </w:r>
          </w:hyperlink>
        </w:p>
        <w:p w14:paraId="0CF4F6C9" w14:textId="5C6F5D4A" w:rsidR="003171F9" w:rsidRDefault="00064BAA" w:rsidP="00DF64C7">
          <w:pPr>
            <w:pStyle w:val="Spistreci2"/>
            <w:rPr>
              <w:rFonts w:asciiTheme="minorHAnsi" w:hAnsiTheme="minorHAnsi"/>
              <w:noProof/>
              <w:lang w:eastAsia="pl-PL"/>
            </w:rPr>
          </w:pPr>
          <w:hyperlink w:anchor="_Toc38035004" w:history="1">
            <w:r w:rsidR="003171F9" w:rsidRPr="003737E4">
              <w:rPr>
                <w:rStyle w:val="Hipercze"/>
                <w:noProof/>
              </w:rPr>
              <w:t>5.8.</w:t>
            </w:r>
            <w:r w:rsidR="003171F9">
              <w:rPr>
                <w:rFonts w:asciiTheme="minorHAnsi" w:hAnsiTheme="minorHAnsi"/>
                <w:noProof/>
                <w:lang w:eastAsia="pl-PL"/>
              </w:rPr>
              <w:tab/>
            </w:r>
            <w:r w:rsidR="003171F9" w:rsidRPr="003737E4">
              <w:rPr>
                <w:rStyle w:val="Hipercze"/>
                <w:noProof/>
              </w:rPr>
              <w:t>Wywiad grupowy</w:t>
            </w:r>
            <w:r w:rsidR="003171F9">
              <w:rPr>
                <w:noProof/>
                <w:webHidden/>
              </w:rPr>
              <w:tab/>
            </w:r>
            <w:r w:rsidR="003171F9">
              <w:rPr>
                <w:noProof/>
                <w:webHidden/>
              </w:rPr>
              <w:fldChar w:fldCharType="begin"/>
            </w:r>
            <w:r w:rsidR="003171F9">
              <w:rPr>
                <w:noProof/>
                <w:webHidden/>
              </w:rPr>
              <w:instrText xml:space="preserve"> PAGEREF _Toc38035004 \h </w:instrText>
            </w:r>
            <w:r w:rsidR="003171F9">
              <w:rPr>
                <w:noProof/>
                <w:webHidden/>
              </w:rPr>
            </w:r>
            <w:r w:rsidR="003171F9">
              <w:rPr>
                <w:noProof/>
                <w:webHidden/>
              </w:rPr>
              <w:fldChar w:fldCharType="separate"/>
            </w:r>
            <w:r w:rsidR="00A8147E">
              <w:rPr>
                <w:noProof/>
                <w:webHidden/>
              </w:rPr>
              <w:t>19</w:t>
            </w:r>
            <w:r w:rsidR="003171F9">
              <w:rPr>
                <w:noProof/>
                <w:webHidden/>
              </w:rPr>
              <w:fldChar w:fldCharType="end"/>
            </w:r>
          </w:hyperlink>
        </w:p>
        <w:p w14:paraId="2CAC46E7" w14:textId="31A75C72" w:rsidR="003171F9" w:rsidRDefault="00064BAA" w:rsidP="00DF64C7">
          <w:pPr>
            <w:pStyle w:val="Spistreci1"/>
            <w:jc w:val="left"/>
            <w:rPr>
              <w:rFonts w:asciiTheme="minorHAnsi" w:hAnsiTheme="minorHAnsi"/>
              <w:noProof/>
              <w:lang w:eastAsia="pl-PL"/>
            </w:rPr>
          </w:pPr>
          <w:hyperlink w:anchor="_Toc38035005" w:history="1">
            <w:r w:rsidR="003171F9" w:rsidRPr="003737E4">
              <w:rPr>
                <w:rStyle w:val="Hipercze"/>
                <w:noProof/>
              </w:rPr>
              <w:t>6.</w:t>
            </w:r>
            <w:r w:rsidR="003171F9">
              <w:rPr>
                <w:rFonts w:asciiTheme="minorHAnsi" w:hAnsiTheme="minorHAnsi"/>
                <w:noProof/>
                <w:lang w:eastAsia="pl-PL"/>
              </w:rPr>
              <w:tab/>
            </w:r>
            <w:r w:rsidR="003171F9" w:rsidRPr="003737E4">
              <w:rPr>
                <w:rStyle w:val="Hipercze"/>
                <w:noProof/>
              </w:rPr>
              <w:t>Wyniki badania</w:t>
            </w:r>
            <w:r w:rsidR="003171F9">
              <w:rPr>
                <w:noProof/>
                <w:webHidden/>
              </w:rPr>
              <w:tab/>
            </w:r>
            <w:r w:rsidR="003171F9">
              <w:rPr>
                <w:noProof/>
                <w:webHidden/>
              </w:rPr>
              <w:fldChar w:fldCharType="begin"/>
            </w:r>
            <w:r w:rsidR="003171F9">
              <w:rPr>
                <w:noProof/>
                <w:webHidden/>
              </w:rPr>
              <w:instrText xml:space="preserve"> PAGEREF _Toc38035005 \h </w:instrText>
            </w:r>
            <w:r w:rsidR="003171F9">
              <w:rPr>
                <w:noProof/>
                <w:webHidden/>
              </w:rPr>
            </w:r>
            <w:r w:rsidR="003171F9">
              <w:rPr>
                <w:noProof/>
                <w:webHidden/>
              </w:rPr>
              <w:fldChar w:fldCharType="separate"/>
            </w:r>
            <w:r w:rsidR="00A8147E">
              <w:rPr>
                <w:noProof/>
                <w:webHidden/>
              </w:rPr>
              <w:t>20</w:t>
            </w:r>
            <w:r w:rsidR="003171F9">
              <w:rPr>
                <w:noProof/>
                <w:webHidden/>
              </w:rPr>
              <w:fldChar w:fldCharType="end"/>
            </w:r>
          </w:hyperlink>
        </w:p>
        <w:p w14:paraId="6828DA22" w14:textId="13343BC6" w:rsidR="003171F9" w:rsidRDefault="00064BAA" w:rsidP="00DF64C7">
          <w:pPr>
            <w:pStyle w:val="Spistreci2"/>
            <w:rPr>
              <w:rFonts w:asciiTheme="minorHAnsi" w:hAnsiTheme="minorHAnsi"/>
              <w:noProof/>
              <w:lang w:eastAsia="pl-PL"/>
            </w:rPr>
          </w:pPr>
          <w:hyperlink w:anchor="_Toc38035006" w:history="1">
            <w:r w:rsidR="003171F9" w:rsidRPr="003737E4">
              <w:rPr>
                <w:rStyle w:val="Hipercze"/>
                <w:rFonts w:cs="Arial"/>
                <w:noProof/>
              </w:rPr>
              <w:t>6.1.</w:t>
            </w:r>
            <w:r w:rsidR="003171F9">
              <w:rPr>
                <w:rFonts w:asciiTheme="minorHAnsi" w:hAnsiTheme="minorHAnsi"/>
                <w:noProof/>
                <w:lang w:eastAsia="pl-PL"/>
              </w:rPr>
              <w:tab/>
            </w:r>
            <w:r w:rsidR="003171F9" w:rsidRPr="003737E4">
              <w:rPr>
                <w:rStyle w:val="Hipercze"/>
                <w:noProof/>
              </w:rPr>
              <w:t xml:space="preserve">OBSZAR I. Ocena dotychczasowych efektów wsparcia w ramach OP XI </w:t>
            </w:r>
            <w:r w:rsidR="003171F9" w:rsidRPr="003737E4">
              <w:rPr>
                <w:rStyle w:val="Hipercze"/>
                <w:i/>
                <w:noProof/>
              </w:rPr>
              <w:t>Wzmocnienie potencjału edukacyjnego</w:t>
            </w:r>
            <w:r w:rsidR="003171F9" w:rsidRPr="003737E4">
              <w:rPr>
                <w:rStyle w:val="Hipercze"/>
                <w:noProof/>
              </w:rPr>
              <w:t xml:space="preserve"> i OP XII </w:t>
            </w:r>
            <w:r w:rsidR="003171F9" w:rsidRPr="003737E4">
              <w:rPr>
                <w:rStyle w:val="Hipercze"/>
                <w:i/>
                <w:noProof/>
              </w:rPr>
              <w:t xml:space="preserve">Infrastruktura edukacyjna </w:t>
            </w:r>
            <w:r w:rsidR="003171F9" w:rsidRPr="003737E4">
              <w:rPr>
                <w:rStyle w:val="Hipercze"/>
                <w:noProof/>
              </w:rPr>
              <w:t xml:space="preserve">w ramach </w:t>
            </w:r>
            <w:r w:rsidR="003171F9" w:rsidRPr="003737E4">
              <w:rPr>
                <w:rStyle w:val="Hipercze"/>
                <w:rFonts w:cs="Arial"/>
                <w:noProof/>
              </w:rPr>
              <w:t>RPO WSL 2014-2020</w:t>
            </w:r>
            <w:r w:rsidR="003171F9">
              <w:rPr>
                <w:noProof/>
                <w:webHidden/>
              </w:rPr>
              <w:tab/>
            </w:r>
            <w:r w:rsidR="003171F9">
              <w:rPr>
                <w:noProof/>
                <w:webHidden/>
              </w:rPr>
              <w:fldChar w:fldCharType="begin"/>
            </w:r>
            <w:r w:rsidR="003171F9">
              <w:rPr>
                <w:noProof/>
                <w:webHidden/>
              </w:rPr>
              <w:instrText xml:space="preserve"> PAGEREF _Toc38035006 \h </w:instrText>
            </w:r>
            <w:r w:rsidR="003171F9">
              <w:rPr>
                <w:noProof/>
                <w:webHidden/>
              </w:rPr>
            </w:r>
            <w:r w:rsidR="003171F9">
              <w:rPr>
                <w:noProof/>
                <w:webHidden/>
              </w:rPr>
              <w:fldChar w:fldCharType="separate"/>
            </w:r>
            <w:r w:rsidR="00A8147E">
              <w:rPr>
                <w:noProof/>
                <w:webHidden/>
              </w:rPr>
              <w:t>20</w:t>
            </w:r>
            <w:r w:rsidR="003171F9">
              <w:rPr>
                <w:noProof/>
                <w:webHidden/>
              </w:rPr>
              <w:fldChar w:fldCharType="end"/>
            </w:r>
          </w:hyperlink>
        </w:p>
        <w:p w14:paraId="02452D39" w14:textId="6EF51D61" w:rsidR="003171F9" w:rsidRDefault="00064BAA" w:rsidP="00DF64C7">
          <w:pPr>
            <w:pStyle w:val="Spistreci3"/>
            <w:jc w:val="left"/>
            <w:rPr>
              <w:rFonts w:asciiTheme="minorHAnsi" w:hAnsiTheme="minorHAnsi"/>
              <w:noProof/>
              <w:lang w:eastAsia="pl-PL"/>
            </w:rPr>
          </w:pPr>
          <w:hyperlink w:anchor="_Toc38035007" w:history="1">
            <w:r w:rsidR="003171F9" w:rsidRPr="003737E4">
              <w:rPr>
                <w:rStyle w:val="Hipercze"/>
                <w:noProof/>
              </w:rPr>
              <w:t>a)</w:t>
            </w:r>
            <w:r w:rsidR="003171F9">
              <w:rPr>
                <w:rFonts w:asciiTheme="minorHAnsi" w:hAnsiTheme="minorHAnsi"/>
                <w:noProof/>
                <w:lang w:eastAsia="pl-PL"/>
              </w:rPr>
              <w:tab/>
            </w:r>
            <w:r w:rsidR="003171F9" w:rsidRPr="003737E4">
              <w:rPr>
                <w:rStyle w:val="Hipercze"/>
                <w:noProof/>
              </w:rPr>
              <w:t>Czy zaplanowane w Programie nakłady (m.in. finansowe) i działania doprowadziły do zaplanowanych efektów mających odpowiedzieć na zdiagnozowane problemy? Czy wystąpiły założone relacje przyczynowo</w:t>
            </w:r>
            <w:r w:rsidR="003171F9" w:rsidRPr="003737E4">
              <w:rPr>
                <w:rStyle w:val="Hipercze"/>
                <w:noProof/>
              </w:rPr>
              <w:noBreakHyphen/>
              <w:t>skutkowe?</w:t>
            </w:r>
            <w:r w:rsidR="003171F9">
              <w:rPr>
                <w:noProof/>
                <w:webHidden/>
              </w:rPr>
              <w:tab/>
            </w:r>
            <w:r w:rsidR="003171F9">
              <w:rPr>
                <w:noProof/>
                <w:webHidden/>
              </w:rPr>
              <w:fldChar w:fldCharType="begin"/>
            </w:r>
            <w:r w:rsidR="003171F9">
              <w:rPr>
                <w:noProof/>
                <w:webHidden/>
              </w:rPr>
              <w:instrText xml:space="preserve"> PAGEREF _Toc38035007 \h </w:instrText>
            </w:r>
            <w:r w:rsidR="003171F9">
              <w:rPr>
                <w:noProof/>
                <w:webHidden/>
              </w:rPr>
            </w:r>
            <w:r w:rsidR="003171F9">
              <w:rPr>
                <w:noProof/>
                <w:webHidden/>
              </w:rPr>
              <w:fldChar w:fldCharType="separate"/>
            </w:r>
            <w:r w:rsidR="00A8147E">
              <w:rPr>
                <w:noProof/>
                <w:webHidden/>
              </w:rPr>
              <w:t>20</w:t>
            </w:r>
            <w:r w:rsidR="003171F9">
              <w:rPr>
                <w:noProof/>
                <w:webHidden/>
              </w:rPr>
              <w:fldChar w:fldCharType="end"/>
            </w:r>
          </w:hyperlink>
        </w:p>
        <w:p w14:paraId="32E49DDA" w14:textId="3E9135FE" w:rsidR="003171F9" w:rsidRDefault="00064BAA" w:rsidP="00DF64C7">
          <w:pPr>
            <w:pStyle w:val="Spistreci3"/>
            <w:jc w:val="left"/>
            <w:rPr>
              <w:rFonts w:asciiTheme="minorHAnsi" w:hAnsiTheme="minorHAnsi"/>
              <w:noProof/>
              <w:lang w:eastAsia="pl-PL"/>
            </w:rPr>
          </w:pPr>
          <w:hyperlink w:anchor="_Toc38035008" w:history="1">
            <w:r w:rsidR="003171F9" w:rsidRPr="003737E4">
              <w:rPr>
                <w:rStyle w:val="Hipercze"/>
                <w:noProof/>
              </w:rPr>
              <w:t>b)</w:t>
            </w:r>
            <w:r w:rsidR="003171F9">
              <w:rPr>
                <w:rFonts w:asciiTheme="minorHAnsi" w:hAnsiTheme="minorHAnsi"/>
                <w:noProof/>
                <w:lang w:eastAsia="pl-PL"/>
              </w:rPr>
              <w:tab/>
            </w:r>
            <w:r w:rsidR="003171F9" w:rsidRPr="003737E4">
              <w:rPr>
                <w:rStyle w:val="Hipercze"/>
                <w:rFonts w:eastAsia="Arial"/>
                <w:noProof/>
              </w:rPr>
              <w:t>Które potrzeby zidentyfikowane w ramach OP XI i XII zostały dotychczas zaspokojone, a które wymagają dalszego wsparcia??</w:t>
            </w:r>
            <w:r w:rsidR="003171F9">
              <w:rPr>
                <w:noProof/>
                <w:webHidden/>
              </w:rPr>
              <w:tab/>
            </w:r>
            <w:r w:rsidR="003171F9">
              <w:rPr>
                <w:noProof/>
                <w:webHidden/>
              </w:rPr>
              <w:fldChar w:fldCharType="begin"/>
            </w:r>
            <w:r w:rsidR="003171F9">
              <w:rPr>
                <w:noProof/>
                <w:webHidden/>
              </w:rPr>
              <w:instrText xml:space="preserve"> PAGEREF _Toc38035008 \h </w:instrText>
            </w:r>
            <w:r w:rsidR="003171F9">
              <w:rPr>
                <w:noProof/>
                <w:webHidden/>
              </w:rPr>
            </w:r>
            <w:r w:rsidR="003171F9">
              <w:rPr>
                <w:noProof/>
                <w:webHidden/>
              </w:rPr>
              <w:fldChar w:fldCharType="separate"/>
            </w:r>
            <w:r w:rsidR="00A8147E">
              <w:rPr>
                <w:noProof/>
                <w:webHidden/>
              </w:rPr>
              <w:t>51</w:t>
            </w:r>
            <w:r w:rsidR="003171F9">
              <w:rPr>
                <w:noProof/>
                <w:webHidden/>
              </w:rPr>
              <w:fldChar w:fldCharType="end"/>
            </w:r>
          </w:hyperlink>
        </w:p>
        <w:p w14:paraId="07888C3E" w14:textId="6AB7A5F9" w:rsidR="003171F9" w:rsidRDefault="00064BAA" w:rsidP="00DF64C7">
          <w:pPr>
            <w:pStyle w:val="Spistreci3"/>
            <w:jc w:val="left"/>
            <w:rPr>
              <w:rFonts w:asciiTheme="minorHAnsi" w:hAnsiTheme="minorHAnsi"/>
              <w:noProof/>
              <w:lang w:eastAsia="pl-PL"/>
            </w:rPr>
          </w:pPr>
          <w:hyperlink w:anchor="_Toc38035009" w:history="1">
            <w:r w:rsidR="003171F9" w:rsidRPr="003737E4">
              <w:rPr>
                <w:rStyle w:val="Hipercze"/>
                <w:noProof/>
              </w:rPr>
              <w:t>c)</w:t>
            </w:r>
            <w:r w:rsidR="003171F9">
              <w:rPr>
                <w:rFonts w:asciiTheme="minorHAnsi" w:hAnsiTheme="minorHAnsi"/>
                <w:noProof/>
                <w:lang w:eastAsia="pl-PL"/>
              </w:rPr>
              <w:tab/>
            </w:r>
            <w:r w:rsidR="003171F9" w:rsidRPr="003737E4">
              <w:rPr>
                <w:rStyle w:val="Hipercze"/>
                <w:rFonts w:eastAsia="Arial"/>
                <w:noProof/>
              </w:rPr>
              <w:t>Jakie czynniki przyczyniły się do realizacji założonych celów, a jakie utrudniły ich realizację – zarówno czynniki zewnętrzne (np. otoczenie prawne, zmiany demograficzne), jak i </w:t>
            </w:r>
            <w:r w:rsidR="003171F9" w:rsidRPr="003737E4">
              <w:rPr>
                <w:rStyle w:val="Hipercze"/>
                <w:rFonts w:cs="Arial"/>
                <w:bCs/>
                <w:noProof/>
              </w:rPr>
              <w:t>wewnętrzne</w:t>
            </w:r>
            <w:r w:rsidR="003171F9" w:rsidRPr="003737E4">
              <w:rPr>
                <w:rStyle w:val="Hipercze"/>
                <w:rFonts w:eastAsia="Arial"/>
                <w:noProof/>
              </w:rPr>
              <w:t xml:space="preserve"> (poszczególne elementy zarządzania i wdrażania RPO WSL 2014-2020)?</w:t>
            </w:r>
            <w:r w:rsidR="003171F9">
              <w:rPr>
                <w:noProof/>
                <w:webHidden/>
              </w:rPr>
              <w:tab/>
            </w:r>
            <w:r w:rsidR="003171F9">
              <w:rPr>
                <w:noProof/>
                <w:webHidden/>
              </w:rPr>
              <w:fldChar w:fldCharType="begin"/>
            </w:r>
            <w:r w:rsidR="003171F9">
              <w:rPr>
                <w:noProof/>
                <w:webHidden/>
              </w:rPr>
              <w:instrText xml:space="preserve"> PAGEREF _Toc38035009 \h </w:instrText>
            </w:r>
            <w:r w:rsidR="003171F9">
              <w:rPr>
                <w:noProof/>
                <w:webHidden/>
              </w:rPr>
            </w:r>
            <w:r w:rsidR="003171F9">
              <w:rPr>
                <w:noProof/>
                <w:webHidden/>
              </w:rPr>
              <w:fldChar w:fldCharType="separate"/>
            </w:r>
            <w:r w:rsidR="00A8147E">
              <w:rPr>
                <w:noProof/>
                <w:webHidden/>
              </w:rPr>
              <w:t>59</w:t>
            </w:r>
            <w:r w:rsidR="003171F9">
              <w:rPr>
                <w:noProof/>
                <w:webHidden/>
              </w:rPr>
              <w:fldChar w:fldCharType="end"/>
            </w:r>
          </w:hyperlink>
        </w:p>
        <w:p w14:paraId="1C78DB0D" w14:textId="6A4C903C" w:rsidR="003171F9" w:rsidRDefault="00064BAA" w:rsidP="00DF64C7">
          <w:pPr>
            <w:pStyle w:val="Spistreci3"/>
            <w:jc w:val="left"/>
            <w:rPr>
              <w:rFonts w:asciiTheme="minorHAnsi" w:hAnsiTheme="minorHAnsi"/>
              <w:noProof/>
              <w:lang w:eastAsia="pl-PL"/>
            </w:rPr>
          </w:pPr>
          <w:hyperlink w:anchor="_Toc38035010" w:history="1">
            <w:r w:rsidR="003171F9" w:rsidRPr="003737E4">
              <w:rPr>
                <w:rStyle w:val="Hipercze"/>
                <w:noProof/>
              </w:rPr>
              <w:t>d)</w:t>
            </w:r>
            <w:r w:rsidR="003171F9">
              <w:rPr>
                <w:rFonts w:asciiTheme="minorHAnsi" w:hAnsiTheme="minorHAnsi"/>
                <w:noProof/>
                <w:lang w:eastAsia="pl-PL"/>
              </w:rPr>
              <w:tab/>
            </w:r>
            <w:r w:rsidR="003171F9" w:rsidRPr="003737E4">
              <w:rPr>
                <w:rStyle w:val="Hipercze"/>
                <w:rFonts w:eastAsia="Arial"/>
                <w:noProof/>
              </w:rPr>
              <w:t>Jak oceniana jest efektywność udzielonego wsparcia? Które typy projektów w ramach poszczególnych OP/Działań były najbardziej efektywne? Jakie działania należy podjąć by zwiększyć efektywność udzielanego wsparcia?</w:t>
            </w:r>
            <w:r w:rsidR="003171F9">
              <w:rPr>
                <w:noProof/>
                <w:webHidden/>
              </w:rPr>
              <w:tab/>
            </w:r>
            <w:r w:rsidR="003171F9">
              <w:rPr>
                <w:noProof/>
                <w:webHidden/>
              </w:rPr>
              <w:fldChar w:fldCharType="begin"/>
            </w:r>
            <w:r w:rsidR="003171F9">
              <w:rPr>
                <w:noProof/>
                <w:webHidden/>
              </w:rPr>
              <w:instrText xml:space="preserve"> PAGEREF _Toc38035010 \h </w:instrText>
            </w:r>
            <w:r w:rsidR="003171F9">
              <w:rPr>
                <w:noProof/>
                <w:webHidden/>
              </w:rPr>
            </w:r>
            <w:r w:rsidR="003171F9">
              <w:rPr>
                <w:noProof/>
                <w:webHidden/>
              </w:rPr>
              <w:fldChar w:fldCharType="separate"/>
            </w:r>
            <w:r w:rsidR="00A8147E">
              <w:rPr>
                <w:noProof/>
                <w:webHidden/>
              </w:rPr>
              <w:t>72</w:t>
            </w:r>
            <w:r w:rsidR="003171F9">
              <w:rPr>
                <w:noProof/>
                <w:webHidden/>
              </w:rPr>
              <w:fldChar w:fldCharType="end"/>
            </w:r>
          </w:hyperlink>
        </w:p>
        <w:p w14:paraId="637841DC" w14:textId="1E5CB384" w:rsidR="003171F9" w:rsidRDefault="00064BAA" w:rsidP="00DF64C7">
          <w:pPr>
            <w:pStyle w:val="Spistreci3"/>
            <w:jc w:val="left"/>
            <w:rPr>
              <w:rFonts w:asciiTheme="minorHAnsi" w:hAnsiTheme="minorHAnsi"/>
              <w:noProof/>
              <w:lang w:eastAsia="pl-PL"/>
            </w:rPr>
          </w:pPr>
          <w:hyperlink w:anchor="_Toc38035011" w:history="1">
            <w:r w:rsidR="003171F9" w:rsidRPr="003737E4">
              <w:rPr>
                <w:rStyle w:val="Hipercze"/>
                <w:noProof/>
              </w:rPr>
              <w:t>e)</w:t>
            </w:r>
            <w:r w:rsidR="003171F9">
              <w:rPr>
                <w:rFonts w:asciiTheme="minorHAnsi" w:hAnsiTheme="minorHAnsi"/>
                <w:noProof/>
                <w:lang w:eastAsia="pl-PL"/>
              </w:rPr>
              <w:tab/>
            </w:r>
            <w:r w:rsidR="003171F9" w:rsidRPr="003737E4">
              <w:rPr>
                <w:rStyle w:val="Hipercze"/>
                <w:rFonts w:eastAsia="Arial"/>
                <w:noProof/>
              </w:rPr>
              <w:t>Jak oceniana jest trwałość udzielonego wsparcia? Jakie czynniki wpływają na utrzymanie trwałości efektów projektów? Które rodzaje interwencji są najbardziej trwałe?</w:t>
            </w:r>
            <w:r w:rsidR="003171F9">
              <w:rPr>
                <w:noProof/>
                <w:webHidden/>
              </w:rPr>
              <w:tab/>
            </w:r>
            <w:r w:rsidR="003171F9">
              <w:rPr>
                <w:noProof/>
                <w:webHidden/>
              </w:rPr>
              <w:fldChar w:fldCharType="begin"/>
            </w:r>
            <w:r w:rsidR="003171F9">
              <w:rPr>
                <w:noProof/>
                <w:webHidden/>
              </w:rPr>
              <w:instrText xml:space="preserve"> PAGEREF _Toc38035011 \h </w:instrText>
            </w:r>
            <w:r w:rsidR="003171F9">
              <w:rPr>
                <w:noProof/>
                <w:webHidden/>
              </w:rPr>
            </w:r>
            <w:r w:rsidR="003171F9">
              <w:rPr>
                <w:noProof/>
                <w:webHidden/>
              </w:rPr>
              <w:fldChar w:fldCharType="separate"/>
            </w:r>
            <w:r w:rsidR="00A8147E">
              <w:rPr>
                <w:noProof/>
                <w:webHidden/>
              </w:rPr>
              <w:t>87</w:t>
            </w:r>
            <w:r w:rsidR="003171F9">
              <w:rPr>
                <w:noProof/>
                <w:webHidden/>
              </w:rPr>
              <w:fldChar w:fldCharType="end"/>
            </w:r>
          </w:hyperlink>
        </w:p>
        <w:p w14:paraId="17838159" w14:textId="1E6E8CDD" w:rsidR="003171F9" w:rsidRDefault="00064BAA" w:rsidP="00DF64C7">
          <w:pPr>
            <w:pStyle w:val="Spistreci3"/>
            <w:jc w:val="left"/>
            <w:rPr>
              <w:rFonts w:asciiTheme="minorHAnsi" w:hAnsiTheme="minorHAnsi"/>
              <w:noProof/>
              <w:lang w:eastAsia="pl-PL"/>
            </w:rPr>
          </w:pPr>
          <w:hyperlink w:anchor="_Toc38035012" w:history="1">
            <w:r w:rsidR="003171F9" w:rsidRPr="003737E4">
              <w:rPr>
                <w:rStyle w:val="Hipercze"/>
                <w:noProof/>
              </w:rPr>
              <w:t>f)</w:t>
            </w:r>
            <w:r w:rsidR="003171F9">
              <w:rPr>
                <w:rFonts w:asciiTheme="minorHAnsi" w:hAnsiTheme="minorHAnsi"/>
                <w:noProof/>
                <w:lang w:eastAsia="pl-PL"/>
              </w:rPr>
              <w:tab/>
            </w:r>
            <w:r w:rsidR="003171F9" w:rsidRPr="003737E4">
              <w:rPr>
                <w:rStyle w:val="Hipercze"/>
                <w:rFonts w:eastAsia="Arial"/>
                <w:noProof/>
              </w:rPr>
              <w:t>Czy w wyniku realizacji projektów ujawniły się niezamierzone efekty (negatywne/ pozytywne) – np. deadweight, autoselekcji, creamingu, souringu? Jak można przeciwdziałać zidentyfikowanym efektom negatywnym, a wzmacniać efekty pozytywne w ramach RPO WSL?</w:t>
            </w:r>
            <w:r w:rsidR="003171F9">
              <w:rPr>
                <w:noProof/>
                <w:webHidden/>
              </w:rPr>
              <w:tab/>
            </w:r>
            <w:r w:rsidR="003171F9">
              <w:rPr>
                <w:noProof/>
                <w:webHidden/>
              </w:rPr>
              <w:fldChar w:fldCharType="begin"/>
            </w:r>
            <w:r w:rsidR="003171F9">
              <w:rPr>
                <w:noProof/>
                <w:webHidden/>
              </w:rPr>
              <w:instrText xml:space="preserve"> PAGEREF _Toc38035012 \h </w:instrText>
            </w:r>
            <w:r w:rsidR="003171F9">
              <w:rPr>
                <w:noProof/>
                <w:webHidden/>
              </w:rPr>
            </w:r>
            <w:r w:rsidR="003171F9">
              <w:rPr>
                <w:noProof/>
                <w:webHidden/>
              </w:rPr>
              <w:fldChar w:fldCharType="separate"/>
            </w:r>
            <w:r w:rsidR="00A8147E">
              <w:rPr>
                <w:noProof/>
                <w:webHidden/>
              </w:rPr>
              <w:t>92</w:t>
            </w:r>
            <w:r w:rsidR="003171F9">
              <w:rPr>
                <w:noProof/>
                <w:webHidden/>
              </w:rPr>
              <w:fldChar w:fldCharType="end"/>
            </w:r>
          </w:hyperlink>
        </w:p>
        <w:p w14:paraId="2B05E071" w14:textId="424F91B9" w:rsidR="003171F9" w:rsidRDefault="00064BAA" w:rsidP="00DF64C7">
          <w:pPr>
            <w:pStyle w:val="Spistreci3"/>
            <w:jc w:val="left"/>
            <w:rPr>
              <w:rFonts w:asciiTheme="minorHAnsi" w:hAnsiTheme="minorHAnsi"/>
              <w:noProof/>
              <w:lang w:eastAsia="pl-PL"/>
            </w:rPr>
          </w:pPr>
          <w:hyperlink w:anchor="_Toc38035013" w:history="1">
            <w:r w:rsidR="003171F9" w:rsidRPr="003737E4">
              <w:rPr>
                <w:rStyle w:val="Hipercze"/>
                <w:noProof/>
              </w:rPr>
              <w:t>g)</w:t>
            </w:r>
            <w:r w:rsidR="003171F9">
              <w:rPr>
                <w:rFonts w:asciiTheme="minorHAnsi" w:hAnsiTheme="minorHAnsi"/>
                <w:noProof/>
                <w:lang w:eastAsia="pl-PL"/>
              </w:rPr>
              <w:tab/>
            </w:r>
            <w:r w:rsidR="003171F9" w:rsidRPr="003737E4">
              <w:rPr>
                <w:rStyle w:val="Hipercze"/>
                <w:rFonts w:eastAsia="Arial"/>
                <w:noProof/>
              </w:rPr>
              <w:t>W jakim stopniu zmiany i efekty (zarówno te planowane, jak i nieplanowane) przypisane uczestnikom/odbiorcom ostatecznym wsparcia i beneficjentom są rzeczywistym wynikiem udzielonego wsparcia w ramach RPO WSL 2014-2020?</w:t>
            </w:r>
            <w:r w:rsidR="003171F9">
              <w:rPr>
                <w:noProof/>
                <w:webHidden/>
              </w:rPr>
              <w:tab/>
            </w:r>
            <w:r w:rsidR="003171F9">
              <w:rPr>
                <w:noProof/>
                <w:webHidden/>
              </w:rPr>
              <w:fldChar w:fldCharType="begin"/>
            </w:r>
            <w:r w:rsidR="003171F9">
              <w:rPr>
                <w:noProof/>
                <w:webHidden/>
              </w:rPr>
              <w:instrText xml:space="preserve"> PAGEREF _Toc38035013 \h </w:instrText>
            </w:r>
            <w:r w:rsidR="003171F9">
              <w:rPr>
                <w:noProof/>
                <w:webHidden/>
              </w:rPr>
            </w:r>
            <w:r w:rsidR="003171F9">
              <w:rPr>
                <w:noProof/>
                <w:webHidden/>
              </w:rPr>
              <w:fldChar w:fldCharType="separate"/>
            </w:r>
            <w:r w:rsidR="00A8147E">
              <w:rPr>
                <w:noProof/>
                <w:webHidden/>
              </w:rPr>
              <w:t>97</w:t>
            </w:r>
            <w:r w:rsidR="003171F9">
              <w:rPr>
                <w:noProof/>
                <w:webHidden/>
              </w:rPr>
              <w:fldChar w:fldCharType="end"/>
            </w:r>
          </w:hyperlink>
        </w:p>
        <w:p w14:paraId="1B800FDE" w14:textId="7A049678" w:rsidR="003171F9" w:rsidRDefault="00064BAA" w:rsidP="00DF64C7">
          <w:pPr>
            <w:pStyle w:val="Spistreci3"/>
            <w:jc w:val="left"/>
            <w:rPr>
              <w:rFonts w:asciiTheme="minorHAnsi" w:hAnsiTheme="minorHAnsi"/>
              <w:noProof/>
              <w:lang w:eastAsia="pl-PL"/>
            </w:rPr>
          </w:pPr>
          <w:hyperlink w:anchor="_Toc38035014" w:history="1">
            <w:r w:rsidR="003171F9" w:rsidRPr="003737E4">
              <w:rPr>
                <w:rStyle w:val="Hipercze"/>
                <w:noProof/>
              </w:rPr>
              <w:t>h)</w:t>
            </w:r>
            <w:r w:rsidR="003171F9">
              <w:rPr>
                <w:rFonts w:asciiTheme="minorHAnsi" w:hAnsiTheme="minorHAnsi"/>
                <w:noProof/>
                <w:lang w:eastAsia="pl-PL"/>
              </w:rPr>
              <w:tab/>
            </w:r>
            <w:r w:rsidR="003171F9" w:rsidRPr="003737E4">
              <w:rPr>
                <w:rStyle w:val="Hipercze"/>
                <w:rFonts w:eastAsia="Arial"/>
                <w:noProof/>
              </w:rPr>
              <w:t xml:space="preserve">W jakim stopniu projekty realizowane w ramach OP XI i XII RPO WSL przyczyniły się do realizacji celów strategicznych i operacyjnych określonych w Programie Rozwoju Szkolnictwa Zawodowego Województwa Śląskiego na lata 2014-2020 oraz w ramach celu operacyjnego </w:t>
            </w:r>
            <w:r w:rsidR="003171F9" w:rsidRPr="003737E4">
              <w:rPr>
                <w:rStyle w:val="Hipercze"/>
                <w:rFonts w:eastAsia="Arial"/>
                <w:i/>
                <w:noProof/>
              </w:rPr>
              <w:t>B.2. Rozwój kompetencji, umiejętności i wzrost poziomu aktywności</w:t>
            </w:r>
            <w:r w:rsidR="003171F9" w:rsidRPr="003737E4">
              <w:rPr>
                <w:rStyle w:val="Hipercze"/>
                <w:rFonts w:eastAsia="Arial"/>
                <w:noProof/>
              </w:rPr>
              <w:t xml:space="preserve"> </w:t>
            </w:r>
            <w:r w:rsidR="003171F9" w:rsidRPr="003737E4">
              <w:rPr>
                <w:rStyle w:val="Hipercze"/>
                <w:rFonts w:eastAsia="Arial"/>
                <w:i/>
                <w:noProof/>
              </w:rPr>
              <w:t xml:space="preserve">mieszkańców </w:t>
            </w:r>
            <w:r w:rsidR="003171F9" w:rsidRPr="003737E4">
              <w:rPr>
                <w:rStyle w:val="Hipercze"/>
                <w:rFonts w:eastAsia="Arial"/>
                <w:noProof/>
              </w:rPr>
              <w:t>określonego w Strategii Rozwoju Województwa Śląskiego „Śląskie</w:t>
            </w:r>
            <w:r w:rsidR="003171F9" w:rsidRPr="003737E4">
              <w:rPr>
                <w:rStyle w:val="Hipercze"/>
                <w:rFonts w:eastAsia="Arial"/>
                <w:i/>
                <w:noProof/>
              </w:rPr>
              <w:t xml:space="preserve"> </w:t>
            </w:r>
            <w:r w:rsidR="003171F9" w:rsidRPr="003737E4">
              <w:rPr>
                <w:rStyle w:val="Hipercze"/>
                <w:rFonts w:eastAsia="Arial"/>
                <w:noProof/>
              </w:rPr>
              <w:t>2020+”?</w:t>
            </w:r>
            <w:r w:rsidR="003171F9">
              <w:rPr>
                <w:noProof/>
                <w:webHidden/>
              </w:rPr>
              <w:tab/>
            </w:r>
            <w:r w:rsidR="003171F9">
              <w:rPr>
                <w:noProof/>
                <w:webHidden/>
              </w:rPr>
              <w:fldChar w:fldCharType="begin"/>
            </w:r>
            <w:r w:rsidR="003171F9">
              <w:rPr>
                <w:noProof/>
                <w:webHidden/>
              </w:rPr>
              <w:instrText xml:space="preserve"> PAGEREF _Toc38035014 \h </w:instrText>
            </w:r>
            <w:r w:rsidR="003171F9">
              <w:rPr>
                <w:noProof/>
                <w:webHidden/>
              </w:rPr>
            </w:r>
            <w:r w:rsidR="003171F9">
              <w:rPr>
                <w:noProof/>
                <w:webHidden/>
              </w:rPr>
              <w:fldChar w:fldCharType="separate"/>
            </w:r>
            <w:r w:rsidR="00A8147E">
              <w:rPr>
                <w:noProof/>
                <w:webHidden/>
              </w:rPr>
              <w:t>101</w:t>
            </w:r>
            <w:r w:rsidR="003171F9">
              <w:rPr>
                <w:noProof/>
                <w:webHidden/>
              </w:rPr>
              <w:fldChar w:fldCharType="end"/>
            </w:r>
          </w:hyperlink>
        </w:p>
        <w:p w14:paraId="1AED6FB3" w14:textId="2AB2B10D" w:rsidR="003171F9" w:rsidRDefault="00064BAA" w:rsidP="00DF64C7">
          <w:pPr>
            <w:pStyle w:val="Spistreci3"/>
            <w:jc w:val="left"/>
            <w:rPr>
              <w:rFonts w:asciiTheme="minorHAnsi" w:hAnsiTheme="minorHAnsi"/>
              <w:noProof/>
              <w:lang w:eastAsia="pl-PL"/>
            </w:rPr>
          </w:pPr>
          <w:hyperlink w:anchor="_Toc38035015" w:history="1">
            <w:r w:rsidR="003171F9" w:rsidRPr="003737E4">
              <w:rPr>
                <w:rStyle w:val="Hipercze"/>
                <w:noProof/>
              </w:rPr>
              <w:t>i)</w:t>
            </w:r>
            <w:r w:rsidR="003171F9">
              <w:rPr>
                <w:rFonts w:asciiTheme="minorHAnsi" w:hAnsiTheme="minorHAnsi"/>
                <w:noProof/>
                <w:lang w:eastAsia="pl-PL"/>
              </w:rPr>
              <w:tab/>
            </w:r>
            <w:r w:rsidR="003171F9" w:rsidRPr="003737E4">
              <w:rPr>
                <w:rStyle w:val="Hipercze"/>
                <w:rFonts w:eastAsia="Arial"/>
                <w:noProof/>
              </w:rPr>
              <w:t>Czy system wyboru projektów wspiera (w jaki stopniu) realizację projektów zgodnych z inteligentnymi specjalizacjami regionu?</w:t>
            </w:r>
            <w:r w:rsidR="003171F9">
              <w:rPr>
                <w:noProof/>
                <w:webHidden/>
              </w:rPr>
              <w:tab/>
            </w:r>
            <w:r w:rsidR="003171F9">
              <w:rPr>
                <w:noProof/>
                <w:webHidden/>
              </w:rPr>
              <w:fldChar w:fldCharType="begin"/>
            </w:r>
            <w:r w:rsidR="003171F9">
              <w:rPr>
                <w:noProof/>
                <w:webHidden/>
              </w:rPr>
              <w:instrText xml:space="preserve"> PAGEREF _Toc38035015 \h </w:instrText>
            </w:r>
            <w:r w:rsidR="003171F9">
              <w:rPr>
                <w:noProof/>
                <w:webHidden/>
              </w:rPr>
            </w:r>
            <w:r w:rsidR="003171F9">
              <w:rPr>
                <w:noProof/>
                <w:webHidden/>
              </w:rPr>
              <w:fldChar w:fldCharType="separate"/>
            </w:r>
            <w:r w:rsidR="00A8147E">
              <w:rPr>
                <w:noProof/>
                <w:webHidden/>
              </w:rPr>
              <w:t>107</w:t>
            </w:r>
            <w:r w:rsidR="003171F9">
              <w:rPr>
                <w:noProof/>
                <w:webHidden/>
              </w:rPr>
              <w:fldChar w:fldCharType="end"/>
            </w:r>
          </w:hyperlink>
        </w:p>
        <w:p w14:paraId="21E2D469" w14:textId="23825DF6" w:rsidR="003171F9" w:rsidRDefault="00064BAA" w:rsidP="00DF64C7">
          <w:pPr>
            <w:pStyle w:val="Spistreci3"/>
            <w:jc w:val="left"/>
            <w:rPr>
              <w:rFonts w:asciiTheme="minorHAnsi" w:hAnsiTheme="minorHAnsi"/>
              <w:noProof/>
              <w:lang w:eastAsia="pl-PL"/>
            </w:rPr>
          </w:pPr>
          <w:hyperlink w:anchor="_Toc38035016" w:history="1">
            <w:r w:rsidR="003171F9" w:rsidRPr="003737E4">
              <w:rPr>
                <w:rStyle w:val="Hipercze"/>
                <w:noProof/>
              </w:rPr>
              <w:t>j)</w:t>
            </w:r>
            <w:r w:rsidR="003171F9">
              <w:rPr>
                <w:rFonts w:asciiTheme="minorHAnsi" w:hAnsiTheme="minorHAnsi"/>
                <w:noProof/>
                <w:lang w:eastAsia="pl-PL"/>
              </w:rPr>
              <w:tab/>
            </w:r>
            <w:r w:rsidR="003171F9" w:rsidRPr="003737E4">
              <w:rPr>
                <w:rStyle w:val="Hipercze"/>
                <w:noProof/>
              </w:rPr>
              <w:t>Jakie typy działań dominują w projektach realizowanych w ramach OP XI i XII i dlaczego?</w:t>
            </w:r>
            <w:r w:rsidR="003171F9">
              <w:rPr>
                <w:noProof/>
                <w:webHidden/>
              </w:rPr>
              <w:tab/>
            </w:r>
            <w:r w:rsidR="003171F9">
              <w:rPr>
                <w:noProof/>
                <w:webHidden/>
              </w:rPr>
              <w:fldChar w:fldCharType="begin"/>
            </w:r>
            <w:r w:rsidR="003171F9">
              <w:rPr>
                <w:noProof/>
                <w:webHidden/>
              </w:rPr>
              <w:instrText xml:space="preserve"> PAGEREF _Toc38035016 \h </w:instrText>
            </w:r>
            <w:r w:rsidR="003171F9">
              <w:rPr>
                <w:noProof/>
                <w:webHidden/>
              </w:rPr>
            </w:r>
            <w:r w:rsidR="003171F9">
              <w:rPr>
                <w:noProof/>
                <w:webHidden/>
              </w:rPr>
              <w:fldChar w:fldCharType="separate"/>
            </w:r>
            <w:r w:rsidR="00A8147E">
              <w:rPr>
                <w:noProof/>
                <w:webHidden/>
              </w:rPr>
              <w:t>111</w:t>
            </w:r>
            <w:r w:rsidR="003171F9">
              <w:rPr>
                <w:noProof/>
                <w:webHidden/>
              </w:rPr>
              <w:fldChar w:fldCharType="end"/>
            </w:r>
          </w:hyperlink>
        </w:p>
        <w:p w14:paraId="15FB8455" w14:textId="5D3606BF" w:rsidR="003171F9" w:rsidRDefault="00064BAA" w:rsidP="00DF64C7">
          <w:pPr>
            <w:pStyle w:val="Spistreci2"/>
            <w:rPr>
              <w:rFonts w:asciiTheme="minorHAnsi" w:hAnsiTheme="minorHAnsi"/>
              <w:noProof/>
              <w:lang w:eastAsia="pl-PL"/>
            </w:rPr>
          </w:pPr>
          <w:hyperlink w:anchor="_Toc38035017" w:history="1">
            <w:r w:rsidR="003171F9" w:rsidRPr="003737E4">
              <w:rPr>
                <w:rStyle w:val="Hipercze"/>
                <w:noProof/>
              </w:rPr>
              <w:t>6.2.</w:t>
            </w:r>
            <w:r w:rsidR="003171F9">
              <w:rPr>
                <w:rFonts w:asciiTheme="minorHAnsi" w:hAnsiTheme="minorHAnsi"/>
                <w:noProof/>
                <w:lang w:eastAsia="pl-PL"/>
              </w:rPr>
              <w:tab/>
            </w:r>
            <w:r w:rsidR="003171F9" w:rsidRPr="003737E4">
              <w:rPr>
                <w:rStyle w:val="Hipercze"/>
                <w:noProof/>
              </w:rPr>
              <w:t>OBSZAR II. Ocena przyjętych mechanizmów wdrażania</w:t>
            </w:r>
            <w:r w:rsidR="003171F9">
              <w:rPr>
                <w:noProof/>
                <w:webHidden/>
              </w:rPr>
              <w:tab/>
            </w:r>
            <w:r w:rsidR="003171F9">
              <w:rPr>
                <w:noProof/>
                <w:webHidden/>
              </w:rPr>
              <w:fldChar w:fldCharType="begin"/>
            </w:r>
            <w:r w:rsidR="003171F9">
              <w:rPr>
                <w:noProof/>
                <w:webHidden/>
              </w:rPr>
              <w:instrText xml:space="preserve"> PAGEREF _Toc38035017 \h </w:instrText>
            </w:r>
            <w:r w:rsidR="003171F9">
              <w:rPr>
                <w:noProof/>
                <w:webHidden/>
              </w:rPr>
            </w:r>
            <w:r w:rsidR="003171F9">
              <w:rPr>
                <w:noProof/>
                <w:webHidden/>
              </w:rPr>
              <w:fldChar w:fldCharType="separate"/>
            </w:r>
            <w:r w:rsidR="00A8147E">
              <w:rPr>
                <w:noProof/>
                <w:webHidden/>
              </w:rPr>
              <w:t>113</w:t>
            </w:r>
            <w:r w:rsidR="003171F9">
              <w:rPr>
                <w:noProof/>
                <w:webHidden/>
              </w:rPr>
              <w:fldChar w:fldCharType="end"/>
            </w:r>
          </w:hyperlink>
        </w:p>
        <w:p w14:paraId="6D106F97" w14:textId="313C5C78" w:rsidR="003171F9" w:rsidRDefault="00064BAA" w:rsidP="00DF64C7">
          <w:pPr>
            <w:pStyle w:val="Spistreci3"/>
            <w:jc w:val="left"/>
            <w:rPr>
              <w:rFonts w:asciiTheme="minorHAnsi" w:hAnsiTheme="minorHAnsi"/>
              <w:noProof/>
              <w:lang w:eastAsia="pl-PL"/>
            </w:rPr>
          </w:pPr>
          <w:hyperlink w:anchor="_Toc38035018" w:history="1">
            <w:r w:rsidR="003171F9" w:rsidRPr="003737E4">
              <w:rPr>
                <w:rStyle w:val="Hipercze"/>
                <w:noProof/>
              </w:rPr>
              <w:t>a)</w:t>
            </w:r>
            <w:r w:rsidR="003171F9">
              <w:rPr>
                <w:rFonts w:asciiTheme="minorHAnsi" w:hAnsiTheme="minorHAnsi"/>
                <w:noProof/>
                <w:lang w:eastAsia="pl-PL"/>
              </w:rPr>
              <w:tab/>
            </w:r>
            <w:r w:rsidR="003171F9" w:rsidRPr="003737E4">
              <w:rPr>
                <w:rStyle w:val="Hipercze"/>
                <w:noProof/>
              </w:rPr>
              <w:t>Jak należy ocenić komplementarność projektów realizowanych w ramach OP XI i XII? Czy wymagany mechanizm komplementarności obligatoryjnej projektów współfinansowanych z EFRR z projektami współfinansowanymi z EFS skutecznie wpływa na wybór projektów kompleksowo odpowiadających na zidentyfikowane problemy i rzeczywiście zwiększa realizację celów interwencji?</w:t>
            </w:r>
            <w:r w:rsidR="003171F9">
              <w:rPr>
                <w:noProof/>
                <w:webHidden/>
              </w:rPr>
              <w:tab/>
            </w:r>
            <w:r w:rsidR="003171F9">
              <w:rPr>
                <w:noProof/>
                <w:webHidden/>
              </w:rPr>
              <w:fldChar w:fldCharType="begin"/>
            </w:r>
            <w:r w:rsidR="003171F9">
              <w:rPr>
                <w:noProof/>
                <w:webHidden/>
              </w:rPr>
              <w:instrText xml:space="preserve"> PAGEREF _Toc38035018 \h </w:instrText>
            </w:r>
            <w:r w:rsidR="003171F9">
              <w:rPr>
                <w:noProof/>
                <w:webHidden/>
              </w:rPr>
            </w:r>
            <w:r w:rsidR="003171F9">
              <w:rPr>
                <w:noProof/>
                <w:webHidden/>
              </w:rPr>
              <w:fldChar w:fldCharType="separate"/>
            </w:r>
            <w:r w:rsidR="00A8147E">
              <w:rPr>
                <w:noProof/>
                <w:webHidden/>
              </w:rPr>
              <w:t>113</w:t>
            </w:r>
            <w:r w:rsidR="003171F9">
              <w:rPr>
                <w:noProof/>
                <w:webHidden/>
              </w:rPr>
              <w:fldChar w:fldCharType="end"/>
            </w:r>
          </w:hyperlink>
        </w:p>
        <w:p w14:paraId="2A95F555" w14:textId="659B0CDB" w:rsidR="003171F9" w:rsidRDefault="00064BAA" w:rsidP="00DF64C7">
          <w:pPr>
            <w:pStyle w:val="Spistreci3"/>
            <w:jc w:val="left"/>
            <w:rPr>
              <w:rFonts w:asciiTheme="minorHAnsi" w:hAnsiTheme="minorHAnsi"/>
              <w:noProof/>
              <w:lang w:eastAsia="pl-PL"/>
            </w:rPr>
          </w:pPr>
          <w:hyperlink w:anchor="_Toc38035019" w:history="1">
            <w:r w:rsidR="003171F9" w:rsidRPr="003737E4">
              <w:rPr>
                <w:rStyle w:val="Hipercze"/>
                <w:noProof/>
              </w:rPr>
              <w:t>b)</w:t>
            </w:r>
            <w:r w:rsidR="003171F9">
              <w:rPr>
                <w:rFonts w:asciiTheme="minorHAnsi" w:hAnsiTheme="minorHAnsi"/>
                <w:noProof/>
                <w:lang w:eastAsia="pl-PL"/>
              </w:rPr>
              <w:tab/>
            </w:r>
            <w:r w:rsidR="003171F9" w:rsidRPr="003737E4">
              <w:rPr>
                <w:rStyle w:val="Hipercze"/>
                <w:rFonts w:eastAsia="Arial"/>
                <w:noProof/>
              </w:rPr>
              <w:t>W jaki sposób zapewniono w projektach realizowanych w ramach RPO WSL 2014-2020 wypełnianie zasad horyzontalnych, tj. zasady równości szans i zapobiegania dyskryminacji, w tym dostępności dla osób z niepełnosprawnościami, zasady równości szans kobiet i mężczyzn, zasady zrównoważonego rozwoju? Czy stosowanie zasad równościowych oraz standardów dostępności było wystarczające i rzeczywiście przyczyniło się do wyrównywania szans osób z niepełnosprawnościami, kobiet i mężczyzn?</w:t>
            </w:r>
            <w:r w:rsidR="003171F9">
              <w:rPr>
                <w:noProof/>
                <w:webHidden/>
              </w:rPr>
              <w:tab/>
            </w:r>
            <w:r w:rsidR="003171F9">
              <w:rPr>
                <w:noProof/>
                <w:webHidden/>
              </w:rPr>
              <w:fldChar w:fldCharType="begin"/>
            </w:r>
            <w:r w:rsidR="003171F9">
              <w:rPr>
                <w:noProof/>
                <w:webHidden/>
              </w:rPr>
              <w:instrText xml:space="preserve"> PAGEREF _Toc38035019 \h </w:instrText>
            </w:r>
            <w:r w:rsidR="003171F9">
              <w:rPr>
                <w:noProof/>
                <w:webHidden/>
              </w:rPr>
            </w:r>
            <w:r w:rsidR="003171F9">
              <w:rPr>
                <w:noProof/>
                <w:webHidden/>
              </w:rPr>
              <w:fldChar w:fldCharType="separate"/>
            </w:r>
            <w:r w:rsidR="00A8147E">
              <w:rPr>
                <w:noProof/>
                <w:webHidden/>
              </w:rPr>
              <w:t>118</w:t>
            </w:r>
            <w:r w:rsidR="003171F9">
              <w:rPr>
                <w:noProof/>
                <w:webHidden/>
              </w:rPr>
              <w:fldChar w:fldCharType="end"/>
            </w:r>
          </w:hyperlink>
        </w:p>
        <w:p w14:paraId="55F192EC" w14:textId="77DE00FF" w:rsidR="003171F9" w:rsidRDefault="00064BAA" w:rsidP="00DF64C7">
          <w:pPr>
            <w:pStyle w:val="Spistreci3"/>
            <w:jc w:val="left"/>
            <w:rPr>
              <w:rFonts w:asciiTheme="minorHAnsi" w:hAnsiTheme="minorHAnsi"/>
              <w:noProof/>
              <w:lang w:eastAsia="pl-PL"/>
            </w:rPr>
          </w:pPr>
          <w:hyperlink w:anchor="_Toc38035020" w:history="1">
            <w:r w:rsidR="003171F9" w:rsidRPr="003737E4">
              <w:rPr>
                <w:rStyle w:val="Hipercze"/>
                <w:noProof/>
              </w:rPr>
              <w:t>c)</w:t>
            </w:r>
            <w:r w:rsidR="003171F9">
              <w:rPr>
                <w:rFonts w:asciiTheme="minorHAnsi" w:hAnsiTheme="minorHAnsi"/>
                <w:noProof/>
                <w:lang w:eastAsia="pl-PL"/>
              </w:rPr>
              <w:tab/>
            </w:r>
            <w:r w:rsidR="003171F9" w:rsidRPr="003737E4">
              <w:rPr>
                <w:rStyle w:val="Hipercze"/>
                <w:rFonts w:eastAsia="Arial"/>
                <w:noProof/>
              </w:rPr>
              <w:t xml:space="preserve">Czy projekty realizowane w formule inwestycji terytorialnych (ZIT i RIT) są skuteczne? Czy realizacja projektów w ramach Działań </w:t>
            </w:r>
            <w:r w:rsidR="003171F9" w:rsidRPr="003737E4">
              <w:rPr>
                <w:rStyle w:val="Hipercze"/>
                <w:rFonts w:cs="Arial"/>
                <w:noProof/>
              </w:rPr>
              <w:t>dedykowanych</w:t>
            </w:r>
            <w:r w:rsidR="003171F9" w:rsidRPr="003737E4">
              <w:rPr>
                <w:rStyle w:val="Hipercze"/>
                <w:rFonts w:eastAsia="Arial"/>
                <w:noProof/>
              </w:rPr>
              <w:t xml:space="preserve"> instrumentom terytorialnym ZIT/RIT wykazuje się wyższą skutecznością niż wyłanianych w pozostałych Działaniach w ramach OP XI? Czy i jakie występują problemy na etapie wdrażania projektów w ramach ZIT/RIT. Jak można im zapobiegać? Czy w kolejnej perspektywie finansowej zasadne jest wdrażanie projektów edukacyjnych w formie inwestycji terytorialnych?</w:t>
            </w:r>
            <w:r w:rsidR="003171F9">
              <w:rPr>
                <w:noProof/>
                <w:webHidden/>
              </w:rPr>
              <w:tab/>
            </w:r>
            <w:r w:rsidR="003171F9">
              <w:rPr>
                <w:noProof/>
                <w:webHidden/>
              </w:rPr>
              <w:fldChar w:fldCharType="begin"/>
            </w:r>
            <w:r w:rsidR="003171F9">
              <w:rPr>
                <w:noProof/>
                <w:webHidden/>
              </w:rPr>
              <w:instrText xml:space="preserve"> PAGEREF _Toc38035020 \h </w:instrText>
            </w:r>
            <w:r w:rsidR="003171F9">
              <w:rPr>
                <w:noProof/>
                <w:webHidden/>
              </w:rPr>
            </w:r>
            <w:r w:rsidR="003171F9">
              <w:rPr>
                <w:noProof/>
                <w:webHidden/>
              </w:rPr>
              <w:fldChar w:fldCharType="separate"/>
            </w:r>
            <w:r w:rsidR="00A8147E">
              <w:rPr>
                <w:noProof/>
                <w:webHidden/>
              </w:rPr>
              <w:t>128</w:t>
            </w:r>
            <w:r w:rsidR="003171F9">
              <w:rPr>
                <w:noProof/>
                <w:webHidden/>
              </w:rPr>
              <w:fldChar w:fldCharType="end"/>
            </w:r>
          </w:hyperlink>
        </w:p>
        <w:p w14:paraId="2F9E47CB" w14:textId="171D0A41" w:rsidR="003171F9" w:rsidRDefault="00064BAA" w:rsidP="00DF64C7">
          <w:pPr>
            <w:pStyle w:val="Spistreci3"/>
            <w:jc w:val="left"/>
            <w:rPr>
              <w:rFonts w:asciiTheme="minorHAnsi" w:hAnsiTheme="minorHAnsi"/>
              <w:noProof/>
              <w:lang w:eastAsia="pl-PL"/>
            </w:rPr>
          </w:pPr>
          <w:hyperlink w:anchor="_Toc38035021" w:history="1">
            <w:r w:rsidR="003171F9" w:rsidRPr="003737E4">
              <w:rPr>
                <w:rStyle w:val="Hipercze"/>
                <w:noProof/>
              </w:rPr>
              <w:t>d)</w:t>
            </w:r>
            <w:r w:rsidR="003171F9">
              <w:rPr>
                <w:rFonts w:asciiTheme="minorHAnsi" w:hAnsiTheme="minorHAnsi"/>
                <w:noProof/>
                <w:lang w:eastAsia="pl-PL"/>
              </w:rPr>
              <w:tab/>
            </w:r>
            <w:r w:rsidR="003171F9" w:rsidRPr="003737E4">
              <w:rPr>
                <w:rStyle w:val="Hipercze"/>
                <w:rFonts w:eastAsia="Arial"/>
                <w:noProof/>
              </w:rPr>
              <w:t>Ocena ścieżki pozakonkursowej: Czy projekty w ramach ścieżki pozakonkursowej były i są realizowane zgodnie z harmonogramem? Czy wystąpiły/występują problemy w ich realizacji i jak można im zapobiec?</w:t>
            </w:r>
            <w:r w:rsidR="003171F9">
              <w:rPr>
                <w:noProof/>
                <w:webHidden/>
              </w:rPr>
              <w:tab/>
            </w:r>
            <w:r w:rsidR="003171F9">
              <w:rPr>
                <w:noProof/>
                <w:webHidden/>
              </w:rPr>
              <w:fldChar w:fldCharType="begin"/>
            </w:r>
            <w:r w:rsidR="003171F9">
              <w:rPr>
                <w:noProof/>
                <w:webHidden/>
              </w:rPr>
              <w:instrText xml:space="preserve"> PAGEREF _Toc38035021 \h </w:instrText>
            </w:r>
            <w:r w:rsidR="003171F9">
              <w:rPr>
                <w:noProof/>
                <w:webHidden/>
              </w:rPr>
            </w:r>
            <w:r w:rsidR="003171F9">
              <w:rPr>
                <w:noProof/>
                <w:webHidden/>
              </w:rPr>
              <w:fldChar w:fldCharType="separate"/>
            </w:r>
            <w:r w:rsidR="00A8147E">
              <w:rPr>
                <w:noProof/>
                <w:webHidden/>
              </w:rPr>
              <w:t>141</w:t>
            </w:r>
            <w:r w:rsidR="003171F9">
              <w:rPr>
                <w:noProof/>
                <w:webHidden/>
              </w:rPr>
              <w:fldChar w:fldCharType="end"/>
            </w:r>
          </w:hyperlink>
        </w:p>
        <w:p w14:paraId="66350B57" w14:textId="577359C1" w:rsidR="003171F9" w:rsidRDefault="00064BAA" w:rsidP="00DF64C7">
          <w:pPr>
            <w:pStyle w:val="Spistreci3"/>
            <w:jc w:val="left"/>
            <w:rPr>
              <w:rFonts w:asciiTheme="minorHAnsi" w:hAnsiTheme="minorHAnsi"/>
              <w:noProof/>
              <w:lang w:eastAsia="pl-PL"/>
            </w:rPr>
          </w:pPr>
          <w:hyperlink w:anchor="_Toc38035022" w:history="1">
            <w:r w:rsidR="003171F9" w:rsidRPr="003737E4">
              <w:rPr>
                <w:rStyle w:val="Hipercze"/>
                <w:noProof/>
              </w:rPr>
              <w:t>e)</w:t>
            </w:r>
            <w:r w:rsidR="003171F9">
              <w:rPr>
                <w:rFonts w:asciiTheme="minorHAnsi" w:hAnsiTheme="minorHAnsi"/>
                <w:noProof/>
                <w:lang w:eastAsia="pl-PL"/>
              </w:rPr>
              <w:tab/>
            </w:r>
            <w:r w:rsidR="003171F9" w:rsidRPr="003737E4">
              <w:rPr>
                <w:rStyle w:val="Hipercze"/>
                <w:rFonts w:eastAsia="Arial"/>
                <w:noProof/>
              </w:rPr>
              <w:t>Ocena ścieżki pozakonkursowej: W jakim stopniu program stypendialny realizowany w ramach Działania 11.1.5 Efektywny rozwój dzieci i młodzieży wpłynął na podniesienie jakości kształcenia w zakresie przedmiotów matematyczno-przyrodniczych i technicznych?</w:t>
            </w:r>
            <w:r w:rsidR="003171F9">
              <w:rPr>
                <w:noProof/>
                <w:webHidden/>
              </w:rPr>
              <w:tab/>
            </w:r>
            <w:r w:rsidR="003171F9">
              <w:rPr>
                <w:noProof/>
                <w:webHidden/>
              </w:rPr>
              <w:fldChar w:fldCharType="begin"/>
            </w:r>
            <w:r w:rsidR="003171F9">
              <w:rPr>
                <w:noProof/>
                <w:webHidden/>
              </w:rPr>
              <w:instrText xml:space="preserve"> PAGEREF _Toc38035022 \h </w:instrText>
            </w:r>
            <w:r w:rsidR="003171F9">
              <w:rPr>
                <w:noProof/>
                <w:webHidden/>
              </w:rPr>
            </w:r>
            <w:r w:rsidR="003171F9">
              <w:rPr>
                <w:noProof/>
                <w:webHidden/>
              </w:rPr>
              <w:fldChar w:fldCharType="separate"/>
            </w:r>
            <w:r w:rsidR="00A8147E">
              <w:rPr>
                <w:noProof/>
                <w:webHidden/>
              </w:rPr>
              <w:t>144</w:t>
            </w:r>
            <w:r w:rsidR="003171F9">
              <w:rPr>
                <w:noProof/>
                <w:webHidden/>
              </w:rPr>
              <w:fldChar w:fldCharType="end"/>
            </w:r>
          </w:hyperlink>
        </w:p>
        <w:p w14:paraId="1C00E538" w14:textId="663AF04D" w:rsidR="003171F9" w:rsidRDefault="00064BAA" w:rsidP="00DF64C7">
          <w:pPr>
            <w:pStyle w:val="Spistreci3"/>
            <w:jc w:val="left"/>
            <w:rPr>
              <w:rFonts w:asciiTheme="minorHAnsi" w:hAnsiTheme="minorHAnsi"/>
              <w:noProof/>
              <w:lang w:eastAsia="pl-PL"/>
            </w:rPr>
          </w:pPr>
          <w:hyperlink w:anchor="_Toc38035023" w:history="1">
            <w:r w:rsidR="003171F9" w:rsidRPr="003737E4">
              <w:rPr>
                <w:rStyle w:val="Hipercze"/>
                <w:noProof/>
              </w:rPr>
              <w:t>f)</w:t>
            </w:r>
            <w:r w:rsidR="003171F9">
              <w:rPr>
                <w:rFonts w:asciiTheme="minorHAnsi" w:hAnsiTheme="minorHAnsi"/>
                <w:noProof/>
                <w:lang w:eastAsia="pl-PL"/>
              </w:rPr>
              <w:tab/>
            </w:r>
            <w:r w:rsidR="003171F9" w:rsidRPr="003737E4">
              <w:rPr>
                <w:rStyle w:val="Hipercze"/>
                <w:noProof/>
              </w:rPr>
              <w:t>Jakie można wskazać dobre praktyki dotyczące realizacji projektów w ramach OP XI i XII, których stosowanie przyczyni się do skuteczniejszego osiągania celów priorytetów inwestycyjnych?</w:t>
            </w:r>
            <w:r w:rsidR="003171F9">
              <w:rPr>
                <w:noProof/>
                <w:webHidden/>
              </w:rPr>
              <w:tab/>
            </w:r>
            <w:r w:rsidR="003171F9">
              <w:rPr>
                <w:noProof/>
                <w:webHidden/>
              </w:rPr>
              <w:fldChar w:fldCharType="begin"/>
            </w:r>
            <w:r w:rsidR="003171F9">
              <w:rPr>
                <w:noProof/>
                <w:webHidden/>
              </w:rPr>
              <w:instrText xml:space="preserve"> PAGEREF _Toc38035023 \h </w:instrText>
            </w:r>
            <w:r w:rsidR="003171F9">
              <w:rPr>
                <w:noProof/>
                <w:webHidden/>
              </w:rPr>
            </w:r>
            <w:r w:rsidR="003171F9">
              <w:rPr>
                <w:noProof/>
                <w:webHidden/>
              </w:rPr>
              <w:fldChar w:fldCharType="separate"/>
            </w:r>
            <w:r w:rsidR="00A8147E">
              <w:rPr>
                <w:noProof/>
                <w:webHidden/>
              </w:rPr>
              <w:t>148</w:t>
            </w:r>
            <w:r w:rsidR="003171F9">
              <w:rPr>
                <w:noProof/>
                <w:webHidden/>
              </w:rPr>
              <w:fldChar w:fldCharType="end"/>
            </w:r>
          </w:hyperlink>
        </w:p>
        <w:p w14:paraId="69665C4C" w14:textId="6CFBF885" w:rsidR="003171F9" w:rsidRDefault="00064BAA" w:rsidP="00DF64C7">
          <w:pPr>
            <w:pStyle w:val="Spistreci2"/>
            <w:rPr>
              <w:rFonts w:asciiTheme="minorHAnsi" w:hAnsiTheme="minorHAnsi"/>
              <w:noProof/>
              <w:lang w:eastAsia="pl-PL"/>
            </w:rPr>
          </w:pPr>
          <w:hyperlink w:anchor="_Toc38035024" w:history="1">
            <w:r w:rsidR="003171F9" w:rsidRPr="003737E4">
              <w:rPr>
                <w:rStyle w:val="Hipercze"/>
                <w:noProof/>
              </w:rPr>
              <w:t>6.3.</w:t>
            </w:r>
            <w:r w:rsidR="003171F9">
              <w:rPr>
                <w:rFonts w:asciiTheme="minorHAnsi" w:hAnsiTheme="minorHAnsi"/>
                <w:noProof/>
                <w:lang w:eastAsia="pl-PL"/>
              </w:rPr>
              <w:tab/>
            </w:r>
            <w:r w:rsidR="003171F9" w:rsidRPr="003737E4">
              <w:rPr>
                <w:rStyle w:val="Hipercze"/>
                <w:noProof/>
              </w:rPr>
              <w:t>OBSZAR III. Ocena możliwości osiągnięcia założonych w Programie celów OP XI i XII</w:t>
            </w:r>
            <w:r w:rsidR="003171F9">
              <w:rPr>
                <w:noProof/>
                <w:webHidden/>
              </w:rPr>
              <w:tab/>
            </w:r>
            <w:r w:rsidR="003171F9">
              <w:rPr>
                <w:noProof/>
                <w:webHidden/>
              </w:rPr>
              <w:fldChar w:fldCharType="begin"/>
            </w:r>
            <w:r w:rsidR="003171F9">
              <w:rPr>
                <w:noProof/>
                <w:webHidden/>
              </w:rPr>
              <w:instrText xml:space="preserve"> PAGEREF _Toc38035024 \h </w:instrText>
            </w:r>
            <w:r w:rsidR="003171F9">
              <w:rPr>
                <w:noProof/>
                <w:webHidden/>
              </w:rPr>
            </w:r>
            <w:r w:rsidR="003171F9">
              <w:rPr>
                <w:noProof/>
                <w:webHidden/>
              </w:rPr>
              <w:fldChar w:fldCharType="separate"/>
            </w:r>
            <w:r w:rsidR="00A8147E">
              <w:rPr>
                <w:noProof/>
                <w:webHidden/>
              </w:rPr>
              <w:t>152</w:t>
            </w:r>
            <w:r w:rsidR="003171F9">
              <w:rPr>
                <w:noProof/>
                <w:webHidden/>
              </w:rPr>
              <w:fldChar w:fldCharType="end"/>
            </w:r>
          </w:hyperlink>
        </w:p>
        <w:p w14:paraId="16EFD057" w14:textId="77818345" w:rsidR="003171F9" w:rsidRDefault="00064BAA" w:rsidP="00DF64C7">
          <w:pPr>
            <w:pStyle w:val="Spistreci3"/>
            <w:jc w:val="left"/>
            <w:rPr>
              <w:rFonts w:asciiTheme="minorHAnsi" w:hAnsiTheme="minorHAnsi"/>
              <w:noProof/>
              <w:lang w:eastAsia="pl-PL"/>
            </w:rPr>
          </w:pPr>
          <w:hyperlink w:anchor="_Toc38035025" w:history="1">
            <w:r w:rsidR="003171F9" w:rsidRPr="003737E4">
              <w:rPr>
                <w:rStyle w:val="Hipercze"/>
                <w:noProof/>
              </w:rPr>
              <w:t>a)</w:t>
            </w:r>
            <w:r w:rsidR="003171F9">
              <w:rPr>
                <w:rFonts w:asciiTheme="minorHAnsi" w:hAnsiTheme="minorHAnsi"/>
                <w:noProof/>
                <w:lang w:eastAsia="pl-PL"/>
              </w:rPr>
              <w:tab/>
            </w:r>
            <w:r w:rsidR="003171F9" w:rsidRPr="003737E4">
              <w:rPr>
                <w:rStyle w:val="Hipercze"/>
                <w:rFonts w:eastAsia="Arial"/>
                <w:noProof/>
              </w:rPr>
              <w:t>Czy określone na początku okresu programowania cele priorytetów inwestycyjnych zachowały swą adekwatność w stosunku do obecnej sytuacji społeczno-gospodarczej?</w:t>
            </w:r>
            <w:r w:rsidR="003171F9">
              <w:rPr>
                <w:noProof/>
                <w:webHidden/>
              </w:rPr>
              <w:tab/>
            </w:r>
            <w:r w:rsidR="003171F9">
              <w:rPr>
                <w:noProof/>
                <w:webHidden/>
              </w:rPr>
              <w:fldChar w:fldCharType="begin"/>
            </w:r>
            <w:r w:rsidR="003171F9">
              <w:rPr>
                <w:noProof/>
                <w:webHidden/>
              </w:rPr>
              <w:instrText xml:space="preserve"> PAGEREF _Toc38035025 \h </w:instrText>
            </w:r>
            <w:r w:rsidR="003171F9">
              <w:rPr>
                <w:noProof/>
                <w:webHidden/>
              </w:rPr>
            </w:r>
            <w:r w:rsidR="003171F9">
              <w:rPr>
                <w:noProof/>
                <w:webHidden/>
              </w:rPr>
              <w:fldChar w:fldCharType="separate"/>
            </w:r>
            <w:r w:rsidR="00A8147E">
              <w:rPr>
                <w:noProof/>
                <w:webHidden/>
              </w:rPr>
              <w:t>152</w:t>
            </w:r>
            <w:r w:rsidR="003171F9">
              <w:rPr>
                <w:noProof/>
                <w:webHidden/>
              </w:rPr>
              <w:fldChar w:fldCharType="end"/>
            </w:r>
          </w:hyperlink>
        </w:p>
        <w:p w14:paraId="09184F55" w14:textId="17A94CFD" w:rsidR="003171F9" w:rsidRDefault="00064BAA" w:rsidP="00DF64C7">
          <w:pPr>
            <w:pStyle w:val="Spistreci3"/>
            <w:jc w:val="left"/>
            <w:rPr>
              <w:rFonts w:asciiTheme="minorHAnsi" w:hAnsiTheme="minorHAnsi"/>
              <w:noProof/>
              <w:lang w:eastAsia="pl-PL"/>
            </w:rPr>
          </w:pPr>
          <w:hyperlink w:anchor="_Toc38035026" w:history="1">
            <w:r w:rsidR="003171F9" w:rsidRPr="003737E4">
              <w:rPr>
                <w:rStyle w:val="Hipercze"/>
                <w:noProof/>
              </w:rPr>
              <w:t>b)</w:t>
            </w:r>
            <w:r w:rsidR="003171F9">
              <w:rPr>
                <w:rFonts w:asciiTheme="minorHAnsi" w:hAnsiTheme="minorHAnsi"/>
                <w:noProof/>
                <w:lang w:eastAsia="pl-PL"/>
              </w:rPr>
              <w:tab/>
            </w:r>
            <w:r w:rsidR="003171F9" w:rsidRPr="003737E4">
              <w:rPr>
                <w:rStyle w:val="Hipercze"/>
                <w:rFonts w:eastAsia="Arial"/>
                <w:noProof/>
              </w:rPr>
              <w:t>W jakim stopniu obecny stopień osiągnięcia wskaźników pozwoli na realizację celów szczegółowych OP XI i XII?</w:t>
            </w:r>
            <w:r w:rsidR="003171F9">
              <w:rPr>
                <w:noProof/>
                <w:webHidden/>
              </w:rPr>
              <w:tab/>
            </w:r>
            <w:r w:rsidR="003171F9">
              <w:rPr>
                <w:noProof/>
                <w:webHidden/>
              </w:rPr>
              <w:fldChar w:fldCharType="begin"/>
            </w:r>
            <w:r w:rsidR="003171F9">
              <w:rPr>
                <w:noProof/>
                <w:webHidden/>
              </w:rPr>
              <w:instrText xml:space="preserve"> PAGEREF _Toc38035026 \h </w:instrText>
            </w:r>
            <w:r w:rsidR="003171F9">
              <w:rPr>
                <w:noProof/>
                <w:webHidden/>
              </w:rPr>
            </w:r>
            <w:r w:rsidR="003171F9">
              <w:rPr>
                <w:noProof/>
                <w:webHidden/>
              </w:rPr>
              <w:fldChar w:fldCharType="separate"/>
            </w:r>
            <w:r w:rsidR="00A8147E">
              <w:rPr>
                <w:noProof/>
                <w:webHidden/>
              </w:rPr>
              <w:t>158</w:t>
            </w:r>
            <w:r w:rsidR="003171F9">
              <w:rPr>
                <w:noProof/>
                <w:webHidden/>
              </w:rPr>
              <w:fldChar w:fldCharType="end"/>
            </w:r>
          </w:hyperlink>
        </w:p>
        <w:p w14:paraId="04A82C6D" w14:textId="452E78A1" w:rsidR="003171F9" w:rsidRDefault="00064BAA" w:rsidP="00DF64C7">
          <w:pPr>
            <w:pStyle w:val="Spistreci3"/>
            <w:jc w:val="left"/>
            <w:rPr>
              <w:rFonts w:asciiTheme="minorHAnsi" w:hAnsiTheme="minorHAnsi"/>
              <w:noProof/>
              <w:lang w:eastAsia="pl-PL"/>
            </w:rPr>
          </w:pPr>
          <w:hyperlink w:anchor="_Toc38035027" w:history="1">
            <w:r w:rsidR="003171F9" w:rsidRPr="003737E4">
              <w:rPr>
                <w:rStyle w:val="Hipercze"/>
                <w:noProof/>
              </w:rPr>
              <w:t>c)</w:t>
            </w:r>
            <w:r w:rsidR="003171F9">
              <w:rPr>
                <w:rFonts w:asciiTheme="minorHAnsi" w:hAnsiTheme="minorHAnsi"/>
                <w:noProof/>
                <w:lang w:eastAsia="pl-PL"/>
              </w:rPr>
              <w:tab/>
            </w:r>
            <w:r w:rsidR="003171F9" w:rsidRPr="003737E4">
              <w:rPr>
                <w:rStyle w:val="Hipercze"/>
                <w:rFonts w:eastAsia="Arial"/>
                <w:noProof/>
              </w:rPr>
              <w:t>Czy istnieje zagrożenie niezrealizowania założonych wartości docelowych wskaźników produktu, rezultatu i rezultatu długoterminowego? Jeżeli tak, to jakie działania naprawcze należałoby zastosować?</w:t>
            </w:r>
            <w:r w:rsidR="003171F9">
              <w:rPr>
                <w:noProof/>
                <w:webHidden/>
              </w:rPr>
              <w:tab/>
            </w:r>
            <w:r w:rsidR="003171F9">
              <w:rPr>
                <w:noProof/>
                <w:webHidden/>
              </w:rPr>
              <w:fldChar w:fldCharType="begin"/>
            </w:r>
            <w:r w:rsidR="003171F9">
              <w:rPr>
                <w:noProof/>
                <w:webHidden/>
              </w:rPr>
              <w:instrText xml:space="preserve"> PAGEREF _Toc38035027 \h </w:instrText>
            </w:r>
            <w:r w:rsidR="003171F9">
              <w:rPr>
                <w:noProof/>
                <w:webHidden/>
              </w:rPr>
            </w:r>
            <w:r w:rsidR="003171F9">
              <w:rPr>
                <w:noProof/>
                <w:webHidden/>
              </w:rPr>
              <w:fldChar w:fldCharType="separate"/>
            </w:r>
            <w:r w:rsidR="00A8147E">
              <w:rPr>
                <w:noProof/>
                <w:webHidden/>
              </w:rPr>
              <w:t>174</w:t>
            </w:r>
            <w:r w:rsidR="003171F9">
              <w:rPr>
                <w:noProof/>
                <w:webHidden/>
              </w:rPr>
              <w:fldChar w:fldCharType="end"/>
            </w:r>
          </w:hyperlink>
        </w:p>
        <w:p w14:paraId="42BCFC15" w14:textId="1AC168D2" w:rsidR="003171F9" w:rsidRDefault="00064BAA" w:rsidP="00DF64C7">
          <w:pPr>
            <w:pStyle w:val="Spistreci1"/>
            <w:jc w:val="left"/>
            <w:rPr>
              <w:rFonts w:asciiTheme="minorHAnsi" w:hAnsiTheme="minorHAnsi"/>
              <w:noProof/>
              <w:lang w:eastAsia="pl-PL"/>
            </w:rPr>
          </w:pPr>
          <w:hyperlink w:anchor="_Toc38035028" w:history="1">
            <w:r w:rsidR="003171F9" w:rsidRPr="003737E4">
              <w:rPr>
                <w:rStyle w:val="Hipercze"/>
                <w:noProof/>
              </w:rPr>
              <w:t>7.</w:t>
            </w:r>
            <w:r w:rsidR="003171F9">
              <w:rPr>
                <w:rFonts w:asciiTheme="minorHAnsi" w:hAnsiTheme="minorHAnsi"/>
                <w:noProof/>
                <w:lang w:eastAsia="pl-PL"/>
              </w:rPr>
              <w:tab/>
            </w:r>
            <w:r w:rsidR="003171F9" w:rsidRPr="003737E4">
              <w:rPr>
                <w:rStyle w:val="Hipercze"/>
                <w:noProof/>
              </w:rPr>
              <w:t>Wnioski i rekomendacje</w:t>
            </w:r>
            <w:r w:rsidR="003171F9">
              <w:rPr>
                <w:noProof/>
                <w:webHidden/>
              </w:rPr>
              <w:tab/>
            </w:r>
            <w:r w:rsidR="003171F9">
              <w:rPr>
                <w:noProof/>
                <w:webHidden/>
              </w:rPr>
              <w:fldChar w:fldCharType="begin"/>
            </w:r>
            <w:r w:rsidR="003171F9">
              <w:rPr>
                <w:noProof/>
                <w:webHidden/>
              </w:rPr>
              <w:instrText xml:space="preserve"> PAGEREF _Toc38035028 \h </w:instrText>
            </w:r>
            <w:r w:rsidR="003171F9">
              <w:rPr>
                <w:noProof/>
                <w:webHidden/>
              </w:rPr>
            </w:r>
            <w:r w:rsidR="003171F9">
              <w:rPr>
                <w:noProof/>
                <w:webHidden/>
              </w:rPr>
              <w:fldChar w:fldCharType="separate"/>
            </w:r>
            <w:r w:rsidR="00A8147E">
              <w:rPr>
                <w:noProof/>
                <w:webHidden/>
              </w:rPr>
              <w:t>182</w:t>
            </w:r>
            <w:r w:rsidR="003171F9">
              <w:rPr>
                <w:noProof/>
                <w:webHidden/>
              </w:rPr>
              <w:fldChar w:fldCharType="end"/>
            </w:r>
          </w:hyperlink>
        </w:p>
        <w:p w14:paraId="671F8B17" w14:textId="70C0E3C1" w:rsidR="003171F9" w:rsidRDefault="00064BAA" w:rsidP="00DF64C7">
          <w:pPr>
            <w:pStyle w:val="Spistreci1"/>
            <w:jc w:val="left"/>
            <w:rPr>
              <w:rFonts w:asciiTheme="minorHAnsi" w:hAnsiTheme="minorHAnsi"/>
              <w:noProof/>
              <w:lang w:eastAsia="pl-PL"/>
            </w:rPr>
          </w:pPr>
          <w:hyperlink w:anchor="_Toc38035029" w:history="1">
            <w:r w:rsidR="003171F9" w:rsidRPr="003737E4">
              <w:rPr>
                <w:rStyle w:val="Hipercze"/>
                <w:noProof/>
              </w:rPr>
              <w:t>8.</w:t>
            </w:r>
            <w:r w:rsidR="003171F9">
              <w:rPr>
                <w:rFonts w:asciiTheme="minorHAnsi" w:hAnsiTheme="minorHAnsi"/>
                <w:noProof/>
                <w:lang w:eastAsia="pl-PL"/>
              </w:rPr>
              <w:tab/>
            </w:r>
            <w:r w:rsidR="003171F9" w:rsidRPr="003737E4">
              <w:rPr>
                <w:rStyle w:val="Hipercze"/>
                <w:noProof/>
              </w:rPr>
              <w:t>Bibliografia</w:t>
            </w:r>
            <w:r w:rsidR="003171F9">
              <w:rPr>
                <w:noProof/>
                <w:webHidden/>
              </w:rPr>
              <w:tab/>
            </w:r>
            <w:r w:rsidR="003171F9">
              <w:rPr>
                <w:noProof/>
                <w:webHidden/>
              </w:rPr>
              <w:fldChar w:fldCharType="begin"/>
            </w:r>
            <w:r w:rsidR="003171F9">
              <w:rPr>
                <w:noProof/>
                <w:webHidden/>
              </w:rPr>
              <w:instrText xml:space="preserve"> PAGEREF _Toc38035029 \h </w:instrText>
            </w:r>
            <w:r w:rsidR="003171F9">
              <w:rPr>
                <w:noProof/>
                <w:webHidden/>
              </w:rPr>
            </w:r>
            <w:r w:rsidR="003171F9">
              <w:rPr>
                <w:noProof/>
                <w:webHidden/>
              </w:rPr>
              <w:fldChar w:fldCharType="separate"/>
            </w:r>
            <w:r w:rsidR="00A8147E">
              <w:rPr>
                <w:noProof/>
                <w:webHidden/>
              </w:rPr>
              <w:t>188</w:t>
            </w:r>
            <w:r w:rsidR="003171F9">
              <w:rPr>
                <w:noProof/>
                <w:webHidden/>
              </w:rPr>
              <w:fldChar w:fldCharType="end"/>
            </w:r>
          </w:hyperlink>
        </w:p>
        <w:p w14:paraId="4027ECEA" w14:textId="7CA76024" w:rsidR="003171F9" w:rsidRDefault="00064BAA" w:rsidP="00DF64C7">
          <w:pPr>
            <w:pStyle w:val="Spistreci3"/>
            <w:jc w:val="left"/>
            <w:rPr>
              <w:rFonts w:asciiTheme="minorHAnsi" w:hAnsiTheme="minorHAnsi"/>
              <w:noProof/>
              <w:lang w:eastAsia="pl-PL"/>
            </w:rPr>
          </w:pPr>
          <w:hyperlink w:anchor="_Toc38035030" w:history="1">
            <w:r w:rsidR="003171F9" w:rsidRPr="003737E4">
              <w:rPr>
                <w:rStyle w:val="Hipercze"/>
                <w:noProof/>
              </w:rPr>
              <w:t>Dokumenty programowe, strategiczne oraz opracowania</w:t>
            </w:r>
            <w:r w:rsidR="003171F9">
              <w:rPr>
                <w:noProof/>
                <w:webHidden/>
              </w:rPr>
              <w:tab/>
            </w:r>
            <w:r w:rsidR="003171F9">
              <w:rPr>
                <w:noProof/>
                <w:webHidden/>
              </w:rPr>
              <w:fldChar w:fldCharType="begin"/>
            </w:r>
            <w:r w:rsidR="003171F9">
              <w:rPr>
                <w:noProof/>
                <w:webHidden/>
              </w:rPr>
              <w:instrText xml:space="preserve"> PAGEREF _Toc38035030 \h </w:instrText>
            </w:r>
            <w:r w:rsidR="003171F9">
              <w:rPr>
                <w:noProof/>
                <w:webHidden/>
              </w:rPr>
            </w:r>
            <w:r w:rsidR="003171F9">
              <w:rPr>
                <w:noProof/>
                <w:webHidden/>
              </w:rPr>
              <w:fldChar w:fldCharType="separate"/>
            </w:r>
            <w:r w:rsidR="00A8147E">
              <w:rPr>
                <w:noProof/>
                <w:webHidden/>
              </w:rPr>
              <w:t>188</w:t>
            </w:r>
            <w:r w:rsidR="003171F9">
              <w:rPr>
                <w:noProof/>
                <w:webHidden/>
              </w:rPr>
              <w:fldChar w:fldCharType="end"/>
            </w:r>
          </w:hyperlink>
        </w:p>
        <w:p w14:paraId="56B894A3" w14:textId="3AFAE4E7" w:rsidR="003171F9" w:rsidRDefault="00064BAA" w:rsidP="00DF64C7">
          <w:pPr>
            <w:pStyle w:val="Spistreci3"/>
            <w:jc w:val="left"/>
            <w:rPr>
              <w:rFonts w:asciiTheme="minorHAnsi" w:hAnsiTheme="minorHAnsi"/>
              <w:noProof/>
              <w:lang w:eastAsia="pl-PL"/>
            </w:rPr>
          </w:pPr>
          <w:hyperlink w:anchor="_Toc38035031" w:history="1">
            <w:r w:rsidR="003171F9" w:rsidRPr="003737E4">
              <w:rPr>
                <w:rStyle w:val="Hipercze"/>
                <w:noProof/>
              </w:rPr>
              <w:t>Dokumenty oraz dane związane z wdrażaniem RPO WSL 2014-2020</w:t>
            </w:r>
            <w:r w:rsidR="003171F9">
              <w:rPr>
                <w:noProof/>
                <w:webHidden/>
              </w:rPr>
              <w:tab/>
            </w:r>
            <w:r w:rsidR="003171F9">
              <w:rPr>
                <w:noProof/>
                <w:webHidden/>
              </w:rPr>
              <w:fldChar w:fldCharType="begin"/>
            </w:r>
            <w:r w:rsidR="003171F9">
              <w:rPr>
                <w:noProof/>
                <w:webHidden/>
              </w:rPr>
              <w:instrText xml:space="preserve"> PAGEREF _Toc38035031 \h </w:instrText>
            </w:r>
            <w:r w:rsidR="003171F9">
              <w:rPr>
                <w:noProof/>
                <w:webHidden/>
              </w:rPr>
            </w:r>
            <w:r w:rsidR="003171F9">
              <w:rPr>
                <w:noProof/>
                <w:webHidden/>
              </w:rPr>
              <w:fldChar w:fldCharType="separate"/>
            </w:r>
            <w:r w:rsidR="00A8147E">
              <w:rPr>
                <w:noProof/>
                <w:webHidden/>
              </w:rPr>
              <w:t>189</w:t>
            </w:r>
            <w:r w:rsidR="003171F9">
              <w:rPr>
                <w:noProof/>
                <w:webHidden/>
              </w:rPr>
              <w:fldChar w:fldCharType="end"/>
            </w:r>
          </w:hyperlink>
        </w:p>
        <w:p w14:paraId="022B23EF" w14:textId="2DADB447" w:rsidR="003171F9" w:rsidRDefault="00064BAA" w:rsidP="00DF64C7">
          <w:pPr>
            <w:pStyle w:val="Spistreci3"/>
            <w:jc w:val="left"/>
            <w:rPr>
              <w:rFonts w:asciiTheme="minorHAnsi" w:hAnsiTheme="minorHAnsi"/>
              <w:noProof/>
              <w:lang w:eastAsia="pl-PL"/>
            </w:rPr>
          </w:pPr>
          <w:hyperlink w:anchor="_Toc38035032" w:history="1">
            <w:r w:rsidR="003171F9" w:rsidRPr="003737E4">
              <w:rPr>
                <w:rStyle w:val="Hipercze"/>
                <w:noProof/>
              </w:rPr>
              <w:t>Akty prawne</w:t>
            </w:r>
            <w:r w:rsidR="003171F9">
              <w:rPr>
                <w:noProof/>
                <w:webHidden/>
              </w:rPr>
              <w:tab/>
            </w:r>
            <w:r w:rsidR="003171F9">
              <w:rPr>
                <w:noProof/>
                <w:webHidden/>
              </w:rPr>
              <w:fldChar w:fldCharType="begin"/>
            </w:r>
            <w:r w:rsidR="003171F9">
              <w:rPr>
                <w:noProof/>
                <w:webHidden/>
              </w:rPr>
              <w:instrText xml:space="preserve"> PAGEREF _Toc38035032 \h </w:instrText>
            </w:r>
            <w:r w:rsidR="003171F9">
              <w:rPr>
                <w:noProof/>
                <w:webHidden/>
              </w:rPr>
            </w:r>
            <w:r w:rsidR="003171F9">
              <w:rPr>
                <w:noProof/>
                <w:webHidden/>
              </w:rPr>
              <w:fldChar w:fldCharType="separate"/>
            </w:r>
            <w:r w:rsidR="00A8147E">
              <w:rPr>
                <w:noProof/>
                <w:webHidden/>
              </w:rPr>
              <w:t>190</w:t>
            </w:r>
            <w:r w:rsidR="003171F9">
              <w:rPr>
                <w:noProof/>
                <w:webHidden/>
              </w:rPr>
              <w:fldChar w:fldCharType="end"/>
            </w:r>
          </w:hyperlink>
        </w:p>
        <w:p w14:paraId="4C0E3ED2" w14:textId="77777777" w:rsidR="00F2067C" w:rsidRDefault="001C09EE" w:rsidP="00DF64C7">
          <w:pPr>
            <w:jc w:val="left"/>
          </w:pPr>
          <w:r>
            <w:rPr>
              <w:b/>
              <w:bCs/>
            </w:rPr>
            <w:fldChar w:fldCharType="end"/>
          </w:r>
        </w:p>
      </w:sdtContent>
    </w:sdt>
    <w:p w14:paraId="598CE491" w14:textId="77777777" w:rsidR="0088335B" w:rsidRDefault="0088335B" w:rsidP="00DF64C7">
      <w:pPr>
        <w:ind w:firstLine="360"/>
        <w:jc w:val="left"/>
        <w:rPr>
          <w:rFonts w:eastAsiaTheme="majorEastAsia" w:cstheme="majorBidi"/>
          <w:b/>
          <w:bCs/>
          <w:color w:val="E36C0A" w:themeColor="accent6" w:themeShade="BF"/>
          <w:sz w:val="24"/>
          <w:szCs w:val="24"/>
        </w:rPr>
      </w:pPr>
      <w:r>
        <w:br w:type="page"/>
      </w:r>
    </w:p>
    <w:p w14:paraId="0D297D33" w14:textId="77777777" w:rsidR="00026E3A" w:rsidRDefault="00AB67A3" w:rsidP="00DF64C7">
      <w:pPr>
        <w:pStyle w:val="Nagwek1"/>
        <w:jc w:val="left"/>
      </w:pPr>
      <w:bookmarkStart w:id="1" w:name="_Toc38034988"/>
      <w:r w:rsidRPr="00A42CE5">
        <w:lastRenderedPageBreak/>
        <w:t>Streszczenie</w:t>
      </w:r>
      <w:bookmarkEnd w:id="1"/>
    </w:p>
    <w:p w14:paraId="0BB4BDEF" w14:textId="77777777" w:rsidR="00627D8A" w:rsidRDefault="00627D8A" w:rsidP="00DF64C7">
      <w:pPr>
        <w:jc w:val="left"/>
      </w:pPr>
      <w:r>
        <w:t xml:space="preserve">Celem niniejszego badania pn. </w:t>
      </w:r>
      <w:r w:rsidRPr="008435E0">
        <w:t>„Ewaluacja dotycząca sposobu, w jaki wsparcie w ramach RPO WSL na lata 2014-2020 przyczyniło się do osiągnięcia celów w ramach Osi Priorytetowych XI Wzmocnienie potencjału edukacyjnego oraz XII Infrastruktura edukacyjna”</w:t>
      </w:r>
      <w:r>
        <w:t xml:space="preserve"> była ocena</w:t>
      </w:r>
      <w:r w:rsidRPr="008435E0">
        <w:t xml:space="preserve"> dotychczasowych efektów wsparcia udzielonego w ramach OP XI oraz OP XII Regionalnego Programu Operacyjnego Województwa Śląskiego (dalej: RPO WSL lub RPO WSL 2014-2020), w tym stopnia osiągnięcia celów szczegółowych</w:t>
      </w:r>
      <w:r>
        <w:t>, oraz ocena</w:t>
      </w:r>
      <w:r w:rsidRPr="008435E0">
        <w:t xml:space="preserve"> możliwości osiągnięcia założonego poziomu wdrażania dla obu OP</w:t>
      </w:r>
      <w:r>
        <w:t>. Rezultatem przeprowadzonej ewaluacji jest zestaw wniosków i rekomendacji, których wdrożenie na celu będzie miało zwiększenie skuteczności, efektywności, użyteczności i trwałości</w:t>
      </w:r>
      <w:r w:rsidRPr="008435E0">
        <w:t xml:space="preserve"> oferowanego wsparcia w obszarze edukacji w ramach RPO WSL </w:t>
      </w:r>
      <w:r w:rsidR="00A34704">
        <w:t>realizowanego w</w:t>
      </w:r>
      <w:r w:rsidRPr="008435E0">
        <w:t xml:space="preserve"> przyszłym okresie programowania</w:t>
      </w:r>
      <w:r>
        <w:t xml:space="preserve">. </w:t>
      </w:r>
    </w:p>
    <w:p w14:paraId="2FE73A57" w14:textId="77777777" w:rsidR="00627D8A" w:rsidRDefault="00627D8A" w:rsidP="00DF64C7">
      <w:pPr>
        <w:jc w:val="left"/>
      </w:pPr>
      <w:r>
        <w:t>W ramach badania założono następujące kryteria ewaluacyjne:</w:t>
      </w:r>
    </w:p>
    <w:p w14:paraId="54B5DE24" w14:textId="77777777" w:rsidR="00627D8A" w:rsidRDefault="00627D8A" w:rsidP="00DF64C7">
      <w:pPr>
        <w:pStyle w:val="Akapitzlist"/>
        <w:numPr>
          <w:ilvl w:val="0"/>
          <w:numId w:val="49"/>
        </w:numPr>
        <w:spacing w:before="120" w:after="80"/>
        <w:jc w:val="left"/>
      </w:pPr>
      <w:r>
        <w:t>Skuteczność;</w:t>
      </w:r>
    </w:p>
    <w:p w14:paraId="6017F04E" w14:textId="77777777" w:rsidR="00627D8A" w:rsidRDefault="00627D8A" w:rsidP="00DF64C7">
      <w:pPr>
        <w:pStyle w:val="Akapitzlist"/>
        <w:numPr>
          <w:ilvl w:val="0"/>
          <w:numId w:val="49"/>
        </w:numPr>
        <w:spacing w:before="120" w:after="80"/>
        <w:jc w:val="left"/>
      </w:pPr>
      <w:r>
        <w:t>Efektywność;</w:t>
      </w:r>
    </w:p>
    <w:p w14:paraId="116AC963" w14:textId="77777777" w:rsidR="00627D8A" w:rsidRDefault="00627D8A" w:rsidP="00DF64C7">
      <w:pPr>
        <w:pStyle w:val="Akapitzlist"/>
        <w:numPr>
          <w:ilvl w:val="0"/>
          <w:numId w:val="49"/>
        </w:numPr>
        <w:spacing w:before="120" w:after="80"/>
        <w:jc w:val="left"/>
      </w:pPr>
      <w:r>
        <w:t>Użyteczność;</w:t>
      </w:r>
    </w:p>
    <w:p w14:paraId="48BCA7C4" w14:textId="77777777" w:rsidR="00627D8A" w:rsidRDefault="00627D8A" w:rsidP="00DF64C7">
      <w:pPr>
        <w:pStyle w:val="Akapitzlist"/>
        <w:numPr>
          <w:ilvl w:val="0"/>
          <w:numId w:val="49"/>
        </w:numPr>
        <w:spacing w:before="120" w:after="80"/>
        <w:jc w:val="left"/>
      </w:pPr>
      <w:r>
        <w:t>Trwałość.</w:t>
      </w:r>
    </w:p>
    <w:p w14:paraId="087CEB04" w14:textId="77777777" w:rsidR="00627D8A" w:rsidRDefault="00627D8A" w:rsidP="00DF64C7">
      <w:pPr>
        <w:jc w:val="left"/>
      </w:pPr>
      <w:r w:rsidRPr="009C46E3">
        <w:t>Zakres czasowy badania objął okres od początku wdrażania RPO WSL 2014-2020 do dnia</w:t>
      </w:r>
      <w:r w:rsidR="00A24C7C">
        <w:t xml:space="preserve"> </w:t>
      </w:r>
      <w:r w:rsidRPr="009C46E3">
        <w:t>14 października 2019 r.</w:t>
      </w:r>
      <w:r>
        <w:t xml:space="preserve">, zakres przedmiotowy zaś </w:t>
      </w:r>
      <w:r w:rsidRPr="009C46E3">
        <w:t>OP XI Wzmocnienie potencjału edukacyjnego oraz OP XII In</w:t>
      </w:r>
      <w:r>
        <w:t xml:space="preserve">frastruktura edukacyjna RPO WSL, a także </w:t>
      </w:r>
      <w:r w:rsidRPr="009C46E3">
        <w:t>projekty rozporządzeń KE dla perspektywy 2020+</w:t>
      </w:r>
      <w:r>
        <w:t>.</w:t>
      </w:r>
    </w:p>
    <w:p w14:paraId="3B509FA4" w14:textId="77777777" w:rsidR="00627D8A" w:rsidRDefault="00627D8A" w:rsidP="00DF64C7">
      <w:pPr>
        <w:jc w:val="left"/>
      </w:pPr>
      <w:r>
        <w:t>Badanie zostało zrealizowane przy wykorzystaniu szeregu skutecznych metod badawczych, obejmujących metody jakościowe oraz ilościowe:</w:t>
      </w:r>
    </w:p>
    <w:p w14:paraId="1F093058" w14:textId="77777777" w:rsidR="00627D8A" w:rsidRPr="000764C7" w:rsidRDefault="00627D8A" w:rsidP="00DF64C7">
      <w:pPr>
        <w:pStyle w:val="Akapitzlist"/>
        <w:numPr>
          <w:ilvl w:val="0"/>
          <w:numId w:val="50"/>
        </w:numPr>
        <w:spacing w:before="120" w:after="80"/>
        <w:jc w:val="left"/>
      </w:pPr>
      <w:r w:rsidRPr="000764C7">
        <w:t>Analiza danych zastanych (desk research)</w:t>
      </w:r>
      <w:r>
        <w:t>;</w:t>
      </w:r>
    </w:p>
    <w:p w14:paraId="3E906AAC" w14:textId="77777777" w:rsidR="00627D8A" w:rsidRPr="000764C7" w:rsidRDefault="00627D8A" w:rsidP="00DF64C7">
      <w:pPr>
        <w:pStyle w:val="Akapitzlist"/>
        <w:numPr>
          <w:ilvl w:val="0"/>
          <w:numId w:val="50"/>
        </w:numPr>
        <w:spacing w:before="120" w:after="80"/>
        <w:jc w:val="left"/>
      </w:pPr>
      <w:r w:rsidRPr="000764C7">
        <w:t>Indywidualne wywiady pogłębione (IDI) z przedstawicielami IZ oraz IP RPO WSL 2014 2020</w:t>
      </w:r>
      <w:r>
        <w:t>;</w:t>
      </w:r>
    </w:p>
    <w:p w14:paraId="455925FF" w14:textId="77777777" w:rsidR="00627D8A" w:rsidRDefault="00627D8A" w:rsidP="00DF64C7">
      <w:pPr>
        <w:pStyle w:val="Akapitzlist"/>
        <w:numPr>
          <w:ilvl w:val="0"/>
          <w:numId w:val="50"/>
        </w:numPr>
        <w:spacing w:before="120" w:after="80"/>
        <w:jc w:val="left"/>
      </w:pPr>
      <w:r w:rsidRPr="000764C7">
        <w:t>Telefoniczne wywiady pog</w:t>
      </w:r>
      <w:r>
        <w:t>łębione (TDI) z beneficjentami;</w:t>
      </w:r>
    </w:p>
    <w:p w14:paraId="0813757E" w14:textId="77777777" w:rsidR="00627D8A" w:rsidRPr="000764C7" w:rsidRDefault="00627D8A" w:rsidP="00DF64C7">
      <w:pPr>
        <w:pStyle w:val="Akapitzlist"/>
        <w:numPr>
          <w:ilvl w:val="0"/>
          <w:numId w:val="50"/>
        </w:numPr>
        <w:spacing w:before="120" w:after="80"/>
        <w:jc w:val="left"/>
      </w:pPr>
      <w:r w:rsidRPr="000764C7">
        <w:t>Wywiady internetowe wspomagane komputerowo/ telefonicznie (CAWI/CATI) z beneficjentami</w:t>
      </w:r>
      <w:r>
        <w:t>;</w:t>
      </w:r>
    </w:p>
    <w:p w14:paraId="6D8F0BAF" w14:textId="77777777" w:rsidR="00627D8A" w:rsidRPr="000764C7" w:rsidRDefault="00627D8A" w:rsidP="00DF64C7">
      <w:pPr>
        <w:pStyle w:val="Akapitzlist"/>
        <w:numPr>
          <w:ilvl w:val="0"/>
          <w:numId w:val="50"/>
        </w:numPr>
        <w:spacing w:before="120" w:after="80"/>
        <w:jc w:val="left"/>
      </w:pPr>
      <w:r w:rsidRPr="000764C7">
        <w:t>Wywiady internetowe wspomagane komputerowo/ telefonicznie (CAWI/CATI) z dyrektorami/ nauczycielami reprezentującymi instytucje wsparte w ramach OP XI i XII RPO WSL 2014-2020</w:t>
      </w:r>
      <w:r>
        <w:t>;</w:t>
      </w:r>
    </w:p>
    <w:p w14:paraId="23C01929" w14:textId="77777777" w:rsidR="00627D8A" w:rsidRPr="000764C7" w:rsidRDefault="00627D8A" w:rsidP="00DF64C7">
      <w:pPr>
        <w:pStyle w:val="Akapitzlist"/>
        <w:numPr>
          <w:ilvl w:val="0"/>
          <w:numId w:val="50"/>
        </w:numPr>
        <w:spacing w:before="120" w:after="80"/>
        <w:jc w:val="left"/>
      </w:pPr>
      <w:r w:rsidRPr="000764C7">
        <w:t>Metody kontrfaktyczne</w:t>
      </w:r>
      <w:r>
        <w:t>;</w:t>
      </w:r>
    </w:p>
    <w:p w14:paraId="1B91F29E" w14:textId="77777777" w:rsidR="00627D8A" w:rsidRPr="000764C7" w:rsidRDefault="00627D8A" w:rsidP="00DF64C7">
      <w:pPr>
        <w:pStyle w:val="Akapitzlist"/>
        <w:numPr>
          <w:ilvl w:val="0"/>
          <w:numId w:val="50"/>
        </w:numPr>
        <w:spacing w:before="120" w:after="80"/>
        <w:jc w:val="left"/>
      </w:pPr>
      <w:r w:rsidRPr="000764C7">
        <w:t>Panel delficki</w:t>
      </w:r>
      <w:r>
        <w:t>;</w:t>
      </w:r>
    </w:p>
    <w:p w14:paraId="49155E21" w14:textId="77777777" w:rsidR="00627D8A" w:rsidRPr="000764C7" w:rsidRDefault="00627D8A" w:rsidP="00DF64C7">
      <w:pPr>
        <w:pStyle w:val="Akapitzlist"/>
        <w:numPr>
          <w:ilvl w:val="0"/>
          <w:numId w:val="50"/>
        </w:numPr>
        <w:spacing w:before="120" w:after="80"/>
        <w:jc w:val="left"/>
      </w:pPr>
      <w:r w:rsidRPr="000764C7">
        <w:t>Wywiad grupowy</w:t>
      </w:r>
      <w:r>
        <w:t>.</w:t>
      </w:r>
    </w:p>
    <w:p w14:paraId="53C903CF" w14:textId="77777777" w:rsidR="00627D8A" w:rsidRDefault="00627D8A" w:rsidP="00DF64C7">
      <w:pPr>
        <w:jc w:val="left"/>
      </w:pPr>
      <w:r>
        <w:t>Przeprowadzone badanie wykazało, iż d</w:t>
      </w:r>
      <w:r w:rsidRPr="009D3AB2">
        <w:t>ziałania realizowane w ramach OP XI i OP XII pozwoliły na zaspokojenie szeregu zidentyfikowanych potrzeb, już w 2019 roku przekraczając założoną na 2023 rok wartość docelową zdecydowanej większości wskaźników produktów i rezultatów.</w:t>
      </w:r>
      <w:r>
        <w:t xml:space="preserve"> </w:t>
      </w:r>
      <w:r w:rsidRPr="009D3AB2">
        <w:t>Zdaniem uczestników zrealizowanych badań wsparcie dla sektora edukacji zawodowej należy kontynuować</w:t>
      </w:r>
      <w:r w:rsidR="002C17CF">
        <w:t xml:space="preserve">. Ich zdaniem, </w:t>
      </w:r>
      <w:r w:rsidRPr="009D3AB2">
        <w:t>stała realizacja działań pozwala na ciągłe podnoszenie jakości oferty edukacyjnej w regionie a potrzeby w tym zakresie nie są jeszcze w pełni zaspokojone</w:t>
      </w:r>
      <w:r w:rsidR="002C17CF">
        <w:t>.</w:t>
      </w:r>
      <w:r w:rsidRPr="009D3AB2">
        <w:t xml:space="preserve"> </w:t>
      </w:r>
      <w:r w:rsidR="002C17CF">
        <w:t>N</w:t>
      </w:r>
      <w:r w:rsidRPr="009D3AB2">
        <w:t xml:space="preserve">a uwadze jednak należy mieć zmieniające się </w:t>
      </w:r>
      <w:r w:rsidRPr="009D3AB2">
        <w:lastRenderedPageBreak/>
        <w:t>potrzeby w tym zakresie, zatem istotne jest przeprowadzenie nowej diagnozy, pozwalającej na dostosowanie działań do zmieniając</w:t>
      </w:r>
      <w:r w:rsidR="007B5F7E">
        <w:t>ego się zapotrzebowania lokalnego</w:t>
      </w:r>
      <w:r w:rsidRPr="009D3AB2">
        <w:t>.</w:t>
      </w:r>
      <w:r>
        <w:t xml:space="preserve"> </w:t>
      </w:r>
      <w:r w:rsidRPr="003A555C">
        <w:t>W wyniku przeprowadzonej analizy zidentyfikowane zostały czynniki ułatwiające oraz utrudniające realizację założonych celów</w:t>
      </w:r>
      <w:r w:rsidR="002C17CF">
        <w:t xml:space="preserve"> Programu</w:t>
      </w:r>
      <w:r w:rsidRPr="003A555C">
        <w:t>. Wśród czynników ułatwiających osiąganie celów wskazać należy ujednolicenie zapisów i zmiany wprowadzane do Szczegółowego Opisu Osi Priorytetowych oraz możliwość wprowadzenia uzasadnionych zmian do projektu, prawidłowe planowanie i realizację naborów, ukierunkowanie na wsparcie skierowane do dużych grup odbiorców, wypracowany model współpracy i zaangażowanie beneficjentów wsparcia, jak również czynniki zewnętrzne, takie jak sprzyjające tendencje makroekonomiczne.</w:t>
      </w:r>
      <w:r>
        <w:t xml:space="preserve"> </w:t>
      </w:r>
      <w:r w:rsidR="005025BE" w:rsidRPr="005025BE">
        <w:t xml:space="preserve">Wśród </w:t>
      </w:r>
      <w:r w:rsidR="007B5F7E">
        <w:t>z</w:t>
      </w:r>
      <w:r w:rsidR="005025BE" w:rsidRPr="005025BE">
        <w:t>identyfikowanych negatywnych czynników wewnętrznych i zewnętrznych wskazać należy m.in. często wskazywane przez beneficjentów wsparcia opóźnienia w przetargach na wykonawcę, konieczność stosowania Prawa Zamówień Publicznych oraz zasady konkurencyjności, trudności w rekrutacji uczestników projektów</w:t>
      </w:r>
      <w:r w:rsidR="004D161C">
        <w:t xml:space="preserve"> (osoby po 50 roku życia i o niskich kwalifikacjach</w:t>
      </w:r>
      <w:r w:rsidR="007B5F7E">
        <w:t xml:space="preserve"> w ramach Działania 11.4</w:t>
      </w:r>
      <w:r w:rsidR="004D161C">
        <w:t>)</w:t>
      </w:r>
      <w:r w:rsidR="005025BE" w:rsidRPr="005025BE">
        <w:t>, konieczność przygotowania obszernej dokumentacji projektowej</w:t>
      </w:r>
      <w:r w:rsidR="00927DC2">
        <w:t xml:space="preserve">, </w:t>
      </w:r>
      <w:r w:rsidRPr="003A555C">
        <w:t>mnogość zobowiązań formalnych, zmieniające się wytyczne oraz zbyt długi czas oczekiwania na płatności w ramach projektu</w:t>
      </w:r>
      <w:r>
        <w:t>.</w:t>
      </w:r>
    </w:p>
    <w:p w14:paraId="61A404A6" w14:textId="77777777" w:rsidR="00627D8A" w:rsidRDefault="00627D8A" w:rsidP="00DF64C7">
      <w:pPr>
        <w:jc w:val="left"/>
      </w:pPr>
      <w:r w:rsidRPr="009C759E">
        <w:t xml:space="preserve">Zidentyfikowano wysoką efektywność kosztową udzielonego wsparcia - średni poziom realizacji wskaźników dla ram wykonania OP XI wynosi 189%, natomiast efektywność kosztowa równa jest 6,22. W przypadku OP XII średni poziom realizacji wskaźników wynosi 194%, stanowiąc efektywność kosztową na poziomie 4,53. Analiza wykazała, iż </w:t>
      </w:r>
      <w:r w:rsidR="00927DC2">
        <w:t>najkorzystniejszą relację</w:t>
      </w:r>
      <w:r w:rsidR="00927DC2" w:rsidRPr="009C759E">
        <w:t xml:space="preserve"> kosztów do osiągniętych wartości wskaźników</w:t>
      </w:r>
      <w:r w:rsidRPr="009C759E">
        <w:t xml:space="preserve"> odnotowano w ramach działania 11.3 </w:t>
      </w:r>
      <w:r w:rsidR="00927DC2">
        <w:t>(</w:t>
      </w:r>
      <w:r w:rsidRPr="009C759E">
        <w:t>w przypadku OP XI</w:t>
      </w:r>
      <w:r w:rsidR="00927DC2">
        <w:t>)</w:t>
      </w:r>
      <w:r w:rsidRPr="009C759E">
        <w:t xml:space="preserve"> oraz działania 12.1 i 12.2 </w:t>
      </w:r>
      <w:r w:rsidR="00927DC2">
        <w:t>(</w:t>
      </w:r>
      <w:r w:rsidRPr="009C759E">
        <w:t>OP XII</w:t>
      </w:r>
      <w:r w:rsidR="00927DC2">
        <w:t>)</w:t>
      </w:r>
      <w:r w:rsidRPr="009C759E">
        <w:t>. Zrealizowane badania jednoznacznie potwierdziły, że udział w projektach miał bardzo duże znaczenie w przypadku efektów uzyskiwanych przez wszystkich odbiorców, choć wykazano, że na osiągane rezultaty wpływ mogą mieć również czynniki zewnętrzne, w tym m.in. zmiany w szkolnictwie i przepisach prawa. Zdaniem badanych osiągnięcie części efektów bez realizacji projektów w ramach RPO WSL 2014-2020 nie byłoby możliwe.</w:t>
      </w:r>
    </w:p>
    <w:p w14:paraId="6C533615" w14:textId="77777777" w:rsidR="00627D8A" w:rsidRDefault="00627D8A" w:rsidP="00DF64C7">
      <w:pPr>
        <w:jc w:val="left"/>
      </w:pPr>
      <w:r w:rsidRPr="009C759E">
        <w:t>Wykazano, iż system wyboru projektów wspiera realizację projektów zgodnych z inteligentnymi specjalizacjami regionu, co potwierdzone zostało przez beneficjentów wsparcia - 4</w:t>
      </w:r>
      <w:r w:rsidR="008C737D">
        <w:t>7,9</w:t>
      </w:r>
      <w:r w:rsidRPr="009C759E">
        <w:t>% wszystkich projektów poddanych analizie</w:t>
      </w:r>
      <w:r w:rsidR="008C737D">
        <w:t xml:space="preserve"> (tj. spośród 165 projektów)</w:t>
      </w:r>
      <w:r w:rsidRPr="009C759E">
        <w:t xml:space="preserve"> wpisywało się</w:t>
      </w:r>
      <w:r w:rsidR="008C737D">
        <w:t xml:space="preserve"> (zdaniem badanych beneficjentów)</w:t>
      </w:r>
      <w:r w:rsidRPr="009C759E">
        <w:t xml:space="preserve"> w inteligentne specjalizacje regionu. </w:t>
      </w:r>
      <w:r>
        <w:t xml:space="preserve">Wspierane są również zasady horyzontalne.  </w:t>
      </w:r>
      <w:r w:rsidRPr="009C759E">
        <w:t xml:space="preserve">Zrealizowane badanie wykazało, że ponad 96% projektów realizowanych w ramach OP XI oraz OP XII przy wsparciu RPO WSL 2014-2020 ma </w:t>
      </w:r>
      <w:r w:rsidR="002B0203">
        <w:t>(z założeń</w:t>
      </w:r>
      <w:r w:rsidRPr="009C759E">
        <w:t xml:space="preserve"> wnioskodawców</w:t>
      </w:r>
      <w:r w:rsidR="002B0203">
        <w:t>)</w:t>
      </w:r>
      <w:r w:rsidRPr="009C759E">
        <w:t xml:space="preserve"> pozytywny wpływ na promowanie r</w:t>
      </w:r>
      <w:r>
        <w:t xml:space="preserve">ówności szans kobiet i mężczyzn, </w:t>
      </w:r>
      <w:r w:rsidRPr="009C759E">
        <w:t xml:space="preserve">86% projektów realizowanych w ramach OP </w:t>
      </w:r>
      <w:r w:rsidR="002B0203">
        <w:t>posiada z kolei (również wg założeń wnioskodawców)</w:t>
      </w:r>
      <w:r w:rsidR="002B0203" w:rsidRPr="009C759E">
        <w:t xml:space="preserve"> </w:t>
      </w:r>
      <w:r w:rsidRPr="009C759E">
        <w:t>pozytywny wpływ na zapobieganie dyskryminacji</w:t>
      </w:r>
      <w:r>
        <w:t xml:space="preserve"> i zapewnienie równości szans, zaś z</w:t>
      </w:r>
      <w:r w:rsidRPr="009C759E">
        <w:t xml:space="preserve">asada zrównoważonego rozwoju </w:t>
      </w:r>
      <w:r w:rsidR="002B0203">
        <w:t>zakładana była</w:t>
      </w:r>
      <w:r w:rsidR="002B0203" w:rsidRPr="009C759E">
        <w:t xml:space="preserve"> </w:t>
      </w:r>
      <w:r w:rsidRPr="009C759E">
        <w:t>w 45% badanych projektów w ramach obu osi</w:t>
      </w:r>
      <w:r>
        <w:t>.</w:t>
      </w:r>
    </w:p>
    <w:p w14:paraId="4F4EC567" w14:textId="77777777" w:rsidR="00627D8A" w:rsidRDefault="00627D8A" w:rsidP="00DF64C7">
      <w:pPr>
        <w:jc w:val="left"/>
      </w:pPr>
      <w:r w:rsidRPr="009C759E">
        <w:t>Analiza danych zastanych i zrealizowane badania wykazały wysoki poziom komplementarności projektów realizowanych w ramach OP XI z innymi projektami. Ponadto, zapewnienie komplementarności nie stanowiło dla beneficjentów wsparcia trudności.</w:t>
      </w:r>
      <w:r>
        <w:t xml:space="preserve"> </w:t>
      </w:r>
      <w:r w:rsidRPr="009C759E">
        <w:t xml:space="preserve">W przypadku OP XII 43,4% respondentów badania potwierdziło osiągnięcie lepszych efektów projektu dzięki obligatoryjnemu zapewnieniu komplementarności projektu z innym projektem współfinansowanym z EFS. Konieczność zapewnienia ww. obowiązkowej </w:t>
      </w:r>
      <w:r w:rsidRPr="009C759E">
        <w:lastRenderedPageBreak/>
        <w:t>komplementarności projektu oceniona została pozytywnie.</w:t>
      </w:r>
      <w:r w:rsidR="00F65191">
        <w:t xml:space="preserve"> Warto zauważyć, </w:t>
      </w:r>
      <w:r w:rsidR="00A34704">
        <w:t>ż</w:t>
      </w:r>
      <w:r w:rsidR="00F65191">
        <w:t>e pierwotnie występowały w tym zakresie problemy (</w:t>
      </w:r>
      <w:r w:rsidR="00F65191" w:rsidRPr="0019660A">
        <w:t>różny harmonogram naboru projektów w ramach EFRR i EFS skutkował koniecznością finansowania ze środków własnych beneficjentów komplementarnych projektów „miękkich”, komplementarnych wobec działań infrastrukturalnych</w:t>
      </w:r>
      <w:r w:rsidR="00F65191">
        <w:t>) jednak z biegiem czasu wdrożono działania zaradcze, które zniwelowały wpływ tego problemu.</w:t>
      </w:r>
    </w:p>
    <w:p w14:paraId="1BF7F156" w14:textId="77777777" w:rsidR="00627D8A" w:rsidRDefault="00627D8A" w:rsidP="00DF64C7">
      <w:pPr>
        <w:jc w:val="left"/>
      </w:pPr>
      <w:r w:rsidRPr="006F4538">
        <w:t>Analiza realizowanych projektów w ramach OP XI i OP XII pozwoliła na identyfikację szeregu dobrych praktyk, z czego część sprecyzowana została w Banku Dobrych Praktyk Ośrodka Rozwoju Edukacji oraz na stronach internetowych kuratoriów oświaty. Ponadto, wykazano osiągnięcie takich rezultatów, jak objęcie dzieci ze specjalnymi potrzebami</w:t>
      </w:r>
      <w:r w:rsidR="000367E3">
        <w:t xml:space="preserve"> edukacyjnymi</w:t>
      </w:r>
      <w:r w:rsidRPr="006F4538">
        <w:t xml:space="preserve"> kompleksowym wsparciem z zakresu zajęć korekcyjno-kompensacyjnych, logopedycznych, socjoterapeutycznych oraz o charakterze terapeutycznym, a także stymulujących rozwój psychoruchowy i rozwijających kompetencje społeczno-emocjonalne. Uwagę zwrócić również należy na fakt, iż często decydowano się na tworzenie indywidualnych planów wspomagania dzieci z dysfunkcjami, poprzez uwzględnianie ich indywidualnych potrzeb i możliwości rozwojowych, edukacyjnych oraz psychofizycznych. Za często realizowaną dobrą praktykę uznać należy również wprowadzanie nowoczesnych form nauczania atrakcyjnych dla uczniów</w:t>
      </w:r>
      <w:r w:rsidR="00FA0352">
        <w:t xml:space="preserve"> (</w:t>
      </w:r>
      <w:r w:rsidR="00FA0352" w:rsidRPr="00FA0352">
        <w:t>m.in. metod</w:t>
      </w:r>
      <w:r w:rsidR="00FA0352">
        <w:t>y</w:t>
      </w:r>
      <w:r w:rsidR="00FA0352" w:rsidRPr="00FA0352">
        <w:t xml:space="preserve"> eksperymentu, wyjazdów edukacyjnych, pracy w grupach, czy dyskusji</w:t>
      </w:r>
      <w:r w:rsidR="00FA0352">
        <w:t>)</w:t>
      </w:r>
      <w:r w:rsidRPr="006F4538">
        <w:t>. W ramach OP XII najczęściej identyfikowaną dobr</w:t>
      </w:r>
      <w:r w:rsidR="00A34704">
        <w:t>ą</w:t>
      </w:r>
      <w:r w:rsidRPr="006F4538">
        <w:t xml:space="preserve"> praktyką było dostosowywanie budynków do potrzeb osób z niepełnosprawnościami oraz zakup sprzętów i specjalistycznych pomocy naukowych pozwalających prowadzić zajęcia z dziećmi i młodzieżą wymagającymi indywidualnego podejścia w procesie edukacji.</w:t>
      </w:r>
    </w:p>
    <w:p w14:paraId="11F23FD2" w14:textId="77777777" w:rsidR="00627D8A" w:rsidRDefault="00627D8A" w:rsidP="00DF64C7">
      <w:pPr>
        <w:jc w:val="left"/>
      </w:pPr>
      <w:r w:rsidRPr="006F4538">
        <w:t>Analiza dostępnych materiałów pozwoliła na stwierdzenie, że wdrażane w ramach OP XI i OP XII działania okazały się skuteczne, przyczyniając się do poprawy sytuacji w województwie śląskim w odniesieniu do wyzwań określonych w diagnozie RPO WSL 2014-2020. Z uwagi na fakt, iż wciąż identyfikowane są potrzeby w tym zakresie i rekomendowane jest dalsze realizowanie celów operacyjnych w kontekście rozwoju edukacji, cele priorytetów inwestycyjnych zachowały częściową adekwatność w stosunku do obecnej sytuacji społeczno-gospodarczej w województwie śląskim.</w:t>
      </w:r>
      <w:r>
        <w:t xml:space="preserve"> </w:t>
      </w:r>
    </w:p>
    <w:p w14:paraId="15870B05" w14:textId="77777777" w:rsidR="00F65191" w:rsidRDefault="00F65191" w:rsidP="00DF64C7">
      <w:pPr>
        <w:jc w:val="left"/>
      </w:pPr>
      <w:r>
        <w:t>Jak wynika z analizy efektu netto wsparcia w ramach XII osi priorytetow</w:t>
      </w:r>
      <w:r w:rsidR="00BB3390">
        <w:t xml:space="preserve">ej </w:t>
      </w:r>
      <w:r>
        <w:t>Regionalnego Programu Operacyjnego Województwa Śląskiego na lata 2014-2020 (badanie metodą kontrfaktyczną) w przypadku badania podmiotów korzystających ze wsparcia poprawie uległy zarówno wszystkie oceniane aspekty jakości kształcenia zawodowego, jak również wiedza uczniów uczestniczących w zajęciach organizowanych przez badane podmioty. Natomiast w przypadku podmiotów, które nie korzystały ze wsparcia ze środków unijnych regres odnotowano wśród 5 ocenianych aspektów. Dodatkowo warto zwrócić uwagę na zdecydowanie wyższy przyrost ocen po/ w trakcie otrzymywania wparcia wśród podmiotów, które otrzymały wsparcie w relacji do podmiotów, które z takiego wsparcia nie korzystały.</w:t>
      </w:r>
    </w:p>
    <w:p w14:paraId="78BE8D57" w14:textId="77777777" w:rsidR="00F65191" w:rsidRDefault="00F65191" w:rsidP="00DF64C7">
      <w:pPr>
        <w:jc w:val="left"/>
      </w:pPr>
      <w:r>
        <w:t>W przypadku aspektów dotyczących jakości kształcenia zawodowego najwyższy wskaźnik efektu netto odnotowano przy ocenie wyposażenia sal i pracowni praktycznej nauki zawodu (1,81), ofert</w:t>
      </w:r>
      <w:r w:rsidR="00BB3390">
        <w:t>y</w:t>
      </w:r>
      <w:r>
        <w:t xml:space="preserve"> edukacyjn</w:t>
      </w:r>
      <w:r w:rsidR="00BB3390">
        <w:t>ej</w:t>
      </w:r>
      <w:r>
        <w:t xml:space="preserve"> szkoły (0,98) oraz dostępnoś</w:t>
      </w:r>
      <w:r w:rsidR="00BB3390">
        <w:t>ci</w:t>
      </w:r>
      <w:r>
        <w:t xml:space="preserve"> placówki i obiektów do potrzeb osób z niepełnosprawnościami (0,78). Powyższe wyniki świadczą </w:t>
      </w:r>
      <w:r w:rsidR="00BB3390">
        <w:t>o</w:t>
      </w:r>
      <w:r>
        <w:t xml:space="preserve"> wprost proporcjonalnym wpływie środków z RPO WSL 2014-2020 na poprawę warunków edukacyjnych w szkołach </w:t>
      </w:r>
      <w:r>
        <w:lastRenderedPageBreak/>
        <w:t>(w tym dla osób z niepełnosprawnościami) oraz zwiększeni</w:t>
      </w:r>
      <w:r w:rsidR="00BB3390">
        <w:t>u</w:t>
      </w:r>
      <w:r>
        <w:t xml:space="preserve"> </w:t>
      </w:r>
      <w:r w:rsidR="00BB3390">
        <w:t xml:space="preserve">zakresu </w:t>
      </w:r>
      <w:r>
        <w:t>oferty edukacyjnej podmiotów korzystających ze wsparcia.</w:t>
      </w:r>
    </w:p>
    <w:p w14:paraId="41412A3B" w14:textId="77777777" w:rsidR="006E0705" w:rsidRPr="006E0705" w:rsidRDefault="00627D8A" w:rsidP="00DF64C7">
      <w:pPr>
        <w:jc w:val="left"/>
      </w:pPr>
      <w:r w:rsidRPr="006F4538">
        <w:t>Biorąc pod uwagę szacunkową realizację wskaźników, w przypadku 16 spośród 19 wskaźników osiągnięta wartość będzie równa lub większa od wartości docelowej na rok 2023, w związku z czym cele szczegółowe OP XI oraz OP XII zostaną osiągnięte w wysokim stopniu. Nie identyfikuje się zagrożenia nieosiągnięcia docelowych wartości wskaźników produktu, rezultatu i rezultatu długoterminowego dla OP XI oraz OP XII.</w:t>
      </w:r>
    </w:p>
    <w:p w14:paraId="7BFDFB5D" w14:textId="77777777" w:rsidR="0088335B" w:rsidRDefault="0088335B" w:rsidP="00DF64C7">
      <w:pPr>
        <w:ind w:firstLine="360"/>
        <w:jc w:val="left"/>
        <w:rPr>
          <w:rFonts w:eastAsiaTheme="majorEastAsia" w:cstheme="majorBidi"/>
          <w:b/>
          <w:bCs/>
          <w:color w:val="E36C0A" w:themeColor="accent6" w:themeShade="BF"/>
          <w:sz w:val="24"/>
          <w:szCs w:val="24"/>
        </w:rPr>
      </w:pPr>
      <w:r>
        <w:br w:type="page"/>
      </w:r>
    </w:p>
    <w:p w14:paraId="59A10822" w14:textId="77777777" w:rsidR="00AB67A3" w:rsidRDefault="00AB67A3" w:rsidP="00DF64C7">
      <w:pPr>
        <w:pStyle w:val="Nagwek1"/>
        <w:jc w:val="left"/>
      </w:pPr>
      <w:bookmarkStart w:id="2" w:name="_Toc38034989"/>
      <w:r>
        <w:lastRenderedPageBreak/>
        <w:t>Summary</w:t>
      </w:r>
      <w:bookmarkEnd w:id="2"/>
    </w:p>
    <w:p w14:paraId="11C1E92E" w14:textId="77777777" w:rsidR="00F16CFA" w:rsidRPr="00101616" w:rsidRDefault="00F16CFA" w:rsidP="00DF64C7">
      <w:pPr>
        <w:jc w:val="left"/>
        <w:rPr>
          <w:rFonts w:cs="Arial"/>
          <w:lang w:val="en-GB"/>
        </w:rPr>
      </w:pPr>
      <w:r w:rsidRPr="00101616">
        <w:rPr>
          <w:rFonts w:cs="Arial"/>
          <w:lang w:val="en-GB"/>
        </w:rPr>
        <w:t>The objective of present study titled “Evaluation of the scope of the contribution of measures under 2014-2020 ROP SV to the achievement of objectives as part of Priority Axis XI Strengthening the education potential and XII Education infrastructure” was the assessment of achieved effects of undertaken measures under PA XI and PA XII of the Regional Operational Programme of the Silesian Voivodeship 2014-2020 (hereinafter referred to as: 2014-2020 ROP SV), including the scope of achieved specific objectives, and the assessment of the probability of achieving the set level of the implementation for both Priority Axes. Conducted evaluation results in conclusions and recommendations, implementation of which will aim at strengthening the effectiveness, efficiency, usability and durability of the support in the area of education, conducted under ROP SV in the future programming period.</w:t>
      </w:r>
    </w:p>
    <w:p w14:paraId="571B419B" w14:textId="77777777" w:rsidR="00F16CFA" w:rsidRPr="00101616" w:rsidRDefault="00F16CFA" w:rsidP="00DF64C7">
      <w:pPr>
        <w:jc w:val="left"/>
        <w:rPr>
          <w:rFonts w:cs="Arial"/>
          <w:lang w:val="en-GB"/>
        </w:rPr>
      </w:pPr>
      <w:r w:rsidRPr="00101616">
        <w:rPr>
          <w:rFonts w:cs="Arial"/>
          <w:lang w:val="en-GB"/>
        </w:rPr>
        <w:t xml:space="preserve">Following evaluation criteria were adopted for the study: </w:t>
      </w:r>
    </w:p>
    <w:p w14:paraId="4BB0C47B" w14:textId="77777777" w:rsidR="00F16CFA" w:rsidRPr="00101616" w:rsidRDefault="00F16CFA" w:rsidP="00DF64C7">
      <w:pPr>
        <w:pStyle w:val="Akapitzlist"/>
        <w:numPr>
          <w:ilvl w:val="0"/>
          <w:numId w:val="49"/>
        </w:numPr>
        <w:spacing w:before="120" w:after="80"/>
        <w:jc w:val="left"/>
        <w:rPr>
          <w:rFonts w:cs="Arial"/>
        </w:rPr>
      </w:pPr>
      <w:r w:rsidRPr="00101616">
        <w:rPr>
          <w:rFonts w:cs="Arial"/>
        </w:rPr>
        <w:t>Effectiveness;</w:t>
      </w:r>
    </w:p>
    <w:p w14:paraId="576E6F1C" w14:textId="77777777" w:rsidR="00F16CFA" w:rsidRPr="00101616" w:rsidRDefault="00F16CFA" w:rsidP="00DF64C7">
      <w:pPr>
        <w:pStyle w:val="Akapitzlist"/>
        <w:numPr>
          <w:ilvl w:val="0"/>
          <w:numId w:val="49"/>
        </w:numPr>
        <w:spacing w:before="120" w:after="80"/>
        <w:jc w:val="left"/>
        <w:rPr>
          <w:rFonts w:cs="Arial"/>
        </w:rPr>
      </w:pPr>
      <w:r w:rsidRPr="00101616">
        <w:rPr>
          <w:rFonts w:cs="Arial"/>
        </w:rPr>
        <w:t>Efficiency;</w:t>
      </w:r>
    </w:p>
    <w:p w14:paraId="42A96980" w14:textId="77777777" w:rsidR="00F16CFA" w:rsidRPr="00101616" w:rsidRDefault="00F16CFA" w:rsidP="00DF64C7">
      <w:pPr>
        <w:pStyle w:val="Akapitzlist"/>
        <w:numPr>
          <w:ilvl w:val="0"/>
          <w:numId w:val="49"/>
        </w:numPr>
        <w:spacing w:before="120" w:after="80"/>
        <w:jc w:val="left"/>
        <w:rPr>
          <w:rFonts w:cs="Arial"/>
        </w:rPr>
      </w:pPr>
      <w:r w:rsidRPr="00101616">
        <w:rPr>
          <w:rFonts w:cs="Arial"/>
        </w:rPr>
        <w:t>Usability;</w:t>
      </w:r>
    </w:p>
    <w:p w14:paraId="784135A7" w14:textId="77777777" w:rsidR="00F16CFA" w:rsidRPr="00101616" w:rsidRDefault="00F16CFA" w:rsidP="00DF64C7">
      <w:pPr>
        <w:pStyle w:val="Akapitzlist"/>
        <w:numPr>
          <w:ilvl w:val="0"/>
          <w:numId w:val="49"/>
        </w:numPr>
        <w:spacing w:before="120" w:after="80"/>
        <w:jc w:val="left"/>
        <w:rPr>
          <w:rFonts w:cs="Arial"/>
        </w:rPr>
      </w:pPr>
      <w:r w:rsidRPr="00101616">
        <w:rPr>
          <w:rFonts w:cs="Arial"/>
        </w:rPr>
        <w:t>Durability.</w:t>
      </w:r>
    </w:p>
    <w:p w14:paraId="78B445EB" w14:textId="77777777" w:rsidR="00F16CFA" w:rsidRPr="00101616" w:rsidRDefault="00F16CFA" w:rsidP="00DF64C7">
      <w:pPr>
        <w:jc w:val="left"/>
        <w:rPr>
          <w:rFonts w:cs="Arial"/>
          <w:lang w:val="en-GB"/>
        </w:rPr>
      </w:pPr>
      <w:r w:rsidRPr="00101616">
        <w:rPr>
          <w:rFonts w:cs="Arial"/>
          <w:lang w:val="en-GB"/>
        </w:rPr>
        <w:t>The scope of the study concerned the period of time from the beginning of the implementation of the 2014-2020 ROP SV to 14 October 2019, whereas the subject scope covered PA XI Strengthening the education potential and PA XII Education infrastructure of 2014-2020 ROP SV, as well as EC regulations for the 2020+ perspective.</w:t>
      </w:r>
    </w:p>
    <w:p w14:paraId="36EB4B1F" w14:textId="77777777" w:rsidR="00F16CFA" w:rsidRPr="00101616" w:rsidRDefault="00F16CFA" w:rsidP="00DF64C7">
      <w:pPr>
        <w:jc w:val="left"/>
        <w:rPr>
          <w:rFonts w:cs="Arial"/>
          <w:lang w:val="en-GB"/>
        </w:rPr>
      </w:pPr>
      <w:r w:rsidRPr="00101616">
        <w:rPr>
          <w:rFonts w:cs="Arial"/>
          <w:lang w:val="en-GB"/>
        </w:rPr>
        <w:t>The research was conducted adopting the number of effective research methods, including both the qualitative and quantitative methods:</w:t>
      </w:r>
    </w:p>
    <w:p w14:paraId="7BADBCC0" w14:textId="77777777" w:rsidR="00F16CFA" w:rsidRPr="00101616" w:rsidRDefault="00F16CFA" w:rsidP="00DF64C7">
      <w:pPr>
        <w:pStyle w:val="Akapitzlist"/>
        <w:numPr>
          <w:ilvl w:val="0"/>
          <w:numId w:val="50"/>
        </w:numPr>
        <w:spacing w:before="120" w:after="80"/>
        <w:jc w:val="left"/>
        <w:rPr>
          <w:rFonts w:cs="Arial"/>
        </w:rPr>
      </w:pPr>
      <w:r w:rsidRPr="00101616">
        <w:rPr>
          <w:rFonts w:cs="Arial"/>
        </w:rPr>
        <w:t>Desk research;</w:t>
      </w:r>
    </w:p>
    <w:p w14:paraId="532EFF72" w14:textId="77777777" w:rsidR="00F16CFA" w:rsidRPr="00101616" w:rsidRDefault="00F16CFA" w:rsidP="00DF64C7">
      <w:pPr>
        <w:pStyle w:val="Akapitzlist"/>
        <w:numPr>
          <w:ilvl w:val="0"/>
          <w:numId w:val="50"/>
        </w:numPr>
        <w:spacing w:before="120" w:after="80"/>
        <w:jc w:val="left"/>
        <w:rPr>
          <w:rFonts w:cs="Arial"/>
          <w:lang w:val="en-GB"/>
        </w:rPr>
      </w:pPr>
      <w:r w:rsidRPr="00101616">
        <w:rPr>
          <w:rFonts w:cs="Arial"/>
          <w:lang w:val="en-GB"/>
        </w:rPr>
        <w:t>Individual Depth Interviews (IDI) with representatives of Managing Authority and Intermediate Institution of 2014-2020 ROP SV;</w:t>
      </w:r>
    </w:p>
    <w:p w14:paraId="4D0A8F41" w14:textId="77777777" w:rsidR="00F16CFA" w:rsidRPr="00101616" w:rsidRDefault="00F16CFA" w:rsidP="00DF64C7">
      <w:pPr>
        <w:pStyle w:val="Akapitzlist"/>
        <w:numPr>
          <w:ilvl w:val="0"/>
          <w:numId w:val="50"/>
        </w:numPr>
        <w:spacing w:before="120" w:after="80"/>
        <w:jc w:val="left"/>
        <w:rPr>
          <w:rFonts w:cs="Arial"/>
          <w:lang w:val="en-GB"/>
        </w:rPr>
      </w:pPr>
      <w:r w:rsidRPr="00101616">
        <w:rPr>
          <w:rFonts w:cs="Arial"/>
          <w:lang w:val="en-GB"/>
        </w:rPr>
        <w:t>Telephone Depth Interviews (TDI) with beneficiaries;</w:t>
      </w:r>
    </w:p>
    <w:p w14:paraId="29269E76" w14:textId="77777777" w:rsidR="00F16CFA" w:rsidRPr="00101616" w:rsidRDefault="00F16CFA" w:rsidP="00DF64C7">
      <w:pPr>
        <w:pStyle w:val="Akapitzlist"/>
        <w:numPr>
          <w:ilvl w:val="0"/>
          <w:numId w:val="50"/>
        </w:numPr>
        <w:spacing w:before="120" w:after="80"/>
        <w:jc w:val="left"/>
        <w:rPr>
          <w:rFonts w:cs="Arial"/>
          <w:lang w:val="en-GB"/>
        </w:rPr>
      </w:pPr>
      <w:r w:rsidRPr="00101616">
        <w:rPr>
          <w:rFonts w:cs="Arial"/>
          <w:lang w:val="en-GB"/>
        </w:rPr>
        <w:t>Computer/Telephone Assisted Web Interviews (CAWI/CATI) with beneficiaries;</w:t>
      </w:r>
    </w:p>
    <w:p w14:paraId="4999D348" w14:textId="77777777" w:rsidR="00F16CFA" w:rsidRPr="00101616" w:rsidRDefault="00F16CFA" w:rsidP="00DF64C7">
      <w:pPr>
        <w:pStyle w:val="Akapitzlist"/>
        <w:numPr>
          <w:ilvl w:val="0"/>
          <w:numId w:val="50"/>
        </w:numPr>
        <w:spacing w:before="120" w:after="80"/>
        <w:jc w:val="left"/>
        <w:rPr>
          <w:rFonts w:cs="Arial"/>
          <w:lang w:val="en-GB"/>
        </w:rPr>
      </w:pPr>
      <w:r w:rsidRPr="00101616">
        <w:rPr>
          <w:rFonts w:cs="Arial"/>
          <w:lang w:val="en-GB"/>
        </w:rPr>
        <w:t>Computer/Telephone Assisted Web Interviews (CAWI/CATI) with principals / teachers representing institutions supported under PA XI and PA XII of the 2014-2020 ROP SV;</w:t>
      </w:r>
    </w:p>
    <w:p w14:paraId="2D4B56C3" w14:textId="77777777" w:rsidR="00F16CFA" w:rsidRPr="00101616" w:rsidRDefault="00F16CFA" w:rsidP="00DF64C7">
      <w:pPr>
        <w:pStyle w:val="Akapitzlist"/>
        <w:numPr>
          <w:ilvl w:val="0"/>
          <w:numId w:val="50"/>
        </w:numPr>
        <w:spacing w:before="120" w:after="80"/>
        <w:jc w:val="left"/>
        <w:rPr>
          <w:rFonts w:cs="Arial"/>
        </w:rPr>
      </w:pPr>
      <w:r w:rsidRPr="00101616">
        <w:rPr>
          <w:rFonts w:cs="Arial"/>
        </w:rPr>
        <w:t>Counterfactual methods;</w:t>
      </w:r>
    </w:p>
    <w:p w14:paraId="3E4C3601" w14:textId="77777777" w:rsidR="00F16CFA" w:rsidRPr="00101616" w:rsidRDefault="00F16CFA" w:rsidP="00DF64C7">
      <w:pPr>
        <w:pStyle w:val="Akapitzlist"/>
        <w:numPr>
          <w:ilvl w:val="0"/>
          <w:numId w:val="50"/>
        </w:numPr>
        <w:spacing w:before="120" w:after="80"/>
        <w:jc w:val="left"/>
        <w:rPr>
          <w:rFonts w:cs="Arial"/>
        </w:rPr>
      </w:pPr>
      <w:r w:rsidRPr="00101616">
        <w:rPr>
          <w:rFonts w:cs="Arial"/>
        </w:rPr>
        <w:t>Delphi method;</w:t>
      </w:r>
    </w:p>
    <w:p w14:paraId="0CC0A2ED" w14:textId="77777777" w:rsidR="00F16CFA" w:rsidRPr="00101616" w:rsidRDefault="00F16CFA" w:rsidP="00DF64C7">
      <w:pPr>
        <w:pStyle w:val="Akapitzlist"/>
        <w:numPr>
          <w:ilvl w:val="0"/>
          <w:numId w:val="50"/>
        </w:numPr>
        <w:spacing w:before="120" w:after="80"/>
        <w:jc w:val="left"/>
        <w:rPr>
          <w:rFonts w:cs="Arial"/>
        </w:rPr>
      </w:pPr>
      <w:r w:rsidRPr="00101616">
        <w:rPr>
          <w:rFonts w:cs="Arial"/>
        </w:rPr>
        <w:t>Group interview.</w:t>
      </w:r>
    </w:p>
    <w:p w14:paraId="55371A6A" w14:textId="77777777" w:rsidR="00F16CFA" w:rsidRPr="00101616" w:rsidRDefault="00F16CFA" w:rsidP="00DF64C7">
      <w:pPr>
        <w:jc w:val="left"/>
        <w:rPr>
          <w:rFonts w:cs="Arial"/>
          <w:lang w:val="en-GB"/>
        </w:rPr>
      </w:pPr>
      <w:r w:rsidRPr="00101616">
        <w:rPr>
          <w:rFonts w:cs="Arial"/>
          <w:lang w:val="en-GB"/>
        </w:rPr>
        <w:t>Conducted study led to the conclusion that measures implemented under PA XI and PA XII answered several identified needs, with the majority of indicators exceeding the target value for 2023 already in 2019. According to the participants of the research, support for the vocational education sector should be continued</w:t>
      </w:r>
      <w:r>
        <w:rPr>
          <w:rFonts w:cs="Arial"/>
          <w:lang w:val="en-GB"/>
        </w:rPr>
        <w:t>.</w:t>
      </w:r>
      <w:r w:rsidRPr="00101616">
        <w:rPr>
          <w:rFonts w:cs="Arial"/>
          <w:lang w:val="en-GB"/>
        </w:rPr>
        <w:t xml:space="preserve"> </w:t>
      </w:r>
      <w:r>
        <w:rPr>
          <w:rFonts w:cs="Arial"/>
          <w:lang w:val="en-GB"/>
        </w:rPr>
        <w:t>Respondents believed</w:t>
      </w:r>
      <w:r w:rsidRPr="00101616">
        <w:rPr>
          <w:rFonts w:cs="Arial"/>
          <w:lang w:val="en-GB"/>
        </w:rPr>
        <w:t xml:space="preserve"> that the constant implementation of the activities results in a continuous improvement of the quality of the educational offer in the region, moreover, the needs in this scope are not fully met. However, given the changing needs in In this respect, it is significant to conduct a new</w:t>
      </w:r>
      <w:r>
        <w:rPr>
          <w:rFonts w:cs="Arial"/>
          <w:lang w:val="en-GB"/>
        </w:rPr>
        <w:t>diagnosis</w:t>
      </w:r>
      <w:r w:rsidRPr="00101616">
        <w:rPr>
          <w:rFonts w:cs="Arial"/>
          <w:lang w:val="en-GB"/>
        </w:rPr>
        <w:t xml:space="preserve">, facilitating the adaptation of measures to changing local needs. The analysis identified </w:t>
      </w:r>
      <w:r w:rsidRPr="00101616">
        <w:rPr>
          <w:rFonts w:cs="Arial"/>
          <w:lang w:val="en-GB"/>
        </w:rPr>
        <w:lastRenderedPageBreak/>
        <w:t>factors facilitating and hindering the achievement of set objectives</w:t>
      </w:r>
      <w:r>
        <w:rPr>
          <w:rFonts w:cs="Arial"/>
          <w:lang w:val="en-GB"/>
        </w:rPr>
        <w:t xml:space="preserve"> of the Programme</w:t>
      </w:r>
      <w:r w:rsidRPr="00101616">
        <w:rPr>
          <w:rFonts w:cs="Arial"/>
          <w:lang w:val="en-GB"/>
        </w:rPr>
        <w:t>. Factors positively influencing the achievement of objectives include the unification of entries and changes introduced to the Detailed Description of Priority Axes (Polish: Szczegółowy Opis Osi Priorytetowych, SZOOP) and the possibility of introducing relevant changes to the project, the correct planning and implementation of calls for proposals, focusing on support targeted at large groups of recipients, developed cooperation model and the involvement of support beneficiaries, and external factors, such as favourable macroeconomic trends. Identified negative factors (of internal and external nature) include delays occurring in tenders for the contractor (issue often indicated by beneficiaries participating in the research), the necessity to apply the Public Procurement Law and principles of competitiveness, difficulties in recruiting project participants</w:t>
      </w:r>
      <w:r>
        <w:rPr>
          <w:rFonts w:cs="Arial"/>
          <w:lang w:val="en-GB"/>
        </w:rPr>
        <w:t xml:space="preserve"> (people older than 50 years old and those with low qualifications as part of the Measure 11.4)</w:t>
      </w:r>
      <w:r w:rsidRPr="00101616">
        <w:rPr>
          <w:rFonts w:cs="Arial"/>
          <w:lang w:val="en-GB"/>
        </w:rPr>
        <w:t>, the need to prepare extensive project documentation, a large number of formal obligations, changing guidelines and an excessive waiting time for payments as part of the project.</w:t>
      </w:r>
    </w:p>
    <w:p w14:paraId="3DFD36D0" w14:textId="77777777" w:rsidR="00F16CFA" w:rsidRPr="00101616" w:rsidRDefault="00F16CFA" w:rsidP="00DF64C7">
      <w:pPr>
        <w:jc w:val="left"/>
        <w:rPr>
          <w:rFonts w:cs="Arial"/>
          <w:lang w:val="en-GB"/>
        </w:rPr>
      </w:pPr>
      <w:r w:rsidRPr="00101616">
        <w:rPr>
          <w:rFonts w:cs="Arial"/>
          <w:lang w:val="en-GB"/>
        </w:rPr>
        <w:t xml:space="preserve">The support is considered considerably cost-effective - the average level of implementation of indicators set for the PA XI performance framework is as high as 189%, therefore cost-effectiveness is equal to 6.22. In the case of PA XII the average level of implementation of indicators is equal to 194%, representing a cost effectiveness amounting to 4.53. The analysis </w:t>
      </w:r>
      <w:r>
        <w:rPr>
          <w:rFonts w:cs="Arial"/>
          <w:lang w:val="en-GB"/>
        </w:rPr>
        <w:t>l</w:t>
      </w:r>
      <w:r w:rsidRPr="00101616">
        <w:rPr>
          <w:rFonts w:cs="Arial"/>
          <w:lang w:val="en-GB"/>
        </w:rPr>
        <w:t xml:space="preserve">ed to the conclusion that the most positive </w:t>
      </w:r>
      <w:r>
        <w:rPr>
          <w:rFonts w:cs="Arial"/>
          <w:lang w:val="en-GB"/>
        </w:rPr>
        <w:t>relation of incurred cost to achieved values was</w:t>
      </w:r>
      <w:r w:rsidRPr="00101616">
        <w:rPr>
          <w:rFonts w:cs="Arial"/>
          <w:lang w:val="en-GB"/>
        </w:rPr>
        <w:t xml:space="preserve"> achieved under measure 11.3 </w:t>
      </w:r>
      <w:r>
        <w:rPr>
          <w:rFonts w:cs="Arial"/>
          <w:lang w:val="en-GB"/>
        </w:rPr>
        <w:t>(</w:t>
      </w:r>
      <w:r w:rsidRPr="00101616">
        <w:rPr>
          <w:rFonts w:cs="Arial"/>
          <w:lang w:val="en-GB"/>
        </w:rPr>
        <w:t>in the case of PA XI</w:t>
      </w:r>
      <w:r>
        <w:rPr>
          <w:rFonts w:cs="Arial"/>
          <w:lang w:val="en-GB"/>
        </w:rPr>
        <w:t>)</w:t>
      </w:r>
      <w:r w:rsidRPr="00101616">
        <w:rPr>
          <w:rFonts w:cs="Arial"/>
          <w:lang w:val="en-GB"/>
        </w:rPr>
        <w:t xml:space="preserve"> and measures 12.1 and 12.2 </w:t>
      </w:r>
      <w:r>
        <w:rPr>
          <w:rFonts w:cs="Arial"/>
          <w:lang w:val="en-GB"/>
        </w:rPr>
        <w:t>(</w:t>
      </w:r>
      <w:r w:rsidRPr="00101616">
        <w:rPr>
          <w:rFonts w:cs="Arial"/>
          <w:lang w:val="en-GB"/>
        </w:rPr>
        <w:t>PA XII</w:t>
      </w:r>
      <w:r>
        <w:rPr>
          <w:rFonts w:cs="Arial"/>
          <w:lang w:val="en-GB"/>
        </w:rPr>
        <w:t>)</w:t>
      </w:r>
      <w:r w:rsidRPr="00101616">
        <w:rPr>
          <w:rFonts w:cs="Arial"/>
          <w:lang w:val="en-GB"/>
        </w:rPr>
        <w:t>. Conducted research unequivocally confirmed that participation in projects was considerably significant in the case of effects achieved by all beneficiaries, although those are also influenced by external factors, including changes in education and law. According to the respondents, achieving some effects without the implementation of projects under 2014-2020 ROP SV would not be possible.</w:t>
      </w:r>
    </w:p>
    <w:p w14:paraId="362CAF64" w14:textId="77777777" w:rsidR="00F16CFA" w:rsidRPr="00101616" w:rsidRDefault="00F16CFA" w:rsidP="00DF64C7">
      <w:pPr>
        <w:jc w:val="left"/>
        <w:rPr>
          <w:rFonts w:cs="Arial"/>
          <w:lang w:val="en-GB"/>
        </w:rPr>
      </w:pPr>
      <w:r w:rsidRPr="00101616">
        <w:rPr>
          <w:rFonts w:cs="Arial"/>
          <w:lang w:val="en-GB"/>
        </w:rPr>
        <w:t>The system of the selection of projects supports the implementation of projects corresponding with the region's smart specialisation, which was confirmed by the support beneficiaries</w:t>
      </w:r>
      <w:r>
        <w:rPr>
          <w:rFonts w:cs="Arial"/>
          <w:lang w:val="en-GB"/>
        </w:rPr>
        <w:t xml:space="preserve"> –</w:t>
      </w:r>
      <w:r w:rsidRPr="00101616">
        <w:rPr>
          <w:rFonts w:cs="Arial"/>
          <w:lang w:val="en-GB"/>
        </w:rPr>
        <w:t xml:space="preserve"> </w:t>
      </w:r>
      <w:r>
        <w:rPr>
          <w:rFonts w:cs="Arial"/>
          <w:lang w:val="en-GB"/>
        </w:rPr>
        <w:t>according to them, 47,9</w:t>
      </w:r>
      <w:r w:rsidRPr="00101616">
        <w:rPr>
          <w:rFonts w:cs="Arial"/>
          <w:lang w:val="en-GB"/>
        </w:rPr>
        <w:t xml:space="preserve">% of all analysed projects </w:t>
      </w:r>
      <w:r>
        <w:rPr>
          <w:rFonts w:cs="Arial"/>
          <w:lang w:val="en-GB"/>
        </w:rPr>
        <w:t xml:space="preserve">(among 165 projects) </w:t>
      </w:r>
      <w:r w:rsidRPr="00101616">
        <w:rPr>
          <w:rFonts w:cs="Arial"/>
          <w:lang w:val="en-GB"/>
        </w:rPr>
        <w:t>included region's smart specialisation. Projects implemented also horizontal principles - the research led to the conclusion that</w:t>
      </w:r>
      <w:r>
        <w:rPr>
          <w:rFonts w:cs="Arial"/>
          <w:lang w:val="en-GB"/>
        </w:rPr>
        <w:t>, according to beneficiaries,</w:t>
      </w:r>
      <w:r w:rsidRPr="00101616">
        <w:rPr>
          <w:rFonts w:cs="Arial"/>
          <w:lang w:val="en-GB"/>
        </w:rPr>
        <w:t xml:space="preserve"> over 96% of projects implemented under PA XI and PA XII have a positive impact on promoting equal opportunities for women and men, 86% of projects </w:t>
      </w:r>
      <w:r>
        <w:rPr>
          <w:rFonts w:cs="Arial"/>
          <w:lang w:val="en-GB"/>
        </w:rPr>
        <w:t xml:space="preserve">under analysed PA </w:t>
      </w:r>
      <w:r w:rsidRPr="00101616">
        <w:rPr>
          <w:rFonts w:cs="Arial"/>
          <w:lang w:val="en-GB"/>
        </w:rPr>
        <w:t>have a positive impact on preventing discrimination and ensuring equal opportunities</w:t>
      </w:r>
      <w:r>
        <w:rPr>
          <w:rFonts w:cs="Arial"/>
          <w:lang w:val="en-GB"/>
        </w:rPr>
        <w:t xml:space="preserve"> (according to the responses of beneficiaries)</w:t>
      </w:r>
      <w:r w:rsidRPr="00101616">
        <w:rPr>
          <w:rFonts w:cs="Arial"/>
          <w:lang w:val="en-GB"/>
        </w:rPr>
        <w:t xml:space="preserve">, whereas the principle of sustainable development is </w:t>
      </w:r>
      <w:r>
        <w:rPr>
          <w:rFonts w:cs="Arial"/>
          <w:lang w:val="en-GB"/>
        </w:rPr>
        <w:t>included</w:t>
      </w:r>
      <w:r w:rsidRPr="00101616">
        <w:rPr>
          <w:rFonts w:cs="Arial"/>
          <w:lang w:val="en-GB"/>
        </w:rPr>
        <w:t xml:space="preserve"> in 45% of the analysed projects under both PA.</w:t>
      </w:r>
    </w:p>
    <w:p w14:paraId="6B516365" w14:textId="77777777" w:rsidR="00F16CFA" w:rsidRPr="00101616" w:rsidRDefault="00F16CFA" w:rsidP="00DF64C7">
      <w:pPr>
        <w:jc w:val="left"/>
        <w:rPr>
          <w:rFonts w:cs="Arial"/>
          <w:lang w:val="en-GB"/>
        </w:rPr>
      </w:pPr>
      <w:r w:rsidRPr="00101616">
        <w:rPr>
          <w:rFonts w:cs="Arial"/>
          <w:lang w:val="en-GB"/>
        </w:rPr>
        <w:t>The analysis of data and the conducted research proved a high level of complementarity of projects implemented under PA XI with other projects. Furthermore, ensuring the complementarity was not considered difficult by beneficiaries. In the case of PA XII, 43.4% of participants of the research confirmed that it was possible to achieve better results due to the obligation to ensure complementarity of the project with another project co-financed from the ESF. The need to ensure abovementioned obligatory complementarity of the project was assessed positively.</w:t>
      </w:r>
      <w:r w:rsidRPr="007B5F7E">
        <w:rPr>
          <w:lang w:val="en-GB"/>
        </w:rPr>
        <w:t xml:space="preserve"> </w:t>
      </w:r>
      <w:r w:rsidRPr="00423A74">
        <w:rPr>
          <w:rFonts w:cs="Arial"/>
          <w:lang w:val="en-GB"/>
        </w:rPr>
        <w:t xml:space="preserve">It is significant to acknowledge that problems occurred in this area initially (including different schedules of project recruitment under ERDF and ESF, resulting in the fact that beneficiaries had to finance so called "soft" projects complementary to </w:t>
      </w:r>
      <w:r w:rsidRPr="00423A74">
        <w:rPr>
          <w:rFonts w:cs="Arial"/>
          <w:lang w:val="en-GB"/>
        </w:rPr>
        <w:lastRenderedPageBreak/>
        <w:t>infrastructural measures from their own funds), however, remedial measures were implemented over time, eventually eliminating the impact of identified problem.</w:t>
      </w:r>
    </w:p>
    <w:p w14:paraId="2C5F1241" w14:textId="77777777" w:rsidR="00F16CFA" w:rsidRPr="00101616" w:rsidRDefault="00F16CFA" w:rsidP="00DF64C7">
      <w:pPr>
        <w:jc w:val="left"/>
        <w:rPr>
          <w:rFonts w:cs="Arial"/>
          <w:lang w:val="en-GB"/>
        </w:rPr>
      </w:pPr>
      <w:r w:rsidRPr="00101616">
        <w:rPr>
          <w:rFonts w:cs="Arial"/>
          <w:lang w:val="en-GB"/>
        </w:rPr>
        <w:t xml:space="preserve">The analysis of projects implemented under PA XI and PA XII led to the identification of a number of good practices, including aspects specified in the Bank of Good Practices of the Centre for Education Development and on the websites of regional education authorities. Moreover, it was possible to achieve such results as providing children with special </w:t>
      </w:r>
      <w:r>
        <w:rPr>
          <w:rFonts w:cs="Arial"/>
          <w:lang w:val="en-GB"/>
        </w:rPr>
        <w:t xml:space="preserve">educational </w:t>
      </w:r>
      <w:r w:rsidRPr="00101616">
        <w:rPr>
          <w:rFonts w:cs="Arial"/>
          <w:lang w:val="en-GB"/>
        </w:rPr>
        <w:t>needs with comprehensive support related to corrective and compensatory classes, speech therapy, socio-therapeutic and therapeutic activities, stimulating psychomotor development and developing socio-emotional competences. Good practices also include the fact that it was often decided to develop individual plans to support children with disabilities by considering their individual needs and possibilities for development, educational and psychophysical growth. Adopting modern, attractive to students forms of teaching should also be considered a common good practice</w:t>
      </w:r>
      <w:r>
        <w:rPr>
          <w:rFonts w:cs="Arial"/>
          <w:lang w:val="en-GB"/>
        </w:rPr>
        <w:t xml:space="preserve"> (including, inter alias,</w:t>
      </w:r>
      <w:r>
        <w:rPr>
          <w:lang w:val="en-GB"/>
        </w:rPr>
        <w:t xml:space="preserve"> </w:t>
      </w:r>
      <w:r w:rsidRPr="00123F9E">
        <w:rPr>
          <w:rFonts w:cs="Arial"/>
          <w:lang w:val="en-GB"/>
        </w:rPr>
        <w:t>methods of experiment, educational trips, group work or discussions</w:t>
      </w:r>
      <w:r>
        <w:rPr>
          <w:rFonts w:cs="Arial"/>
          <w:lang w:val="en-GB"/>
        </w:rPr>
        <w:t>)</w:t>
      </w:r>
      <w:r w:rsidRPr="00101616">
        <w:rPr>
          <w:rFonts w:cs="Arial"/>
          <w:lang w:val="en-GB"/>
        </w:rPr>
        <w:t>. The most commonly identified aspect as part of PA XII was the adaptation of buildings to the needs of people with disabilities, and the purchase of equipment and specialised teaching aids for children and young people who require an individual approach in the education process.</w:t>
      </w:r>
    </w:p>
    <w:p w14:paraId="564C0521" w14:textId="77777777" w:rsidR="00F16CFA" w:rsidRDefault="00F16CFA" w:rsidP="00DF64C7">
      <w:pPr>
        <w:jc w:val="left"/>
        <w:rPr>
          <w:rFonts w:cs="Arial"/>
          <w:lang w:val="en-GB"/>
        </w:rPr>
      </w:pPr>
      <w:r w:rsidRPr="00101616">
        <w:rPr>
          <w:rFonts w:cs="Arial"/>
          <w:lang w:val="en-GB"/>
        </w:rPr>
        <w:t xml:space="preserve">Given the results of conducted study, measures implemented under PA XI and PA XII shall be considered effective and contributing to the improvement of the situation in the Silesian Voivodeship in relation to diagnosed needs and challenges included in the diagnosis of 2014-2020 ROP SV. Given the fact that this area still requires undertaking measures in this scope and it is recommended to further implement operational objectives in the context of education development, it shall be stated that objectives of investment priorities remain adequate in relation to the current socio-economic situation in the Voivodeship. </w:t>
      </w:r>
    </w:p>
    <w:p w14:paraId="3D6DA1B3" w14:textId="77777777" w:rsidR="00F16CFA" w:rsidRDefault="00F16CFA" w:rsidP="00DF64C7">
      <w:pPr>
        <w:jc w:val="left"/>
        <w:rPr>
          <w:rFonts w:cs="Arial"/>
          <w:lang w:val="en-GB"/>
        </w:rPr>
      </w:pPr>
      <w:r w:rsidRPr="00484B80">
        <w:rPr>
          <w:rFonts w:cs="Arial"/>
          <w:lang w:val="en-GB"/>
        </w:rPr>
        <w:t>The analysis of the net effect of measures implemented under the PA XII of 2014-2020 ROP SV (counterfactual test) led to the conclusion that aspects assessed in the research with entities benefitting from the support should be considered positive and becoming more effective - assessed aspects concerned the evaluation of quality of vocational education and the knowledge of students participating in classes organised by the examined entities. Furthermore, in the case of entities that did not benefit from the EU support, regress was recorded in 5 assessed aspects. Moreover, it shall be noted that entities who used co-financing considerably higher assessed effects after/during the implementation of the project that entities who did not apply for co-financing.</w:t>
      </w:r>
    </w:p>
    <w:p w14:paraId="31E11A48" w14:textId="77777777" w:rsidR="00F16CFA" w:rsidRPr="00101616" w:rsidRDefault="00F16CFA" w:rsidP="00DF64C7">
      <w:pPr>
        <w:jc w:val="left"/>
        <w:rPr>
          <w:rFonts w:cs="Arial"/>
          <w:lang w:val="en-GB"/>
        </w:rPr>
      </w:pPr>
      <w:r w:rsidRPr="00EE710F">
        <w:rPr>
          <w:rFonts w:cs="Arial"/>
          <w:lang w:val="en-GB"/>
        </w:rPr>
        <w:t xml:space="preserve">Analysing aspects concerning the quality of vocational education, the highest net effect indicator constituted the assessment of the equipment of practical vocational training labs (1.81), educational offers (0.98) and the accessibility of the facility given the needs of persons with disabilities (0.78). Abovementioned aspects indicate a directly proportional impact of funds from 2014-2020 ROP SV on improving educational conditions in schools (including conditions for people with disabilities) and increasing the </w:t>
      </w:r>
      <w:r>
        <w:rPr>
          <w:rFonts w:cs="Arial"/>
          <w:lang w:val="en-GB"/>
        </w:rPr>
        <w:t xml:space="preserve">scope </w:t>
      </w:r>
      <w:r w:rsidRPr="00EE710F">
        <w:rPr>
          <w:rFonts w:cs="Arial"/>
          <w:lang w:val="en-GB"/>
        </w:rPr>
        <w:t>of education offers of entities implementing projects under the Programme.</w:t>
      </w:r>
    </w:p>
    <w:p w14:paraId="23BA1639" w14:textId="77777777" w:rsidR="006E0705" w:rsidRPr="00594BBD" w:rsidRDefault="00F16CFA" w:rsidP="00DF64C7">
      <w:pPr>
        <w:jc w:val="left"/>
        <w:rPr>
          <w:lang w:val="en-GB"/>
        </w:rPr>
      </w:pPr>
      <w:r w:rsidRPr="00101616">
        <w:rPr>
          <w:rFonts w:cs="Arial"/>
          <w:lang w:val="en-GB"/>
        </w:rPr>
        <w:t xml:space="preserve">Considering the estimations concerning the implementation of indicators, 16 out of 19 indicators will achieve value equal or greater than the target values set for 2023, therefore it shall be concluded that specific objectives of PA XI and PA XII will be achieved to a high </w:t>
      </w:r>
      <w:r w:rsidRPr="00101616">
        <w:rPr>
          <w:rFonts w:cs="Arial"/>
          <w:lang w:val="en-GB"/>
        </w:rPr>
        <w:lastRenderedPageBreak/>
        <w:t>degree. The risk of not achieving target values of product, result and long-time result indicators of PA XI and PA XII is not identified</w:t>
      </w:r>
      <w:r>
        <w:rPr>
          <w:rFonts w:cs="Arial"/>
          <w:lang w:val="en-GB"/>
        </w:rPr>
        <w:t>.</w:t>
      </w:r>
    </w:p>
    <w:p w14:paraId="34F348EC" w14:textId="77777777" w:rsidR="0088335B" w:rsidRPr="00594BBD" w:rsidRDefault="0088335B" w:rsidP="00DF64C7">
      <w:pPr>
        <w:ind w:firstLine="360"/>
        <w:jc w:val="left"/>
        <w:rPr>
          <w:rFonts w:eastAsiaTheme="majorEastAsia" w:cstheme="majorBidi"/>
          <w:b/>
          <w:bCs/>
          <w:color w:val="E36C0A" w:themeColor="accent6" w:themeShade="BF"/>
          <w:sz w:val="24"/>
          <w:szCs w:val="24"/>
          <w:lang w:val="en-US"/>
        </w:rPr>
      </w:pPr>
      <w:r w:rsidRPr="00594BBD">
        <w:rPr>
          <w:lang w:val="en-US"/>
        </w:rPr>
        <w:br w:type="page"/>
      </w:r>
    </w:p>
    <w:p w14:paraId="744152C2" w14:textId="77777777" w:rsidR="00F657C8" w:rsidRDefault="00F657C8" w:rsidP="00DF64C7">
      <w:pPr>
        <w:pStyle w:val="Nagwek1"/>
        <w:jc w:val="left"/>
      </w:pPr>
      <w:bookmarkStart w:id="3" w:name="_Toc38034990"/>
      <w:r>
        <w:lastRenderedPageBreak/>
        <w:t>Wykaz skrótów</w:t>
      </w:r>
      <w:bookmarkEnd w:id="3"/>
    </w:p>
    <w:p w14:paraId="0910D231" w14:textId="77777777" w:rsidR="000B7F48" w:rsidRDefault="000B7F48" w:rsidP="00DF64C7">
      <w:pPr>
        <w:jc w:val="left"/>
      </w:pPr>
      <w:r>
        <w:t xml:space="preserve">CAWI/CATI Wywiady internetowe wspomagane komputerowo/ telefonicznie </w:t>
      </w:r>
    </w:p>
    <w:p w14:paraId="655C6310" w14:textId="77777777" w:rsidR="000B7F48" w:rsidRDefault="000B7F48" w:rsidP="00DF64C7">
      <w:pPr>
        <w:jc w:val="left"/>
      </w:pPr>
      <w:r>
        <w:t>CKZIU - Centrum Kształcenia Zawodowego i Ustawicznego</w:t>
      </w:r>
    </w:p>
    <w:p w14:paraId="24513EAC" w14:textId="77777777" w:rsidR="000B7F48" w:rsidRDefault="000B7F48" w:rsidP="00DF64C7">
      <w:pPr>
        <w:jc w:val="left"/>
      </w:pPr>
      <w:r>
        <w:t>EFRR – Europejski Fundusz Rozwoju Regionalnego</w:t>
      </w:r>
    </w:p>
    <w:p w14:paraId="5BDE0880" w14:textId="77777777" w:rsidR="000B7F48" w:rsidRDefault="000B7F48" w:rsidP="00DF64C7">
      <w:pPr>
        <w:jc w:val="left"/>
      </w:pPr>
      <w:r>
        <w:t>EFS – Europejski Fundusz Społeczny</w:t>
      </w:r>
    </w:p>
    <w:p w14:paraId="6FF9034B" w14:textId="77777777" w:rsidR="000B7F48" w:rsidRDefault="000B7F48" w:rsidP="00DF64C7">
      <w:pPr>
        <w:jc w:val="left"/>
      </w:pPr>
      <w:r>
        <w:t>GUS – Główny Urząd Statystyczny</w:t>
      </w:r>
    </w:p>
    <w:p w14:paraId="3F004A8F" w14:textId="77777777" w:rsidR="000B7F48" w:rsidRDefault="000B7F48" w:rsidP="00DF64C7">
      <w:pPr>
        <w:jc w:val="left"/>
      </w:pPr>
      <w:r>
        <w:t>IDI - Indywidualne wywiady pogłębione</w:t>
      </w:r>
    </w:p>
    <w:p w14:paraId="09392299" w14:textId="77777777" w:rsidR="000B7F48" w:rsidRDefault="000B7F48" w:rsidP="00DF64C7">
      <w:pPr>
        <w:jc w:val="left"/>
      </w:pPr>
      <w:r>
        <w:t>IOK – Instytucja Organizująca Konkurs</w:t>
      </w:r>
    </w:p>
    <w:p w14:paraId="6FF10878" w14:textId="77777777" w:rsidR="000B7F48" w:rsidRDefault="000B7F48" w:rsidP="00DF64C7">
      <w:pPr>
        <w:jc w:val="left"/>
      </w:pPr>
      <w:r>
        <w:t>IP – Instytucja Pośrednicząca</w:t>
      </w:r>
    </w:p>
    <w:p w14:paraId="0CDEC8FA" w14:textId="77777777" w:rsidR="000B7F48" w:rsidRDefault="000B7F48" w:rsidP="00DF64C7">
      <w:pPr>
        <w:jc w:val="left"/>
      </w:pPr>
      <w:r>
        <w:t>IZ – Instytucja Zarządzająca</w:t>
      </w:r>
    </w:p>
    <w:p w14:paraId="59D0C927" w14:textId="77777777" w:rsidR="000B7F48" w:rsidRDefault="000B7F48" w:rsidP="00DF64C7">
      <w:pPr>
        <w:jc w:val="left"/>
      </w:pPr>
      <w:r>
        <w:t>JST – jednostka samorządu terytorialnego</w:t>
      </w:r>
    </w:p>
    <w:p w14:paraId="39C1CF0F" w14:textId="77777777" w:rsidR="000B7F48" w:rsidRDefault="000B7F48" w:rsidP="00DF64C7">
      <w:pPr>
        <w:jc w:val="left"/>
      </w:pPr>
      <w:r>
        <w:t>KE - Komisja Europejska</w:t>
      </w:r>
    </w:p>
    <w:p w14:paraId="5B314FE2" w14:textId="77777777" w:rsidR="000B7F48" w:rsidRDefault="000B7F48" w:rsidP="00DF64C7">
      <w:pPr>
        <w:jc w:val="left"/>
      </w:pPr>
      <w:r>
        <w:t xml:space="preserve">LSI </w:t>
      </w:r>
      <w:r w:rsidR="00322558">
        <w:t xml:space="preserve">2014 </w:t>
      </w:r>
      <w:r>
        <w:t xml:space="preserve">- </w:t>
      </w:r>
      <w:r w:rsidR="00322558" w:rsidRPr="00322558">
        <w:t>Lokalny System Informatyczny do obsługi Regionalnego Programu Operacyjnego Województwa Śląskiego w latach 2014-2020</w:t>
      </w:r>
    </w:p>
    <w:p w14:paraId="0DD27E5A" w14:textId="77777777" w:rsidR="000B7F48" w:rsidRDefault="00322558" w:rsidP="00DF64C7">
      <w:pPr>
        <w:jc w:val="left"/>
      </w:pPr>
      <w:r w:rsidRPr="00322558">
        <w:t>MFiPR</w:t>
      </w:r>
      <w:r w:rsidRPr="00322558" w:rsidDel="00322558">
        <w:t xml:space="preserve"> </w:t>
      </w:r>
      <w:r w:rsidR="000B7F48">
        <w:t xml:space="preserve">– Ministerstwo </w:t>
      </w:r>
      <w:r>
        <w:t>Funduszy i Polityki Regionalnej</w:t>
      </w:r>
    </w:p>
    <w:p w14:paraId="5F45EFBA" w14:textId="77777777" w:rsidR="000B7F48" w:rsidRDefault="000B7F48" w:rsidP="00DF64C7">
      <w:pPr>
        <w:jc w:val="left"/>
      </w:pPr>
      <w:r>
        <w:t>NGO – organizacja pozarządowa</w:t>
      </w:r>
    </w:p>
    <w:p w14:paraId="190A92C8" w14:textId="77777777" w:rsidR="000B7F48" w:rsidRDefault="000B7F48" w:rsidP="00DF64C7">
      <w:pPr>
        <w:jc w:val="left"/>
      </w:pPr>
      <w:r>
        <w:t xml:space="preserve">OP - </w:t>
      </w:r>
      <w:r w:rsidR="000367E3">
        <w:t>Oś</w:t>
      </w:r>
      <w:r>
        <w:t xml:space="preserve"> priorytetowa</w:t>
      </w:r>
    </w:p>
    <w:p w14:paraId="45ADBED3" w14:textId="77777777" w:rsidR="000B7F48" w:rsidRDefault="000B7F48" w:rsidP="00DF64C7">
      <w:pPr>
        <w:jc w:val="left"/>
      </w:pPr>
      <w:r>
        <w:t>p.p. - punkt procentowy</w:t>
      </w:r>
    </w:p>
    <w:p w14:paraId="357E7906" w14:textId="77777777" w:rsidR="000B7F48" w:rsidRDefault="000B7F48" w:rsidP="00DF64C7">
      <w:pPr>
        <w:jc w:val="left"/>
      </w:pPr>
      <w:r>
        <w:t>RIT - Regionalne Inwestycje Terytorialne</w:t>
      </w:r>
    </w:p>
    <w:p w14:paraId="4FF5A2E3" w14:textId="77777777" w:rsidR="000B7F48" w:rsidRDefault="000B7F48" w:rsidP="00DF64C7">
      <w:pPr>
        <w:jc w:val="left"/>
      </w:pPr>
      <w:r>
        <w:t>RPO WSL 2014-2020 – Regionalny Program Operacyjny Województwa Śląskiego na lata 2014-2020</w:t>
      </w:r>
    </w:p>
    <w:p w14:paraId="1D76B1CA" w14:textId="77777777" w:rsidR="00322558" w:rsidRDefault="00322558" w:rsidP="00DF64C7">
      <w:pPr>
        <w:jc w:val="left"/>
      </w:pPr>
      <w:r>
        <w:t>SL2014 – centralny system teleinformatyczny</w:t>
      </w:r>
    </w:p>
    <w:p w14:paraId="6D8F4542" w14:textId="77777777" w:rsidR="000367E3" w:rsidRDefault="000367E3" w:rsidP="00DF64C7">
      <w:pPr>
        <w:jc w:val="left"/>
      </w:pPr>
      <w:r>
        <w:t>SPE - specjalne potrzeby edukacyjne</w:t>
      </w:r>
    </w:p>
    <w:p w14:paraId="2C60DBA1" w14:textId="77777777" w:rsidR="000B7F48" w:rsidRDefault="000B7F48" w:rsidP="00DF64C7">
      <w:pPr>
        <w:jc w:val="left"/>
      </w:pPr>
      <w:r>
        <w:t>SZOOP RPO WSL – Szczegółowy Opis Osi Priorytetowych Regionalnego Programu Operacyjnego Województwa Śląskiego</w:t>
      </w:r>
    </w:p>
    <w:p w14:paraId="1AD683A3" w14:textId="77777777" w:rsidR="000B7F48" w:rsidRDefault="000B7F48" w:rsidP="00DF64C7">
      <w:pPr>
        <w:jc w:val="left"/>
      </w:pPr>
      <w:r>
        <w:t>TDI Telefoniczne wywiady pogłębione</w:t>
      </w:r>
    </w:p>
    <w:p w14:paraId="3284B704" w14:textId="77777777" w:rsidR="000B7F48" w:rsidRDefault="000B7F48" w:rsidP="00DF64C7">
      <w:pPr>
        <w:jc w:val="left"/>
      </w:pPr>
      <w:r>
        <w:t>TIK - technologie informacyjno-komunikacyjne</w:t>
      </w:r>
    </w:p>
    <w:p w14:paraId="286DF423" w14:textId="77777777" w:rsidR="000B7F48" w:rsidRPr="000B7F48" w:rsidRDefault="000B7F48" w:rsidP="00DF64C7">
      <w:pPr>
        <w:jc w:val="left"/>
      </w:pPr>
      <w:r>
        <w:t>UE - Unia Europejska</w:t>
      </w:r>
    </w:p>
    <w:p w14:paraId="1D3BBAD5" w14:textId="77777777" w:rsidR="000B7F48" w:rsidRDefault="000B7F48" w:rsidP="00DF64C7">
      <w:pPr>
        <w:jc w:val="left"/>
      </w:pPr>
      <w:r>
        <w:t>WUP - Wojewódzki Urząd Pracy</w:t>
      </w:r>
    </w:p>
    <w:p w14:paraId="177B483C" w14:textId="77777777" w:rsidR="000B7F48" w:rsidRDefault="000B7F48" w:rsidP="00DF64C7">
      <w:pPr>
        <w:jc w:val="left"/>
      </w:pPr>
      <w:r>
        <w:t>ZIT - Zintegrowane Inwestycje Terytorialne</w:t>
      </w:r>
    </w:p>
    <w:p w14:paraId="6F8EEAE1" w14:textId="77777777" w:rsidR="001A07C5" w:rsidRDefault="001A07C5" w:rsidP="00DF64C7">
      <w:pPr>
        <w:jc w:val="left"/>
      </w:pPr>
    </w:p>
    <w:p w14:paraId="58D5A5B5" w14:textId="77777777" w:rsidR="001A07C5" w:rsidRDefault="001A07C5" w:rsidP="00DF64C7">
      <w:pPr>
        <w:jc w:val="left"/>
      </w:pPr>
      <w:r>
        <w:t xml:space="preserve">Pełne nazwy Osi Priorytetowych oraz Działań/Poddziałań wymienianych w tekście </w:t>
      </w:r>
      <w:r w:rsidR="0007775A">
        <w:t>raportu</w:t>
      </w:r>
      <w:r>
        <w:t>:</w:t>
      </w:r>
    </w:p>
    <w:p w14:paraId="17430738" w14:textId="77777777" w:rsidR="001A07C5" w:rsidRDefault="001A07C5" w:rsidP="00DF64C7">
      <w:pPr>
        <w:pStyle w:val="Akapitzlist"/>
        <w:numPr>
          <w:ilvl w:val="0"/>
          <w:numId w:val="65"/>
        </w:numPr>
        <w:jc w:val="left"/>
      </w:pPr>
      <w:r>
        <w:t>Oś Priorytetowa XI Wzmocnienie potencjału edukacyjnego:</w:t>
      </w:r>
    </w:p>
    <w:p w14:paraId="0178A97E" w14:textId="77777777" w:rsidR="001A07C5" w:rsidRDefault="001A07C5" w:rsidP="00DF64C7">
      <w:pPr>
        <w:pStyle w:val="Akapitzlist"/>
        <w:numPr>
          <w:ilvl w:val="0"/>
          <w:numId w:val="64"/>
        </w:numPr>
        <w:jc w:val="left"/>
      </w:pPr>
      <w:r>
        <w:t>11.1 Ograniczenie przedwczesnego kończenia nauki szkolnej oraz zapewnienie równego dostępu do dobrej jakości edukacji elementarnej, kształcenia podstawowego i średniego;</w:t>
      </w:r>
    </w:p>
    <w:p w14:paraId="0D0AF874" w14:textId="77777777" w:rsidR="001A07C5" w:rsidRDefault="001A07C5" w:rsidP="00DF64C7">
      <w:pPr>
        <w:pStyle w:val="Akapitzlist"/>
        <w:numPr>
          <w:ilvl w:val="0"/>
          <w:numId w:val="64"/>
        </w:numPr>
        <w:jc w:val="left"/>
      </w:pPr>
      <w:r>
        <w:t xml:space="preserve">11.2 Dostosowanie oferty kształcenia zawodowego do potrzeb lokalnego rynku pracy – kształcenie zawodowe </w:t>
      </w:r>
      <w:r w:rsidR="000B76E3">
        <w:t>uczniów;</w:t>
      </w:r>
    </w:p>
    <w:p w14:paraId="78EA3E06" w14:textId="77777777" w:rsidR="001A07C5" w:rsidRDefault="001A07C5" w:rsidP="00DF64C7">
      <w:pPr>
        <w:pStyle w:val="Akapitzlist"/>
        <w:numPr>
          <w:ilvl w:val="0"/>
          <w:numId w:val="64"/>
        </w:numPr>
        <w:jc w:val="left"/>
      </w:pPr>
      <w:r>
        <w:t>11.3 Dostosowanie oferty kształcenia zawodowego do potrzeb lokalnego rynku pracy – kształcenie zawodowe osób dorosłych;</w:t>
      </w:r>
    </w:p>
    <w:p w14:paraId="4D5A6740" w14:textId="77777777" w:rsidR="001A07C5" w:rsidRDefault="001A07C5" w:rsidP="00DF64C7">
      <w:pPr>
        <w:pStyle w:val="Akapitzlist"/>
        <w:numPr>
          <w:ilvl w:val="0"/>
          <w:numId w:val="64"/>
        </w:numPr>
        <w:jc w:val="left"/>
      </w:pPr>
      <w:r>
        <w:t>11.4 Podnoszenie kwalifikacji zawodowych osób dorosłych.</w:t>
      </w:r>
    </w:p>
    <w:p w14:paraId="2037D63F" w14:textId="77777777" w:rsidR="001A07C5" w:rsidRDefault="001A07C5" w:rsidP="00DF64C7">
      <w:pPr>
        <w:jc w:val="left"/>
      </w:pPr>
    </w:p>
    <w:p w14:paraId="1922FA1E" w14:textId="77777777" w:rsidR="001A07C5" w:rsidRDefault="001A07C5" w:rsidP="00DF64C7">
      <w:pPr>
        <w:pStyle w:val="Akapitzlist"/>
        <w:numPr>
          <w:ilvl w:val="0"/>
          <w:numId w:val="66"/>
        </w:numPr>
        <w:jc w:val="left"/>
      </w:pPr>
      <w:r>
        <w:lastRenderedPageBreak/>
        <w:t>Oś Priorytetowa XII Infrastruktura edukacyjna:</w:t>
      </w:r>
    </w:p>
    <w:p w14:paraId="6DE21275" w14:textId="77777777" w:rsidR="001A07C5" w:rsidRDefault="001A07C5" w:rsidP="00DF64C7">
      <w:pPr>
        <w:pStyle w:val="Akapitzlist"/>
        <w:numPr>
          <w:ilvl w:val="0"/>
          <w:numId w:val="64"/>
        </w:numPr>
        <w:jc w:val="left"/>
      </w:pPr>
      <w:r>
        <w:t>12.1 Infrastruktura wychowania przedszkolnego;</w:t>
      </w:r>
    </w:p>
    <w:p w14:paraId="14EB103D" w14:textId="77777777" w:rsidR="001A07C5" w:rsidRDefault="001A07C5" w:rsidP="00DF64C7">
      <w:pPr>
        <w:pStyle w:val="Akapitzlist"/>
        <w:numPr>
          <w:ilvl w:val="0"/>
          <w:numId w:val="64"/>
        </w:numPr>
        <w:jc w:val="left"/>
      </w:pPr>
      <w:r>
        <w:t>12.2 Infrastruktura kształcenia zawodowego;</w:t>
      </w:r>
    </w:p>
    <w:p w14:paraId="18DA9FD9" w14:textId="77777777" w:rsidR="001A07C5" w:rsidRDefault="001A07C5" w:rsidP="00DF64C7">
      <w:pPr>
        <w:pStyle w:val="Akapitzlist"/>
        <w:numPr>
          <w:ilvl w:val="0"/>
          <w:numId w:val="64"/>
        </w:numPr>
        <w:jc w:val="left"/>
      </w:pPr>
      <w:r>
        <w:t>12.3 Instytucje popularyzujące naukę.</w:t>
      </w:r>
    </w:p>
    <w:p w14:paraId="1632F757" w14:textId="77777777" w:rsidR="00F657C8" w:rsidRPr="00F657C8" w:rsidRDefault="000B7F48" w:rsidP="00DF64C7">
      <w:pPr>
        <w:ind w:firstLine="360"/>
        <w:jc w:val="left"/>
      </w:pPr>
      <w:r>
        <w:br w:type="page"/>
      </w:r>
    </w:p>
    <w:p w14:paraId="3C477E3A" w14:textId="77777777" w:rsidR="00A464CB" w:rsidRDefault="00A464CB" w:rsidP="00DF64C7">
      <w:pPr>
        <w:pStyle w:val="Nagwek1"/>
        <w:jc w:val="left"/>
      </w:pPr>
      <w:bookmarkStart w:id="4" w:name="_Toc38034991"/>
      <w:r>
        <w:lastRenderedPageBreak/>
        <w:t>Wprowadzenie</w:t>
      </w:r>
      <w:bookmarkEnd w:id="4"/>
    </w:p>
    <w:p w14:paraId="1DC244B3" w14:textId="77777777" w:rsidR="00A464CB" w:rsidRDefault="00A464CB" w:rsidP="00DF64C7">
      <w:pPr>
        <w:pStyle w:val="Nagwek2"/>
        <w:jc w:val="left"/>
      </w:pPr>
      <w:bookmarkStart w:id="5" w:name="_Toc38034992"/>
      <w:r w:rsidRPr="00A42CE5">
        <w:t>Cele badania</w:t>
      </w:r>
      <w:bookmarkEnd w:id="5"/>
    </w:p>
    <w:p w14:paraId="40D24166" w14:textId="77777777" w:rsidR="006777A1" w:rsidRDefault="006777A1" w:rsidP="00DF64C7">
      <w:pPr>
        <w:jc w:val="left"/>
        <w:rPr>
          <w:rFonts w:eastAsia="Arial"/>
        </w:rPr>
      </w:pPr>
      <w:r>
        <w:t>Potrzeba realizacji</w:t>
      </w:r>
      <w:r>
        <w:rPr>
          <w:rFonts w:eastAsia="Arial"/>
          <w:lang w:eastAsia="pl-PL"/>
        </w:rPr>
        <w:t xml:space="preserve"> badania</w:t>
      </w:r>
      <w:r>
        <w:t xml:space="preserve"> </w:t>
      </w:r>
      <w:r>
        <w:rPr>
          <w:rFonts w:eastAsia="Arial"/>
          <w:lang w:eastAsia="pl-PL"/>
        </w:rPr>
        <w:t xml:space="preserve">pn. „Ewaluacja dotycząca sposobu, w jaki wsparcie w ramach RPO WSL na lata 2014-2020 przyczyniło się do osiągnięcia celów w ramach Osi Priorytetowych XI </w:t>
      </w:r>
      <w:r>
        <w:rPr>
          <w:rFonts w:eastAsia="Arial"/>
          <w:i/>
          <w:lang w:eastAsia="pl-PL"/>
        </w:rPr>
        <w:t>Wzmocnienie potencjału edukacyjnego</w:t>
      </w:r>
      <w:r>
        <w:rPr>
          <w:rFonts w:eastAsia="Arial"/>
          <w:lang w:eastAsia="pl-PL"/>
        </w:rPr>
        <w:t xml:space="preserve"> oraz XII </w:t>
      </w:r>
      <w:r>
        <w:rPr>
          <w:rFonts w:eastAsia="Arial"/>
          <w:i/>
          <w:lang w:eastAsia="pl-PL"/>
        </w:rPr>
        <w:t>Infrastruktura edukacyjna</w:t>
      </w:r>
      <w:r>
        <w:rPr>
          <w:rFonts w:eastAsia="Arial"/>
          <w:lang w:eastAsia="pl-PL"/>
        </w:rPr>
        <w:t xml:space="preserve">” </w:t>
      </w:r>
      <w:r>
        <w:t xml:space="preserve">podyktowana była </w:t>
      </w:r>
      <w:r>
        <w:rPr>
          <w:rFonts w:eastAsia="Arial"/>
        </w:rPr>
        <w:t xml:space="preserve">wyzwaniami, jakie stoją obecnie przed systemem oświaty, tj. poprawą dostępu do wysokiej jakości edukacji na wszystkich etapach kształcenia, rozpoczynając od edukacji przedszkolnej a kończąc na kształceniu ustawicznym, a także dostosowaniem kształcenia </w:t>
      </w:r>
      <w:r w:rsidR="00BB3390">
        <w:rPr>
          <w:rFonts w:eastAsia="Arial"/>
        </w:rPr>
        <w:t xml:space="preserve">zawodowego </w:t>
      </w:r>
      <w:r>
        <w:rPr>
          <w:rFonts w:eastAsia="Arial"/>
        </w:rPr>
        <w:t>do potrzeb rynku pracy, wzrostu udziału w kształceniu osób dorosłych, w tym grup niedoreprezentowanych.</w:t>
      </w:r>
    </w:p>
    <w:p w14:paraId="5D23ACA3" w14:textId="77777777" w:rsidR="006777A1" w:rsidRDefault="006777A1" w:rsidP="00DF64C7">
      <w:pPr>
        <w:jc w:val="left"/>
        <w:rPr>
          <w:rFonts w:eastAsia="Arial" w:cs="Arial"/>
        </w:rPr>
      </w:pPr>
      <w:r>
        <w:rPr>
          <w:rFonts w:eastAsia="Arial" w:cs="Arial"/>
          <w:lang w:eastAsia="pl-PL"/>
        </w:rPr>
        <w:t xml:space="preserve">Realizacja </w:t>
      </w:r>
      <w:r>
        <w:rPr>
          <w:rFonts w:cs="Arial"/>
        </w:rPr>
        <w:t xml:space="preserve">projektu badawczego </w:t>
      </w:r>
      <w:r>
        <w:rPr>
          <w:rFonts w:eastAsia="Arial" w:cs="Arial"/>
          <w:lang w:eastAsia="pl-PL"/>
        </w:rPr>
        <w:t xml:space="preserve">ukierunkowana </w:t>
      </w:r>
      <w:r w:rsidR="00A037AE">
        <w:rPr>
          <w:rFonts w:eastAsia="Arial" w:cs="Arial"/>
          <w:lang w:eastAsia="pl-PL"/>
        </w:rPr>
        <w:t>była</w:t>
      </w:r>
      <w:r>
        <w:rPr>
          <w:rFonts w:eastAsia="Arial" w:cs="Arial"/>
          <w:lang w:eastAsia="pl-PL"/>
        </w:rPr>
        <w:t xml:space="preserve"> na dwa podstawowe cele:</w:t>
      </w:r>
    </w:p>
    <w:p w14:paraId="3CA2C71A" w14:textId="77777777" w:rsidR="006777A1" w:rsidRDefault="006777A1" w:rsidP="00DF64C7">
      <w:pPr>
        <w:pStyle w:val="Akapitzlist"/>
        <w:numPr>
          <w:ilvl w:val="0"/>
          <w:numId w:val="17"/>
        </w:numPr>
        <w:tabs>
          <w:tab w:val="left" w:pos="364"/>
        </w:tabs>
        <w:ind w:left="709" w:hanging="425"/>
        <w:jc w:val="left"/>
        <w:rPr>
          <w:rFonts w:eastAsia="Arial" w:cs="Arial"/>
        </w:rPr>
      </w:pPr>
      <w:r>
        <w:rPr>
          <w:rFonts w:eastAsia="Arial" w:cs="Arial"/>
        </w:rPr>
        <w:t>Ocenę dotychczasowych efektów wsparcia udzielonego w ramach OP XI oraz OP XII Regionalnego Programu Operacyjnego Województwa Śląskiego (dalej: RPO WSL lub RPO WSL 2014-2020), w tym stopnia osiągnięcia celów szczegółowych, którymi są:</w:t>
      </w:r>
    </w:p>
    <w:p w14:paraId="4BBCFAC6" w14:textId="77777777" w:rsidR="006777A1" w:rsidRDefault="006777A1" w:rsidP="00DF64C7">
      <w:pPr>
        <w:pStyle w:val="Akapitzlist"/>
        <w:numPr>
          <w:ilvl w:val="0"/>
          <w:numId w:val="18"/>
        </w:numPr>
        <w:tabs>
          <w:tab w:val="left" w:pos="9072"/>
        </w:tabs>
        <w:ind w:left="1276" w:hanging="425"/>
        <w:jc w:val="left"/>
        <w:rPr>
          <w:rFonts w:eastAsia="Arial" w:cs="Arial"/>
        </w:rPr>
      </w:pPr>
      <w:r>
        <w:rPr>
          <w:rFonts w:eastAsia="Arial" w:cs="Arial"/>
        </w:rPr>
        <w:t>Wzrost dostępu do wysokiej jakości edukacji przedszkolnej w województwie śląskim;</w:t>
      </w:r>
    </w:p>
    <w:p w14:paraId="2BED5EF7" w14:textId="77777777" w:rsidR="006777A1" w:rsidRDefault="006777A1" w:rsidP="00DF64C7">
      <w:pPr>
        <w:pStyle w:val="Akapitzlist"/>
        <w:numPr>
          <w:ilvl w:val="0"/>
          <w:numId w:val="18"/>
        </w:numPr>
        <w:tabs>
          <w:tab w:val="left" w:pos="9072"/>
        </w:tabs>
        <w:ind w:left="1276" w:hanging="425"/>
        <w:jc w:val="left"/>
        <w:rPr>
          <w:rFonts w:eastAsia="Arial" w:cs="Arial"/>
        </w:rPr>
      </w:pPr>
      <w:r>
        <w:rPr>
          <w:rFonts w:eastAsia="Arial" w:cs="Arial"/>
        </w:rPr>
        <w:t>Wzrost dostępu do wysokiej jakości oferty kształcenia ogólnokształcącego;</w:t>
      </w:r>
    </w:p>
    <w:p w14:paraId="4C60E5D3" w14:textId="77777777" w:rsidR="006777A1" w:rsidRDefault="006777A1" w:rsidP="00DF64C7">
      <w:pPr>
        <w:pStyle w:val="Akapitzlist"/>
        <w:numPr>
          <w:ilvl w:val="0"/>
          <w:numId w:val="18"/>
        </w:numPr>
        <w:tabs>
          <w:tab w:val="left" w:pos="9072"/>
        </w:tabs>
        <w:ind w:left="1276" w:hanging="425"/>
        <w:jc w:val="left"/>
        <w:rPr>
          <w:rFonts w:eastAsia="Arial" w:cs="Arial"/>
        </w:rPr>
      </w:pPr>
      <w:r>
        <w:rPr>
          <w:rFonts w:eastAsia="Arial" w:cs="Arial"/>
        </w:rPr>
        <w:t xml:space="preserve">Wzrost kwalifikacji i kompetencji w zakresie umiejętności cyfrowych i języków obcych </w:t>
      </w:r>
      <w:r w:rsidR="00EB1FD8">
        <w:rPr>
          <w:rFonts w:eastAsia="Arial" w:cs="Arial"/>
        </w:rPr>
        <w:t xml:space="preserve">wśród </w:t>
      </w:r>
      <w:r>
        <w:rPr>
          <w:rFonts w:eastAsia="Arial" w:cs="Arial"/>
        </w:rPr>
        <w:t>dorosłych mieszkańców województwa śląskiego, w szczególności osób starszych oraz osób o niskich kwalifikacjach;</w:t>
      </w:r>
    </w:p>
    <w:p w14:paraId="3C5D9D0E" w14:textId="77777777" w:rsidR="006777A1" w:rsidRDefault="006777A1" w:rsidP="00DF64C7">
      <w:pPr>
        <w:pStyle w:val="Akapitzlist"/>
        <w:numPr>
          <w:ilvl w:val="0"/>
          <w:numId w:val="18"/>
        </w:numPr>
        <w:tabs>
          <w:tab w:val="left" w:pos="9072"/>
        </w:tabs>
        <w:ind w:left="1276" w:hanging="425"/>
        <w:jc w:val="left"/>
        <w:rPr>
          <w:rFonts w:eastAsia="Arial" w:cs="Arial"/>
        </w:rPr>
      </w:pPr>
      <w:r>
        <w:rPr>
          <w:rFonts w:eastAsia="Arial" w:cs="Arial"/>
        </w:rPr>
        <w:t>Wzrost zatrudnienia wśród absolwentów szkół i placówek kształcenia zawodowego poprzez poprawę efektywności realizowanego wsparcia;</w:t>
      </w:r>
    </w:p>
    <w:p w14:paraId="6E5EEDE9" w14:textId="77777777" w:rsidR="006777A1" w:rsidRDefault="006777A1" w:rsidP="00DF64C7">
      <w:pPr>
        <w:pStyle w:val="Akapitzlist"/>
        <w:numPr>
          <w:ilvl w:val="0"/>
          <w:numId w:val="18"/>
        </w:numPr>
        <w:tabs>
          <w:tab w:val="left" w:pos="9072"/>
        </w:tabs>
        <w:ind w:left="1276" w:hanging="425"/>
        <w:jc w:val="left"/>
        <w:rPr>
          <w:rFonts w:eastAsia="Arial" w:cs="Arial"/>
        </w:rPr>
      </w:pPr>
      <w:r>
        <w:rPr>
          <w:rFonts w:eastAsia="Arial" w:cs="Arial"/>
        </w:rPr>
        <w:t>Zwiększona liczba miejsc w placówkach wychowania przedszkolnego;</w:t>
      </w:r>
    </w:p>
    <w:p w14:paraId="4AD9FCF4" w14:textId="77777777" w:rsidR="006777A1" w:rsidRDefault="006777A1" w:rsidP="00DF64C7">
      <w:pPr>
        <w:pStyle w:val="Akapitzlist"/>
        <w:numPr>
          <w:ilvl w:val="0"/>
          <w:numId w:val="18"/>
        </w:numPr>
        <w:tabs>
          <w:tab w:val="left" w:pos="9072"/>
        </w:tabs>
        <w:ind w:left="1276" w:hanging="425"/>
        <w:jc w:val="left"/>
        <w:rPr>
          <w:rFonts w:eastAsia="Arial" w:cs="Arial"/>
        </w:rPr>
      </w:pPr>
      <w:r>
        <w:rPr>
          <w:rFonts w:eastAsia="Arial" w:cs="Arial"/>
        </w:rPr>
        <w:t>Zwiększone kompetencje uczniów szkół kształcących w zawodach;</w:t>
      </w:r>
    </w:p>
    <w:p w14:paraId="27C9F97B" w14:textId="77777777" w:rsidR="006777A1" w:rsidRDefault="006777A1" w:rsidP="00DF64C7">
      <w:pPr>
        <w:pStyle w:val="Akapitzlist"/>
        <w:numPr>
          <w:ilvl w:val="0"/>
          <w:numId w:val="18"/>
        </w:numPr>
        <w:tabs>
          <w:tab w:val="left" w:pos="9072"/>
        </w:tabs>
        <w:ind w:left="1276" w:hanging="425"/>
        <w:jc w:val="left"/>
        <w:rPr>
          <w:rFonts w:eastAsia="Arial" w:cs="Arial"/>
        </w:rPr>
      </w:pPr>
      <w:r>
        <w:rPr>
          <w:rFonts w:eastAsia="Arial" w:cs="Arial"/>
        </w:rPr>
        <w:t>Zwiększona liczba osób odwiedzających instytucje paramuzealne.</w:t>
      </w:r>
    </w:p>
    <w:p w14:paraId="0A749930" w14:textId="77777777" w:rsidR="006777A1" w:rsidRDefault="006777A1" w:rsidP="00DF64C7">
      <w:pPr>
        <w:pStyle w:val="Akapitzlist"/>
        <w:numPr>
          <w:ilvl w:val="0"/>
          <w:numId w:val="17"/>
        </w:numPr>
        <w:tabs>
          <w:tab w:val="left" w:pos="486"/>
        </w:tabs>
        <w:jc w:val="left"/>
        <w:rPr>
          <w:rFonts w:eastAsia="Arial" w:cs="Arial"/>
        </w:rPr>
      </w:pPr>
      <w:r>
        <w:rPr>
          <w:rFonts w:eastAsia="Arial" w:cs="Arial"/>
        </w:rPr>
        <w:t xml:space="preserve">Ocenę możliwości osiągnięcia założonego poziomu wdrażania dla obu OP. </w:t>
      </w:r>
    </w:p>
    <w:p w14:paraId="36256E13" w14:textId="77777777" w:rsidR="006777A1" w:rsidRPr="006777A1" w:rsidRDefault="006777A1" w:rsidP="00DF64C7">
      <w:pPr>
        <w:tabs>
          <w:tab w:val="left" w:pos="486"/>
        </w:tabs>
        <w:jc w:val="left"/>
        <w:rPr>
          <w:rFonts w:eastAsia="Arial" w:cs="Arial"/>
        </w:rPr>
      </w:pPr>
      <w:r>
        <w:rPr>
          <w:rFonts w:eastAsia="Arial" w:cs="Arial"/>
        </w:rPr>
        <w:t xml:space="preserve">Efektem przeprowadzonej ewaluacji </w:t>
      </w:r>
      <w:r w:rsidR="00A037AE">
        <w:rPr>
          <w:rFonts w:eastAsia="Arial" w:cs="Arial"/>
        </w:rPr>
        <w:t>jest</w:t>
      </w:r>
      <w:r>
        <w:rPr>
          <w:rFonts w:eastAsia="Arial" w:cs="Arial"/>
        </w:rPr>
        <w:t xml:space="preserve"> zestaw wniosków i rekomendacji, które należy podjąć, aby zwiększyć skuteczność, efektywność, użyteczność i trwałość oferowanego wsparcia w obszarze edukacji w ramach RPO WSL 2014-2020 oraz w przyszłym okresie programowania, przy uwzględnieniu zapisów projektów rozporządzeń Komisji Europejskiej (dalej: KE).</w:t>
      </w:r>
    </w:p>
    <w:p w14:paraId="54FCAC1D" w14:textId="77777777" w:rsidR="00A464CB" w:rsidRDefault="00A464CB" w:rsidP="00DF64C7">
      <w:pPr>
        <w:pStyle w:val="Nagwek2"/>
        <w:jc w:val="left"/>
      </w:pPr>
      <w:bookmarkStart w:id="6" w:name="_Toc38034993"/>
      <w:r>
        <w:t>Kryteria ewaluacyjne</w:t>
      </w:r>
      <w:bookmarkEnd w:id="6"/>
    </w:p>
    <w:p w14:paraId="7C63ACDF" w14:textId="77777777" w:rsidR="006777A1" w:rsidRDefault="006777A1" w:rsidP="00DF64C7">
      <w:pPr>
        <w:jc w:val="left"/>
        <w:rPr>
          <w:rFonts w:cs="Arial"/>
        </w:rPr>
      </w:pPr>
      <w:r>
        <w:rPr>
          <w:rFonts w:cs="Arial"/>
        </w:rPr>
        <w:t>Przedmiotowe badanie zosta</w:t>
      </w:r>
      <w:r w:rsidR="00A037AE">
        <w:rPr>
          <w:rFonts w:cs="Arial"/>
        </w:rPr>
        <w:t>ło</w:t>
      </w:r>
      <w:r>
        <w:rPr>
          <w:rFonts w:cs="Arial"/>
        </w:rPr>
        <w:t xml:space="preserve"> przeprowadzone z uwzględnieniem następujących kryteriów ewaluacyjnych:</w:t>
      </w:r>
    </w:p>
    <w:p w14:paraId="16EBED23" w14:textId="77777777" w:rsidR="006777A1" w:rsidRDefault="006777A1" w:rsidP="00DF64C7">
      <w:pPr>
        <w:pStyle w:val="Akapitzlist"/>
        <w:numPr>
          <w:ilvl w:val="0"/>
          <w:numId w:val="19"/>
        </w:numPr>
        <w:jc w:val="left"/>
        <w:rPr>
          <w:rFonts w:eastAsia="Arial" w:cs="Arial"/>
        </w:rPr>
      </w:pPr>
      <w:r>
        <w:rPr>
          <w:rFonts w:eastAsia="Arial" w:cs="Arial"/>
          <w:b/>
        </w:rPr>
        <w:t>Skuteczności</w:t>
      </w:r>
      <w:r>
        <w:rPr>
          <w:rFonts w:eastAsia="Arial" w:cs="Arial"/>
        </w:rPr>
        <w:t xml:space="preserve"> rozumianej</w:t>
      </w:r>
      <w:r w:rsidR="000B76E3">
        <w:rPr>
          <w:rFonts w:eastAsia="Arial" w:cs="Arial"/>
        </w:rPr>
        <w:t>,</w:t>
      </w:r>
      <w:r>
        <w:rPr>
          <w:rFonts w:eastAsia="Arial" w:cs="Arial"/>
        </w:rPr>
        <w:t xml:space="preserve"> jako stopień osiągnięcia celów interwencji;</w:t>
      </w:r>
    </w:p>
    <w:p w14:paraId="73F51095" w14:textId="77777777" w:rsidR="006777A1" w:rsidRDefault="006777A1" w:rsidP="00DF64C7">
      <w:pPr>
        <w:pStyle w:val="Akapitzlist"/>
        <w:numPr>
          <w:ilvl w:val="0"/>
          <w:numId w:val="19"/>
        </w:numPr>
        <w:ind w:right="20"/>
        <w:jc w:val="left"/>
        <w:rPr>
          <w:rFonts w:eastAsia="Arial" w:cs="Arial"/>
        </w:rPr>
      </w:pPr>
      <w:r>
        <w:rPr>
          <w:rFonts w:eastAsia="Arial" w:cs="Arial"/>
          <w:b/>
        </w:rPr>
        <w:t>Efektywności</w:t>
      </w:r>
      <w:r>
        <w:rPr>
          <w:rFonts w:eastAsia="Arial" w:cs="Arial"/>
        </w:rPr>
        <w:t xml:space="preserve"> </w:t>
      </w:r>
      <w:r w:rsidR="000B76E3">
        <w:rPr>
          <w:rFonts w:eastAsia="Arial" w:cs="Arial"/>
        </w:rPr>
        <w:t>rozumianej, jako</w:t>
      </w:r>
      <w:r>
        <w:rPr>
          <w:rFonts w:eastAsia="Arial" w:cs="Arial"/>
        </w:rPr>
        <w:t xml:space="preserve"> relacja pomiędzy nakładami, kosztami oraz zasobami (finansowymi, ludzkimi, administracyjnymi) a osiągniętymi efektami interwencji;</w:t>
      </w:r>
    </w:p>
    <w:p w14:paraId="1B8A1F2A" w14:textId="77777777" w:rsidR="006777A1" w:rsidRDefault="006777A1" w:rsidP="00DF64C7">
      <w:pPr>
        <w:pStyle w:val="Akapitzlist"/>
        <w:numPr>
          <w:ilvl w:val="0"/>
          <w:numId w:val="19"/>
        </w:numPr>
        <w:ind w:right="20"/>
        <w:jc w:val="left"/>
        <w:rPr>
          <w:rFonts w:eastAsia="Arial" w:cs="Arial"/>
        </w:rPr>
      </w:pPr>
      <w:r>
        <w:rPr>
          <w:rFonts w:eastAsia="Arial" w:cs="Arial"/>
          <w:b/>
        </w:rPr>
        <w:t>Użyteczności</w:t>
      </w:r>
      <w:r>
        <w:rPr>
          <w:rFonts w:eastAsia="Arial" w:cs="Arial"/>
        </w:rPr>
        <w:t xml:space="preserve"> </w:t>
      </w:r>
      <w:r w:rsidR="000B76E3">
        <w:rPr>
          <w:rFonts w:eastAsia="Arial" w:cs="Arial"/>
        </w:rPr>
        <w:t>rozumianej, jako</w:t>
      </w:r>
      <w:r>
        <w:rPr>
          <w:rFonts w:eastAsia="Arial" w:cs="Arial"/>
        </w:rPr>
        <w:t xml:space="preserve"> całość rzeczywistych efektów wywołanych przez interwencję (zarówno planowanych, jak i nieplanowanych, ubocznych) w odniesieniu do wyzwań społeczno-ekonomicznych;</w:t>
      </w:r>
    </w:p>
    <w:p w14:paraId="1CDA4BA0" w14:textId="77777777" w:rsidR="006777A1" w:rsidRPr="006777A1" w:rsidRDefault="006777A1" w:rsidP="00DF64C7">
      <w:pPr>
        <w:pStyle w:val="Akapitzlist"/>
        <w:numPr>
          <w:ilvl w:val="0"/>
          <w:numId w:val="19"/>
        </w:numPr>
        <w:jc w:val="left"/>
        <w:rPr>
          <w:rFonts w:eastAsia="Arial" w:cs="Arial"/>
        </w:rPr>
      </w:pPr>
      <w:r>
        <w:rPr>
          <w:rFonts w:eastAsia="Arial" w:cs="Arial"/>
          <w:b/>
        </w:rPr>
        <w:lastRenderedPageBreak/>
        <w:t xml:space="preserve">Trwałości </w:t>
      </w:r>
      <w:r w:rsidR="000B76E3">
        <w:rPr>
          <w:rFonts w:eastAsia="Arial" w:cs="Arial"/>
        </w:rPr>
        <w:t>rozumianej, jako</w:t>
      </w:r>
      <w:r>
        <w:rPr>
          <w:rFonts w:eastAsia="Arial" w:cs="Arial"/>
        </w:rPr>
        <w:t xml:space="preserve"> długość trwania efektów i zmian po zakończeniu interwencji.</w:t>
      </w:r>
    </w:p>
    <w:p w14:paraId="7D9409E5" w14:textId="77777777" w:rsidR="00A464CB" w:rsidRDefault="00A464CB" w:rsidP="00DF64C7">
      <w:pPr>
        <w:pStyle w:val="Nagwek2"/>
        <w:jc w:val="left"/>
      </w:pPr>
      <w:bookmarkStart w:id="7" w:name="_Toc38034994"/>
      <w:r>
        <w:t>Zakres czasowy</w:t>
      </w:r>
      <w:bookmarkEnd w:id="7"/>
    </w:p>
    <w:p w14:paraId="334C8F0D" w14:textId="77777777" w:rsidR="006777A1" w:rsidRPr="006777A1" w:rsidRDefault="006777A1" w:rsidP="00DF64C7">
      <w:pPr>
        <w:jc w:val="left"/>
      </w:pPr>
      <w:r w:rsidRPr="007203FA">
        <w:t>Zakres czasowy badania obj</w:t>
      </w:r>
      <w:r w:rsidR="00A037AE">
        <w:t xml:space="preserve">ął </w:t>
      </w:r>
      <w:r w:rsidRPr="007203FA">
        <w:t>okres od początku wdra</w:t>
      </w:r>
      <w:r w:rsidR="00A037AE">
        <w:t>żania RPO WSL 2014-2020 do dnia</w:t>
      </w:r>
      <w:r w:rsidR="00BA71DC">
        <w:t xml:space="preserve"> </w:t>
      </w:r>
      <w:r w:rsidRPr="007203FA">
        <w:t>14 października 2019 r.</w:t>
      </w:r>
      <w:r w:rsidR="00CD5F87">
        <w:t xml:space="preserve"> (data podpisania umowy dot. niniejszego opracowania).</w:t>
      </w:r>
    </w:p>
    <w:p w14:paraId="1B18BF1D" w14:textId="77777777" w:rsidR="00A464CB" w:rsidRDefault="00A464CB" w:rsidP="00DF64C7">
      <w:pPr>
        <w:pStyle w:val="Nagwek2"/>
        <w:jc w:val="left"/>
      </w:pPr>
      <w:bookmarkStart w:id="8" w:name="_Toc38034995"/>
      <w:r>
        <w:t>Zakres przedmiotowy</w:t>
      </w:r>
      <w:bookmarkEnd w:id="8"/>
    </w:p>
    <w:p w14:paraId="1F6889C3" w14:textId="77777777" w:rsidR="006777A1" w:rsidRPr="006777A1" w:rsidRDefault="006777A1" w:rsidP="00DF64C7">
      <w:pPr>
        <w:jc w:val="left"/>
      </w:pPr>
      <w:r w:rsidRPr="007203FA">
        <w:t>Zakres przedmiotowy ewaluacji ob</w:t>
      </w:r>
      <w:r w:rsidR="00A037AE">
        <w:t>jął</w:t>
      </w:r>
      <w:r w:rsidRPr="007203FA">
        <w:t xml:space="preserve"> OP XI Wzmocnienie potencjału edukacyjnego oraz OP XII In</w:t>
      </w:r>
      <w:r w:rsidR="00A037AE">
        <w:t xml:space="preserve">frastruktura edukacyjna RPO WSL </w:t>
      </w:r>
      <w:r w:rsidRPr="007203FA">
        <w:t>oraz projekty rozporządzeń KE dla perspektywy 2020+.</w:t>
      </w:r>
    </w:p>
    <w:p w14:paraId="0879C999" w14:textId="77777777" w:rsidR="006E0705" w:rsidRDefault="006E0705" w:rsidP="00DF64C7">
      <w:pPr>
        <w:ind w:firstLine="360"/>
        <w:jc w:val="left"/>
        <w:rPr>
          <w:rFonts w:eastAsiaTheme="majorEastAsia" w:cstheme="majorBidi"/>
          <w:b/>
          <w:bCs/>
          <w:color w:val="E36C0A" w:themeColor="accent6" w:themeShade="BF"/>
          <w:sz w:val="24"/>
          <w:szCs w:val="24"/>
        </w:rPr>
      </w:pPr>
      <w:r>
        <w:br w:type="page"/>
      </w:r>
    </w:p>
    <w:p w14:paraId="43379832" w14:textId="77777777" w:rsidR="00AB67A3" w:rsidRDefault="00AB67A3" w:rsidP="00DF64C7">
      <w:pPr>
        <w:pStyle w:val="Nagwek1"/>
        <w:jc w:val="left"/>
      </w:pPr>
      <w:bookmarkStart w:id="9" w:name="_Toc38034996"/>
      <w:r w:rsidRPr="006E0705">
        <w:lastRenderedPageBreak/>
        <w:t>Metodologia bad</w:t>
      </w:r>
      <w:r w:rsidR="00A464CB" w:rsidRPr="006E0705">
        <w:t>ania</w:t>
      </w:r>
      <w:bookmarkEnd w:id="9"/>
    </w:p>
    <w:p w14:paraId="46D6970C" w14:textId="77777777" w:rsidR="00802A97" w:rsidRPr="00802A97" w:rsidRDefault="00802A97" w:rsidP="00DF64C7">
      <w:pPr>
        <w:jc w:val="left"/>
      </w:pPr>
      <w:r>
        <w:t xml:space="preserve">W ramach badania wykorzystano </w:t>
      </w:r>
      <w:r w:rsidR="007D3BC3">
        <w:t>następujące</w:t>
      </w:r>
      <w:r>
        <w:t xml:space="preserve"> metody badawcze:</w:t>
      </w:r>
    </w:p>
    <w:p w14:paraId="316D7BE1" w14:textId="77777777" w:rsidR="00A464CB" w:rsidRDefault="00A464CB" w:rsidP="00DF64C7">
      <w:pPr>
        <w:pStyle w:val="Nagwek2"/>
        <w:jc w:val="left"/>
      </w:pPr>
      <w:bookmarkStart w:id="10" w:name="_Toc38034997"/>
      <w:r>
        <w:t>Analiza danych zastanych (desk research)</w:t>
      </w:r>
      <w:bookmarkEnd w:id="10"/>
    </w:p>
    <w:p w14:paraId="50363C61" w14:textId="77777777" w:rsidR="006777A1" w:rsidRDefault="007D3BC3" w:rsidP="00DF64C7">
      <w:pPr>
        <w:jc w:val="left"/>
        <w:rPr>
          <w:rFonts w:cs="Arial"/>
        </w:rPr>
      </w:pPr>
      <w:r>
        <w:rPr>
          <w:rFonts w:cs="Arial"/>
        </w:rPr>
        <w:t>Z</w:t>
      </w:r>
      <w:r w:rsidR="006777A1">
        <w:rPr>
          <w:rFonts w:cs="Arial"/>
        </w:rPr>
        <w:t>akłada</w:t>
      </w:r>
      <w:r w:rsidR="00BB3390">
        <w:rPr>
          <w:rFonts w:cs="Arial"/>
        </w:rPr>
        <w:t>ła</w:t>
      </w:r>
      <w:r w:rsidR="006777A1">
        <w:rPr>
          <w:rFonts w:cs="Arial"/>
        </w:rPr>
        <w:t xml:space="preserve"> szczegółową analizę istnie</w:t>
      </w:r>
      <w:r>
        <w:rPr>
          <w:rFonts w:cs="Arial"/>
        </w:rPr>
        <w:t xml:space="preserve">jących już i dostępnych danych. </w:t>
      </w:r>
      <w:r w:rsidR="006777A1">
        <w:rPr>
          <w:rFonts w:cs="Arial"/>
        </w:rPr>
        <w:t>Metoda ta realizowana była dwutorowo, poprzez poddanie analizie:</w:t>
      </w:r>
    </w:p>
    <w:p w14:paraId="4BB746AE" w14:textId="77777777" w:rsidR="006777A1" w:rsidRDefault="006777A1" w:rsidP="00DF64C7">
      <w:pPr>
        <w:pStyle w:val="Akapitzlist"/>
        <w:numPr>
          <w:ilvl w:val="0"/>
          <w:numId w:val="15"/>
        </w:numPr>
        <w:jc w:val="left"/>
        <w:rPr>
          <w:rFonts w:cs="Arial"/>
        </w:rPr>
      </w:pPr>
      <w:r>
        <w:rPr>
          <w:rFonts w:cs="Arial"/>
        </w:rPr>
        <w:t>Dokumentów programowych, strategicznych, opracowań;</w:t>
      </w:r>
    </w:p>
    <w:p w14:paraId="511F5B33" w14:textId="77777777" w:rsidR="006777A1" w:rsidRDefault="006777A1" w:rsidP="00DF64C7">
      <w:pPr>
        <w:pStyle w:val="Akapitzlist"/>
        <w:numPr>
          <w:ilvl w:val="0"/>
          <w:numId w:val="15"/>
        </w:numPr>
        <w:jc w:val="left"/>
        <w:rPr>
          <w:rFonts w:cs="Arial"/>
        </w:rPr>
      </w:pPr>
      <w:r>
        <w:rPr>
          <w:rFonts w:cs="Arial"/>
        </w:rPr>
        <w:t>Dokumentów związanych z wdrażaniem RPO WSL 2014-2020.</w:t>
      </w:r>
    </w:p>
    <w:p w14:paraId="3AFA9323" w14:textId="77777777" w:rsidR="00BE2CE0" w:rsidRDefault="00BE2CE0" w:rsidP="00DF64C7">
      <w:pPr>
        <w:pStyle w:val="Akapitzlist"/>
        <w:jc w:val="left"/>
        <w:rPr>
          <w:rFonts w:cs="Arial"/>
        </w:rPr>
      </w:pPr>
    </w:p>
    <w:p w14:paraId="39EB76DD" w14:textId="77777777" w:rsidR="00FA0352" w:rsidRPr="00DA127E" w:rsidRDefault="00BE2CE0" w:rsidP="00DF64C7">
      <w:pPr>
        <w:jc w:val="left"/>
        <w:rPr>
          <w:rFonts w:cs="Arial"/>
        </w:rPr>
      </w:pPr>
      <w:r w:rsidRPr="00DA127E">
        <w:rPr>
          <w:rFonts w:cs="Arial"/>
        </w:rPr>
        <w:t>Szczegółowy w</w:t>
      </w:r>
      <w:r w:rsidR="006777A1" w:rsidRPr="00DA127E">
        <w:rPr>
          <w:rFonts w:cs="Arial"/>
        </w:rPr>
        <w:t>ykaz materiałów źródłowych</w:t>
      </w:r>
      <w:r w:rsidR="00854A72" w:rsidRPr="00DA127E">
        <w:rPr>
          <w:rFonts w:cs="Arial"/>
        </w:rPr>
        <w:t xml:space="preserve"> znajduje się w bib</w:t>
      </w:r>
      <w:r w:rsidR="008E4381">
        <w:rPr>
          <w:rFonts w:cs="Arial"/>
        </w:rPr>
        <w:t>l</w:t>
      </w:r>
      <w:r w:rsidR="00854A72" w:rsidRPr="00DA127E">
        <w:rPr>
          <w:rFonts w:cs="Arial"/>
        </w:rPr>
        <w:t>iografii umieszczonej na końcu niniejszego dokumentu.</w:t>
      </w:r>
    </w:p>
    <w:p w14:paraId="3EE351DA" w14:textId="77777777" w:rsidR="00A464CB" w:rsidRDefault="00A464CB" w:rsidP="00DF64C7">
      <w:pPr>
        <w:pStyle w:val="Nagwek2"/>
        <w:jc w:val="left"/>
      </w:pPr>
      <w:bookmarkStart w:id="11" w:name="page6"/>
      <w:bookmarkStart w:id="12" w:name="_Toc38034998"/>
      <w:bookmarkEnd w:id="11"/>
      <w:r>
        <w:t>Indywidualne wywiady pogłębione (IDI) z przedstawicielami IZ oraz IP RPO WSL 2014</w:t>
      </w:r>
      <w:r>
        <w:noBreakHyphen/>
        <w:t>2020</w:t>
      </w:r>
      <w:bookmarkEnd w:id="12"/>
    </w:p>
    <w:p w14:paraId="31C7FCD3" w14:textId="77777777" w:rsidR="006777A1" w:rsidRPr="00E966F9" w:rsidRDefault="006777A1" w:rsidP="00DF64C7">
      <w:pPr>
        <w:jc w:val="left"/>
        <w:rPr>
          <w:rFonts w:cs="Arial"/>
        </w:rPr>
      </w:pPr>
      <w:r w:rsidRPr="00E966F9">
        <w:rPr>
          <w:rFonts w:eastAsia="Times New Roman" w:cs="Arial"/>
          <w:lang w:eastAsia="pl-PL"/>
        </w:rPr>
        <w:t xml:space="preserve">W wywiadach </w:t>
      </w:r>
      <w:r w:rsidR="00BB3390">
        <w:rPr>
          <w:rFonts w:eastAsia="Times New Roman" w:cs="Arial"/>
          <w:lang w:eastAsia="pl-PL"/>
        </w:rPr>
        <w:t xml:space="preserve">pogłębionych </w:t>
      </w:r>
      <w:r w:rsidRPr="00E966F9">
        <w:rPr>
          <w:rFonts w:eastAsia="Times New Roman" w:cs="Arial"/>
          <w:lang w:eastAsia="pl-PL"/>
        </w:rPr>
        <w:t xml:space="preserve">wzięło udział </w:t>
      </w:r>
      <w:r w:rsidR="00BB3390">
        <w:rPr>
          <w:rFonts w:eastAsia="Times New Roman" w:cs="Arial"/>
          <w:lang w:eastAsia="pl-PL"/>
        </w:rPr>
        <w:t>20</w:t>
      </w:r>
      <w:r w:rsidRPr="00E966F9">
        <w:rPr>
          <w:rFonts w:eastAsia="Times New Roman" w:cs="Arial"/>
          <w:lang w:eastAsia="pl-PL"/>
        </w:rPr>
        <w:t xml:space="preserve"> osób posiadających bogatą wiedzę na temat zagadnień objętych badaniem.</w:t>
      </w:r>
    </w:p>
    <w:p w14:paraId="603B0251" w14:textId="77777777" w:rsidR="006777A1" w:rsidRPr="00E966F9" w:rsidRDefault="006777A1" w:rsidP="00DF64C7">
      <w:pPr>
        <w:pStyle w:val="Akapitzlist"/>
        <w:ind w:left="0"/>
        <w:jc w:val="left"/>
        <w:rPr>
          <w:rFonts w:cs="Arial"/>
        </w:rPr>
      </w:pPr>
      <w:r w:rsidRPr="00E966F9">
        <w:rPr>
          <w:rFonts w:cs="Arial"/>
        </w:rPr>
        <w:t>Zrealizowano:</w:t>
      </w:r>
    </w:p>
    <w:p w14:paraId="52D4CB32" w14:textId="77777777" w:rsidR="006777A1" w:rsidRPr="00E966F9" w:rsidRDefault="006777A1" w:rsidP="00DF64C7">
      <w:pPr>
        <w:pStyle w:val="Akapitzlist"/>
        <w:numPr>
          <w:ilvl w:val="0"/>
          <w:numId w:val="16"/>
        </w:numPr>
        <w:spacing w:before="120" w:after="120"/>
        <w:jc w:val="left"/>
        <w:rPr>
          <w:rFonts w:cs="Arial"/>
        </w:rPr>
      </w:pPr>
      <w:r w:rsidRPr="00E966F9">
        <w:rPr>
          <w:rFonts w:cs="Arial"/>
        </w:rPr>
        <w:t>10 wywiadów IDI</w:t>
      </w:r>
      <w:r w:rsidR="00367F85">
        <w:rPr>
          <w:rFonts w:cs="Arial"/>
        </w:rPr>
        <w:t xml:space="preserve"> </w:t>
      </w:r>
      <w:r w:rsidRPr="00E966F9">
        <w:rPr>
          <w:rFonts w:cs="Arial"/>
        </w:rPr>
        <w:t>z przedstawicielami IZ RPO WSL - Urz</w:t>
      </w:r>
      <w:r w:rsidR="007D3BC3">
        <w:rPr>
          <w:rFonts w:cs="Arial"/>
        </w:rPr>
        <w:t>ąd Marszałkowski Woj. Śląskiego;</w:t>
      </w:r>
    </w:p>
    <w:p w14:paraId="48841AF9" w14:textId="77777777" w:rsidR="006777A1" w:rsidRPr="00E966F9" w:rsidRDefault="006777A1" w:rsidP="00DF64C7">
      <w:pPr>
        <w:pStyle w:val="Akapitzlist"/>
        <w:numPr>
          <w:ilvl w:val="0"/>
          <w:numId w:val="16"/>
        </w:numPr>
        <w:spacing w:before="120" w:after="120"/>
        <w:jc w:val="left"/>
        <w:rPr>
          <w:rFonts w:cs="Arial"/>
        </w:rPr>
      </w:pPr>
      <w:r w:rsidRPr="00E966F9">
        <w:rPr>
          <w:rFonts w:cs="Arial"/>
        </w:rPr>
        <w:t>2 wywiady</w:t>
      </w:r>
      <w:r w:rsidR="00BB3390">
        <w:rPr>
          <w:rFonts w:cs="Arial"/>
        </w:rPr>
        <w:t xml:space="preserve"> IDI</w:t>
      </w:r>
      <w:r w:rsidRPr="00E966F9">
        <w:rPr>
          <w:rFonts w:cs="Arial"/>
        </w:rPr>
        <w:t xml:space="preserve"> z przedstawicielami IP – WUP RPO WSL (Wojewódzki Urząd Pracy w Katowicach)</w:t>
      </w:r>
      <w:r w:rsidR="007D3BC3">
        <w:rPr>
          <w:rFonts w:cs="Arial"/>
        </w:rPr>
        <w:t>;</w:t>
      </w:r>
    </w:p>
    <w:p w14:paraId="0F0BAC2F" w14:textId="77777777" w:rsidR="00BB3390" w:rsidRDefault="006777A1" w:rsidP="00DF64C7">
      <w:pPr>
        <w:pStyle w:val="Akapitzlist"/>
        <w:numPr>
          <w:ilvl w:val="0"/>
          <w:numId w:val="16"/>
        </w:numPr>
        <w:spacing w:before="120" w:after="120"/>
        <w:jc w:val="left"/>
        <w:rPr>
          <w:rFonts w:cs="Arial"/>
        </w:rPr>
      </w:pPr>
      <w:r w:rsidRPr="00E966F9">
        <w:rPr>
          <w:rFonts w:cs="Arial"/>
        </w:rPr>
        <w:t xml:space="preserve">4 wywiady IDI z przedstawicielami </w:t>
      </w:r>
      <w:r w:rsidR="007D3BC3">
        <w:rPr>
          <w:rFonts w:cs="Arial"/>
        </w:rPr>
        <w:t>IP</w:t>
      </w:r>
      <w:r w:rsidRPr="00E966F9">
        <w:rPr>
          <w:rFonts w:cs="Arial"/>
        </w:rPr>
        <w:t xml:space="preserve"> RPO WSL, tj. Zintegrowane Inwestycje Terytorialne/ Regionalne Inwestycje Terytorialne</w:t>
      </w:r>
      <w:r w:rsidR="00BB3390">
        <w:rPr>
          <w:rFonts w:cs="Arial"/>
        </w:rPr>
        <w:t>;</w:t>
      </w:r>
    </w:p>
    <w:p w14:paraId="4DD945DD" w14:textId="77777777" w:rsidR="00BB3390" w:rsidRDefault="00BB3390" w:rsidP="00DF64C7">
      <w:pPr>
        <w:pStyle w:val="Akapitzlist"/>
        <w:numPr>
          <w:ilvl w:val="0"/>
          <w:numId w:val="16"/>
        </w:numPr>
        <w:jc w:val="left"/>
      </w:pPr>
      <w:r>
        <w:t>3 wywiady TDI z opiekunami projektów pozakonkursowych oraz 1 wywiad TDI z przedstawicielem WUP (Wydział Kontroli).</w:t>
      </w:r>
    </w:p>
    <w:p w14:paraId="51591412" w14:textId="77777777" w:rsidR="006777A1" w:rsidRPr="00B60ED3" w:rsidRDefault="00A464CB" w:rsidP="00DF64C7">
      <w:pPr>
        <w:pStyle w:val="Nagwek2"/>
        <w:jc w:val="left"/>
      </w:pPr>
      <w:bookmarkStart w:id="13" w:name="_Toc38034999"/>
      <w:r>
        <w:t>Telefoniczne wywiady pogłębione (TDI) z beneficjentami</w:t>
      </w:r>
      <w:r w:rsidR="006777A1" w:rsidRPr="00B60ED3">
        <w:t>.</w:t>
      </w:r>
      <w:bookmarkEnd w:id="13"/>
    </w:p>
    <w:p w14:paraId="6163D6F8" w14:textId="77777777" w:rsidR="00BB3390" w:rsidRDefault="006777A1" w:rsidP="00DF64C7">
      <w:pPr>
        <w:jc w:val="left"/>
      </w:pPr>
      <w:r>
        <w:t>W</w:t>
      </w:r>
      <w:r w:rsidR="007D3BC3">
        <w:t xml:space="preserve"> telefonicznym wywiadzie pogłębionym </w:t>
      </w:r>
      <w:r>
        <w:t>wzięło udział 25 osób będących beneficjentami RPO WSL realizujący</w:t>
      </w:r>
      <w:r w:rsidR="007D3BC3">
        <w:t>ch</w:t>
      </w:r>
      <w:r>
        <w:t xml:space="preserve"> projekty w ramach OP XI i OP XII.</w:t>
      </w:r>
    </w:p>
    <w:p w14:paraId="439E2C6A" w14:textId="77777777" w:rsidR="00A464CB" w:rsidRDefault="00A464CB" w:rsidP="00DF64C7">
      <w:pPr>
        <w:pStyle w:val="Nagwek2"/>
        <w:jc w:val="left"/>
      </w:pPr>
      <w:bookmarkStart w:id="14" w:name="_Toc38035000"/>
      <w:r>
        <w:t>Wywiady internetowe wspomagane komputerowo/ telefonicznie (CAWI/CATI) z beneficjentami</w:t>
      </w:r>
      <w:bookmarkEnd w:id="14"/>
    </w:p>
    <w:p w14:paraId="261AA757" w14:textId="77777777" w:rsidR="006777A1" w:rsidRDefault="007D3BC3" w:rsidP="00DF64C7">
      <w:pPr>
        <w:jc w:val="left"/>
      </w:pPr>
      <w:r>
        <w:t xml:space="preserve">W pierwszej kolejności </w:t>
      </w:r>
      <w:r w:rsidR="005656B2">
        <w:t xml:space="preserve">do beneficjentów wystosowano ankietę internetową (CAWI). </w:t>
      </w:r>
      <w:r w:rsidR="006777A1">
        <w:t>Uczestnicy otrzym</w:t>
      </w:r>
      <w:r w:rsidR="005656B2">
        <w:t>ali</w:t>
      </w:r>
      <w:r w:rsidR="006777A1">
        <w:t xml:space="preserve"> wiadomość e-mailową z linkiem, pod którym można uzupełnić kwestionariusz ankiety.</w:t>
      </w:r>
      <w:r w:rsidR="006777A1" w:rsidRPr="003D1651">
        <w:t xml:space="preserve"> </w:t>
      </w:r>
      <w:r w:rsidR="006777A1">
        <w:t>Osoby, które nie zareagowały na maila, otrzymały</w:t>
      </w:r>
      <w:r w:rsidR="006777A1" w:rsidRPr="003D1651">
        <w:t xml:space="preserve"> wiadomości przypominające o badaniu, następnie zaś </w:t>
      </w:r>
      <w:r w:rsidR="005656B2">
        <w:t>kontaktowano się z nimi telefonicznie (metoda CATI).</w:t>
      </w:r>
    </w:p>
    <w:p w14:paraId="67927D5C" w14:textId="77777777" w:rsidR="006777A1" w:rsidRPr="006777A1" w:rsidRDefault="006777A1" w:rsidP="00DF64C7">
      <w:pPr>
        <w:jc w:val="left"/>
      </w:pPr>
      <w:r>
        <w:t>W badaniu wzięło udział 46</w:t>
      </w:r>
      <w:r w:rsidR="00EE31DA">
        <w:t>8</w:t>
      </w:r>
      <w:r>
        <w:t xml:space="preserve"> beneficjentów RPO WSL realizujących projekty w ramach OP XI i OP XII</w:t>
      </w:r>
      <w:r w:rsidR="00EE31DA">
        <w:t xml:space="preserve"> (zaproszenie do badania skierowane zostało do wszystkich beneficjentów </w:t>
      </w:r>
      <w:r w:rsidR="00EE31DA">
        <w:lastRenderedPageBreak/>
        <w:t>realizujących projekty w ramach badanych OP</w:t>
      </w:r>
      <w:r w:rsidR="003C0A38">
        <w:t>, tj. do 526 podmiotów, co wskazuje na bardzo wysoki poziom zwrotu wynoszący blisko 89%</w:t>
      </w:r>
      <w:r w:rsidR="00EE31DA">
        <w:t>)</w:t>
      </w:r>
      <w:r>
        <w:t>.</w:t>
      </w:r>
    </w:p>
    <w:p w14:paraId="79E01A92" w14:textId="77777777" w:rsidR="00A464CB" w:rsidRDefault="00A464CB" w:rsidP="00DF64C7">
      <w:pPr>
        <w:pStyle w:val="Nagwek2"/>
        <w:jc w:val="left"/>
      </w:pPr>
      <w:bookmarkStart w:id="15" w:name="_Toc38035001"/>
      <w:r>
        <w:t>Wywiady internetowe wspomagane komputerowo/ telefonicznie (CAWI/CATI) z dyrektorami/ nauczycielami reprezentującymi instytucje wsparte w ramach OP XI i XII RPO WSL 2014-2020</w:t>
      </w:r>
      <w:bookmarkEnd w:id="15"/>
    </w:p>
    <w:p w14:paraId="25683F50" w14:textId="77777777" w:rsidR="005656B2" w:rsidRDefault="005656B2" w:rsidP="00DF64C7">
      <w:pPr>
        <w:jc w:val="left"/>
      </w:pPr>
      <w:r>
        <w:t>W pierwszej kolejności do beneficjentów wystosowano ankietę internetową (CAWI). Uczestnicy otrzymali wiadomość e-mailową z linkiem, pod którym można</w:t>
      </w:r>
      <w:r w:rsidR="008E4381">
        <w:t xml:space="preserve"> było</w:t>
      </w:r>
      <w:r>
        <w:t xml:space="preserve"> uzupełnić kwestionariusz ankiety.</w:t>
      </w:r>
      <w:r w:rsidRPr="003D1651">
        <w:t xml:space="preserve"> </w:t>
      </w:r>
      <w:r>
        <w:t>Osoby, które nie zareagowały na maila, otrzymały</w:t>
      </w:r>
      <w:r w:rsidRPr="003D1651">
        <w:t xml:space="preserve"> wiadomości przypominające o badaniu, następnie zaś </w:t>
      </w:r>
      <w:r>
        <w:t>kontaktowano się z nimi telefonicznie (metoda CATI).</w:t>
      </w:r>
    </w:p>
    <w:p w14:paraId="2B51A5AC" w14:textId="77777777" w:rsidR="006777A1" w:rsidRPr="006777A1" w:rsidRDefault="006777A1" w:rsidP="00DF64C7">
      <w:pPr>
        <w:jc w:val="left"/>
      </w:pPr>
      <w:r>
        <w:t>W badaniu</w:t>
      </w:r>
      <w:r w:rsidRPr="003D1651">
        <w:t xml:space="preserve"> </w:t>
      </w:r>
      <w:r>
        <w:t xml:space="preserve">wzięło udział </w:t>
      </w:r>
      <w:r w:rsidR="00EE31DA">
        <w:t>736</w:t>
      </w:r>
      <w:r>
        <w:t xml:space="preserve"> dyrektorów i nauczycieli</w:t>
      </w:r>
      <w:r w:rsidRPr="003D1651">
        <w:t xml:space="preserve"> reprezentujący</w:t>
      </w:r>
      <w:r>
        <w:t>ch</w:t>
      </w:r>
      <w:r w:rsidRPr="003D1651">
        <w:t xml:space="preserve"> instytucje, które uzyskały wsparcie w ramach OP XI i XII RPO WSL 2014-2020</w:t>
      </w:r>
      <w:r w:rsidR="00DA5A51">
        <w:t xml:space="preserve"> (zaproszenie do badania skierowane zostało do wszystkich placówek wspartych w ramach badanych OP).</w:t>
      </w:r>
    </w:p>
    <w:p w14:paraId="764D8781" w14:textId="77777777" w:rsidR="00A464CB" w:rsidRDefault="00A464CB" w:rsidP="00DF64C7">
      <w:pPr>
        <w:pStyle w:val="Nagwek2"/>
        <w:jc w:val="left"/>
      </w:pPr>
      <w:bookmarkStart w:id="16" w:name="_Toc38035002"/>
      <w:r>
        <w:t>Metody kontrfaktyczne</w:t>
      </w:r>
      <w:bookmarkEnd w:id="16"/>
    </w:p>
    <w:p w14:paraId="17545FC5" w14:textId="77777777" w:rsidR="006777A1" w:rsidRDefault="006777A1" w:rsidP="00DF64C7">
      <w:pPr>
        <w:jc w:val="left"/>
      </w:pPr>
      <w:r w:rsidRPr="00CD3F21">
        <w:t xml:space="preserve">W ramach metody kontrfaktycznej </w:t>
      </w:r>
      <w:r w:rsidR="005656B2">
        <w:t>wykorzystano</w:t>
      </w:r>
      <w:r w:rsidRPr="00CD3F21">
        <w:t xml:space="preserve"> badanie</w:t>
      </w:r>
      <w:r w:rsidR="00DA5A51">
        <w:t xml:space="preserve"> CAWI/</w:t>
      </w:r>
      <w:r w:rsidRPr="00CD3F21">
        <w:t xml:space="preserve">CATI z </w:t>
      </w:r>
      <w:r>
        <w:t>1</w:t>
      </w:r>
      <w:r w:rsidR="00DA5A51">
        <w:t>52</w:t>
      </w:r>
      <w:r>
        <w:t xml:space="preserve"> </w:t>
      </w:r>
      <w:r w:rsidR="006E0705">
        <w:t>dyrektorami i </w:t>
      </w:r>
      <w:r w:rsidRPr="00CD3F21">
        <w:t>nauczycielami</w:t>
      </w:r>
      <w:r>
        <w:t xml:space="preserve"> korzystającymi ze wsparcia</w:t>
      </w:r>
      <w:r w:rsidR="003A5968">
        <w:t xml:space="preserve"> w ramach Działania 12.2</w:t>
      </w:r>
      <w:r w:rsidRPr="00CD3F21">
        <w:t xml:space="preserve">, </w:t>
      </w:r>
      <w:r w:rsidR="005656B2">
        <w:t>przeprowadzono także</w:t>
      </w:r>
      <w:r w:rsidRPr="00CD3F21">
        <w:t xml:space="preserve"> badanie z</w:t>
      </w:r>
      <w:r>
        <w:t xml:space="preserve">e </w:t>
      </w:r>
      <w:r w:rsidR="00DA5A51">
        <w:t>84</w:t>
      </w:r>
      <w:r w:rsidRPr="00CD3F21">
        <w:t xml:space="preserve"> dyrektorami/nauczycielami szkół i innych placówek systemu oświaty, które nie realizowały projektów w zakr</w:t>
      </w:r>
      <w:r w:rsidR="004A7ABF">
        <w:t>esie edukacji w ramach RPO WSL</w:t>
      </w:r>
      <w:r w:rsidR="003A5968">
        <w:t xml:space="preserve"> (</w:t>
      </w:r>
      <w:r w:rsidR="003A5968" w:rsidRPr="003A5968">
        <w:t>tzw. bliźniaków statystycznych względem placówek wspartych w Działaniu 12.2</w:t>
      </w:r>
      <w:r w:rsidR="003A5968">
        <w:t>)</w:t>
      </w:r>
      <w:r w:rsidR="004A7ABF">
        <w:t>.</w:t>
      </w:r>
    </w:p>
    <w:p w14:paraId="1AEABE71" w14:textId="77777777" w:rsidR="00A464CB" w:rsidRDefault="00A464CB" w:rsidP="00DF64C7">
      <w:pPr>
        <w:pStyle w:val="Nagwek2"/>
        <w:jc w:val="left"/>
      </w:pPr>
      <w:bookmarkStart w:id="17" w:name="_Toc38035003"/>
      <w:r>
        <w:t>Panel delficki</w:t>
      </w:r>
      <w:bookmarkEnd w:id="17"/>
    </w:p>
    <w:p w14:paraId="3A98BF88" w14:textId="77777777" w:rsidR="006777A1" w:rsidRPr="006777A1" w:rsidRDefault="006777A1" w:rsidP="00DF64C7">
      <w:pPr>
        <w:jc w:val="left"/>
      </w:pPr>
      <w:r>
        <w:t xml:space="preserve">W </w:t>
      </w:r>
      <w:r w:rsidR="005656B2">
        <w:t xml:space="preserve">wieloetapowym </w:t>
      </w:r>
      <w:r>
        <w:t>badaniu wzięło udział</w:t>
      </w:r>
      <w:r w:rsidRPr="00362880">
        <w:t xml:space="preserve"> </w:t>
      </w:r>
      <w:r>
        <w:t>6 ekspertów</w:t>
      </w:r>
      <w:r w:rsidR="003A5968">
        <w:t xml:space="preserve"> zewnętrznych</w:t>
      </w:r>
      <w:r>
        <w:t>, którzy posiadali</w:t>
      </w:r>
      <w:r w:rsidR="005243B5">
        <w:t>,</w:t>
      </w:r>
      <w:r w:rsidRPr="00362880">
        <w:t xml:space="preserve"> co najmniej 3-letnie doświadczenie zawodowe w zakresie projektowania działań edukacyjnych dysponują</w:t>
      </w:r>
      <w:r>
        <w:t>cy przy tym</w:t>
      </w:r>
      <w:r w:rsidRPr="00362880">
        <w:t xml:space="preserve"> dorobkiem naukowym, wiedzą i doświadczeniem w jak największej liczbie obszarów objętych ewaluacją. </w:t>
      </w:r>
    </w:p>
    <w:p w14:paraId="10F88D04" w14:textId="77777777" w:rsidR="00A464CB" w:rsidRDefault="00A464CB" w:rsidP="00DF64C7">
      <w:pPr>
        <w:pStyle w:val="Nagwek2"/>
        <w:jc w:val="left"/>
      </w:pPr>
      <w:bookmarkStart w:id="18" w:name="_Toc38035004"/>
      <w:r>
        <w:t>Wywiad grupowy</w:t>
      </w:r>
      <w:bookmarkEnd w:id="18"/>
    </w:p>
    <w:p w14:paraId="2A46864E" w14:textId="77777777" w:rsidR="006777A1" w:rsidRDefault="006777A1" w:rsidP="00DF64C7">
      <w:pPr>
        <w:jc w:val="left"/>
      </w:pPr>
      <w:r>
        <w:t xml:space="preserve">Po przedstawieniu pozostałych metod badawczych przeprowadzony został wywiad grupowy z przedstawicielami IZ i IP RPO WSL. Spotkanie miało na celu zaprezentowanie wyników badania oraz poddanie zaproponowanych rekomendacji konsultacjom. </w:t>
      </w:r>
    </w:p>
    <w:p w14:paraId="6E9B2C7C" w14:textId="77777777" w:rsidR="006777A1" w:rsidRDefault="006777A1" w:rsidP="00DF64C7">
      <w:pPr>
        <w:jc w:val="left"/>
      </w:pPr>
      <w:r>
        <w:t xml:space="preserve">Spotkanie składało się z dwóch części, pierwszą z nich </w:t>
      </w:r>
      <w:r w:rsidR="006E0705">
        <w:t>stanowiła prezentacja wyników w </w:t>
      </w:r>
      <w:r>
        <w:t xml:space="preserve">postaci prezentacji multimedialnej, drugą zaś częścią była </w:t>
      </w:r>
      <w:r w:rsidR="006E0705">
        <w:t>ustrukturyzowana dyskusja w </w:t>
      </w:r>
      <w:r>
        <w:t>formie wywiadu grupowego.</w:t>
      </w:r>
    </w:p>
    <w:p w14:paraId="52067C32" w14:textId="7FECBA18" w:rsidR="00721B08" w:rsidRDefault="00721B08" w:rsidP="00DF64C7">
      <w:pPr>
        <w:jc w:val="left"/>
        <w:rPr>
          <w:rFonts w:eastAsiaTheme="majorEastAsia" w:cstheme="majorBidi"/>
          <w:b/>
          <w:bCs/>
          <w:color w:val="E36C0A" w:themeColor="accent6" w:themeShade="BF"/>
          <w:sz w:val="24"/>
          <w:szCs w:val="24"/>
        </w:rPr>
      </w:pPr>
    </w:p>
    <w:p w14:paraId="37AC382F" w14:textId="39BD614D" w:rsidR="009C3481" w:rsidRDefault="009C3481" w:rsidP="00DF64C7">
      <w:pPr>
        <w:jc w:val="left"/>
        <w:rPr>
          <w:rFonts w:eastAsiaTheme="majorEastAsia" w:cstheme="majorBidi"/>
          <w:b/>
          <w:bCs/>
          <w:color w:val="E36C0A" w:themeColor="accent6" w:themeShade="BF"/>
          <w:sz w:val="24"/>
          <w:szCs w:val="24"/>
        </w:rPr>
      </w:pPr>
    </w:p>
    <w:p w14:paraId="314A91AD" w14:textId="58B34240" w:rsidR="009C3481" w:rsidRDefault="009C3481" w:rsidP="00DF64C7">
      <w:pPr>
        <w:jc w:val="left"/>
        <w:rPr>
          <w:rFonts w:eastAsiaTheme="majorEastAsia" w:cstheme="majorBidi"/>
          <w:b/>
          <w:bCs/>
          <w:color w:val="E36C0A" w:themeColor="accent6" w:themeShade="BF"/>
          <w:sz w:val="24"/>
          <w:szCs w:val="24"/>
        </w:rPr>
      </w:pPr>
    </w:p>
    <w:p w14:paraId="70016A30" w14:textId="77777777" w:rsidR="009C3481" w:rsidRDefault="009C3481" w:rsidP="00DF64C7">
      <w:pPr>
        <w:jc w:val="left"/>
        <w:rPr>
          <w:rFonts w:eastAsiaTheme="majorEastAsia" w:cstheme="majorBidi"/>
          <w:b/>
          <w:bCs/>
          <w:color w:val="E36C0A" w:themeColor="accent6" w:themeShade="BF"/>
          <w:sz w:val="24"/>
          <w:szCs w:val="24"/>
        </w:rPr>
      </w:pPr>
    </w:p>
    <w:p w14:paraId="5DD75A69" w14:textId="77777777" w:rsidR="00A464CB" w:rsidRDefault="00A464CB" w:rsidP="00DF64C7">
      <w:pPr>
        <w:pStyle w:val="Nagwek1"/>
        <w:jc w:val="left"/>
      </w:pPr>
      <w:bookmarkStart w:id="19" w:name="_Toc38035005"/>
      <w:r>
        <w:lastRenderedPageBreak/>
        <w:t>Wyniki badania</w:t>
      </w:r>
      <w:bookmarkEnd w:id="19"/>
    </w:p>
    <w:p w14:paraId="29B45C97" w14:textId="77777777" w:rsidR="00A464CB" w:rsidRDefault="00A464CB" w:rsidP="00DF64C7">
      <w:pPr>
        <w:pStyle w:val="Nagwek2"/>
        <w:jc w:val="left"/>
        <w:rPr>
          <w:rFonts w:cs="Arial"/>
          <w:szCs w:val="22"/>
        </w:rPr>
      </w:pPr>
      <w:bookmarkStart w:id="20" w:name="_Toc38035006"/>
      <w:r>
        <w:t xml:space="preserve">OBSZAR I. </w:t>
      </w:r>
      <w:r w:rsidRPr="00E456BB">
        <w:t>Ocena dotychczasowych efektów wsparcia</w:t>
      </w:r>
      <w:r>
        <w:t xml:space="preserve"> w </w:t>
      </w:r>
      <w:r w:rsidRPr="00E456BB">
        <w:t xml:space="preserve">ramach </w:t>
      </w:r>
      <w:r>
        <w:t>OP</w:t>
      </w:r>
      <w:r w:rsidRPr="00E456BB">
        <w:t xml:space="preserve"> XI </w:t>
      </w:r>
      <w:r w:rsidRPr="008C1592">
        <w:rPr>
          <w:i/>
        </w:rPr>
        <w:t>Wzmocnienie potencjału edukacyjnego</w:t>
      </w:r>
      <w:r>
        <w:t xml:space="preserve"> i OP</w:t>
      </w:r>
      <w:r w:rsidRPr="00E456BB">
        <w:t xml:space="preserve"> XII </w:t>
      </w:r>
      <w:r w:rsidRPr="008C1592">
        <w:rPr>
          <w:i/>
        </w:rPr>
        <w:t>Infrastruktura edukacyjna</w:t>
      </w:r>
      <w:r w:rsidR="006E0705">
        <w:rPr>
          <w:i/>
        </w:rPr>
        <w:t xml:space="preserve"> </w:t>
      </w:r>
      <w:r w:rsidR="006E0705">
        <w:t xml:space="preserve">w </w:t>
      </w:r>
      <w:r w:rsidRPr="00E456BB">
        <w:t xml:space="preserve">ramach </w:t>
      </w:r>
      <w:r w:rsidRPr="00610089">
        <w:rPr>
          <w:rFonts w:cs="Arial"/>
          <w:szCs w:val="22"/>
        </w:rPr>
        <w:t>RPO WSL 2014-2020</w:t>
      </w:r>
      <w:bookmarkEnd w:id="20"/>
    </w:p>
    <w:p w14:paraId="0750DCA8" w14:textId="77777777" w:rsidR="00DA2E7D" w:rsidRDefault="00DA2E7D" w:rsidP="00DF64C7">
      <w:pPr>
        <w:pStyle w:val="Nagwek3"/>
        <w:spacing w:line="271" w:lineRule="auto"/>
        <w:ind w:left="426"/>
        <w:jc w:val="left"/>
      </w:pPr>
      <w:bookmarkStart w:id="21" w:name="_Toc38035007"/>
      <w:bookmarkStart w:id="22" w:name="_Toc24466784"/>
      <w:bookmarkStart w:id="23" w:name="_Toc25664295"/>
      <w:bookmarkStart w:id="24" w:name="_Toc26526276"/>
      <w:r w:rsidRPr="00A42CE5">
        <w:t>Czy zaplanowane w Programie nakłady (m.in. finansowe) i działania doprowadziły do zaplanowanych efektów mających odpowiedzieć na zdiagnozowane problemy? Czy wystąpiły założone relacje przyczynowo</w:t>
      </w:r>
      <w:r w:rsidRPr="00A42CE5">
        <w:noBreakHyphen/>
        <w:t>skutkowe?</w:t>
      </w:r>
      <w:bookmarkEnd w:id="21"/>
    </w:p>
    <w:p w14:paraId="442DDDAA" w14:textId="77777777" w:rsidR="00004862" w:rsidRDefault="00004862" w:rsidP="00DF64C7">
      <w:pPr>
        <w:jc w:val="left"/>
      </w:pPr>
      <w:r>
        <w:t xml:space="preserve">Zgodnie z wynikami diagnozy przeprowadzonej na potrzeby </w:t>
      </w:r>
      <w:r w:rsidRPr="00574F8D">
        <w:rPr>
          <w:i/>
        </w:rPr>
        <w:t>Regionalnego Programu Operacyjnego Województwa Śląskiego na lata 2014-2020</w:t>
      </w:r>
      <w:r>
        <w:t>, do głównych wyzwań regionu w zakresie obszaru edukacji zaliczono</w:t>
      </w:r>
      <w:r>
        <w:rPr>
          <w:rStyle w:val="Odwoanieprzypisudolnego"/>
        </w:rPr>
        <w:footnoteReference w:id="2"/>
      </w:r>
      <w:r>
        <w:t>:</w:t>
      </w:r>
    </w:p>
    <w:p w14:paraId="2E9DAB49" w14:textId="77777777" w:rsidR="00004862" w:rsidRDefault="00004862" w:rsidP="00DF64C7">
      <w:pPr>
        <w:pStyle w:val="Akapitzlist"/>
        <w:numPr>
          <w:ilvl w:val="0"/>
          <w:numId w:val="25"/>
        </w:numPr>
        <w:jc w:val="left"/>
      </w:pPr>
      <w:r>
        <w:t>Niską dynamikę wzrostu liczby miejsc w placówkach przedszkolnych oraz dysproporcje w dostępie do edukacji przedszkolnej między obszarami miejskimi i wiejskimi;</w:t>
      </w:r>
    </w:p>
    <w:p w14:paraId="71C0D1E7" w14:textId="77777777" w:rsidR="00004862" w:rsidRDefault="00004862" w:rsidP="00DF64C7">
      <w:pPr>
        <w:pStyle w:val="Akapitzlist"/>
        <w:numPr>
          <w:ilvl w:val="0"/>
          <w:numId w:val="25"/>
        </w:numPr>
        <w:jc w:val="left"/>
      </w:pPr>
      <w:r>
        <w:t>Niewystarczającą jakość zajęć realizowanych w szkołach, przekładającą się na wynik egzaminów/sprawdzianów;</w:t>
      </w:r>
    </w:p>
    <w:p w14:paraId="0D418893" w14:textId="77777777" w:rsidR="00004862" w:rsidRDefault="00004862" w:rsidP="00DF64C7">
      <w:pPr>
        <w:pStyle w:val="Akapitzlist"/>
        <w:numPr>
          <w:ilvl w:val="0"/>
          <w:numId w:val="25"/>
        </w:numPr>
        <w:jc w:val="left"/>
      </w:pPr>
      <w:r>
        <w:t>Niewystarczające dostosowanie edukacji zawodowej do potrzeb rynku pracy;</w:t>
      </w:r>
    </w:p>
    <w:p w14:paraId="26213A68" w14:textId="77777777" w:rsidR="00004862" w:rsidRDefault="00004862" w:rsidP="00DF64C7">
      <w:pPr>
        <w:pStyle w:val="Akapitzlist"/>
        <w:numPr>
          <w:ilvl w:val="0"/>
          <w:numId w:val="25"/>
        </w:numPr>
        <w:jc w:val="left"/>
      </w:pPr>
      <w:r>
        <w:t>Niską aktywność osób dorosłych (po 25 roku życia) w kształceniu lub szkoleniu.</w:t>
      </w:r>
    </w:p>
    <w:p w14:paraId="63CA7ACD" w14:textId="74A5957D" w:rsidR="00DE73C9" w:rsidRDefault="00004862" w:rsidP="00DF64C7">
      <w:pPr>
        <w:jc w:val="left"/>
      </w:pPr>
      <w:r>
        <w:t>Na przestrzeni lat 2014-2018 o 4 p.p. wzrósł</w:t>
      </w:r>
      <w:r w:rsidR="00116ACA">
        <w:t xml:space="preserve"> </w:t>
      </w:r>
      <w:r>
        <w:t>odsetek dzieci objętych wychowaniem przedszkolnym</w:t>
      </w:r>
      <w:r w:rsidR="00E82B6D" w:rsidRPr="00E82B6D">
        <w:t xml:space="preserve"> na terenie województwa śląskiego</w:t>
      </w:r>
      <w:r w:rsidRPr="00E82B6D">
        <w:t>,</w:t>
      </w:r>
      <w:r>
        <w:t xml:space="preserve"> co świadczy o znaczącej poprawie w tym zakresie względem sytuacji, która miała miejsce przed rozpoczęciem Programu.</w:t>
      </w:r>
      <w:r w:rsidR="00DE73C9">
        <w:t xml:space="preserve"> Mimo niekorzystnych tendencji demograficznych, na przestrzeni lat 2014-2018 o 85 312 os</w:t>
      </w:r>
      <w:r w:rsidR="00AB32A3">
        <w:t xml:space="preserve">ób </w:t>
      </w:r>
      <w:r w:rsidR="00DE73C9">
        <w:t>wzrosła także liczba uczniów w szkołach podstawowych</w:t>
      </w:r>
      <w:r w:rsidR="002375E8">
        <w:t>, co jednak w znacznej mierze spowodowane było reformą oświaty z 2017 r</w:t>
      </w:r>
      <w:r w:rsidR="00DE73C9">
        <w:t>.</w:t>
      </w:r>
      <w:r w:rsidR="002375E8">
        <w:t>, likwidującej gimnazja.</w:t>
      </w:r>
      <w:r w:rsidR="00DE73C9">
        <w:t xml:space="preserve"> </w:t>
      </w:r>
      <w:r w:rsidR="002375E8">
        <w:t>Jednocześnie, n</w:t>
      </w:r>
      <w:r w:rsidR="00DE73C9">
        <w:t xml:space="preserve">a przestrzeni lat systematycznie spadała jednak liczba szkół ponadgimnazjalnych, co związane </w:t>
      </w:r>
      <w:r w:rsidR="008E4381">
        <w:t xml:space="preserve">było </w:t>
      </w:r>
      <w:r w:rsidR="00DE73C9">
        <w:t>z</w:t>
      </w:r>
      <w:r w:rsidR="002375E8">
        <w:t xml:space="preserve"> niekorzystnymi zmianami demograficznymi, dotykającymi wszystkie rodzaje placówek szkolnych</w:t>
      </w:r>
      <w:r w:rsidR="00DE73C9">
        <w:t xml:space="preserve">. </w:t>
      </w:r>
    </w:p>
    <w:p w14:paraId="69D5EE33" w14:textId="77777777" w:rsidR="002375E8" w:rsidRDefault="00DE73C9" w:rsidP="00DF64C7">
      <w:pPr>
        <w:jc w:val="left"/>
      </w:pPr>
      <w:r>
        <w:t xml:space="preserve">Od kilku lat prowadzone są działania w celu promocji kształcenia zawodowego, </w:t>
      </w:r>
      <w:r w:rsidR="006610D8">
        <w:t xml:space="preserve">wynikające z </w:t>
      </w:r>
      <w:r w:rsidR="005243B5">
        <w:t>założeń Programu</w:t>
      </w:r>
      <w:r w:rsidRPr="00574F8D">
        <w:rPr>
          <w:i/>
        </w:rPr>
        <w:t xml:space="preserve"> Rozwoju Szkolnictwa Zawodowego Województwa Śląskiego na lata 2014-2020</w:t>
      </w:r>
      <w:r>
        <w:t>. Program ten pokazuje, że mocną stroną szkolnictwa zawodowego jest m.in. wiele sprawdzonych form współpracy szkół z otoczeniem biznesowym, bogata pod względem ilości i adekwatna do potrzeb oferta kierunków kształcenia oraz doświadczona i otwarta na pogłębianie wiedzy kadra dydaktyczna.</w:t>
      </w:r>
      <w:r w:rsidR="00D11995">
        <w:t xml:space="preserve"> </w:t>
      </w:r>
    </w:p>
    <w:p w14:paraId="4F2011AA" w14:textId="77777777" w:rsidR="002375E8" w:rsidRDefault="002375E8" w:rsidP="00DF64C7">
      <w:pPr>
        <w:pStyle w:val="wyrrod"/>
        <w:jc w:val="left"/>
        <w:rPr>
          <w:szCs w:val="20"/>
          <w:u w:val="none"/>
        </w:rPr>
      </w:pPr>
      <w:r w:rsidRPr="007B5F7E">
        <w:rPr>
          <w:szCs w:val="20"/>
          <w:u w:val="none"/>
        </w:rPr>
        <w:t>W dalszej części rozdziału przedstawiono szczegółową diagnozę sytuacji społeczno-gospodarczej w regionie</w:t>
      </w:r>
      <w:r w:rsidR="00AB32A3">
        <w:rPr>
          <w:szCs w:val="20"/>
          <w:u w:val="none"/>
        </w:rPr>
        <w:t xml:space="preserve"> (przeprowadzoną na podstawie najaktualniejszych danych, dostępnych w momencie sporządzenia raportu)</w:t>
      </w:r>
      <w:r w:rsidRPr="007B5F7E">
        <w:rPr>
          <w:szCs w:val="20"/>
          <w:u w:val="none"/>
        </w:rPr>
        <w:t>.</w:t>
      </w:r>
    </w:p>
    <w:p w14:paraId="1C527942" w14:textId="77777777" w:rsidR="007B6935" w:rsidRDefault="007B6935" w:rsidP="00DF64C7">
      <w:pPr>
        <w:pStyle w:val="wyrrod"/>
        <w:jc w:val="left"/>
        <w:rPr>
          <w:szCs w:val="20"/>
          <w:u w:val="none"/>
        </w:rPr>
      </w:pPr>
    </w:p>
    <w:p w14:paraId="23028BEE" w14:textId="77777777" w:rsidR="002375E8" w:rsidRPr="006E0705" w:rsidRDefault="002375E8" w:rsidP="00DF64C7">
      <w:pPr>
        <w:pStyle w:val="Wyrnienie"/>
        <w:jc w:val="left"/>
      </w:pPr>
      <w:r w:rsidRPr="006E0705">
        <w:lastRenderedPageBreak/>
        <w:t>Edukacja przedszkolna</w:t>
      </w:r>
    </w:p>
    <w:p w14:paraId="33BEF0B8" w14:textId="77777777" w:rsidR="002375E8" w:rsidRDefault="002375E8" w:rsidP="00DF64C7">
      <w:pPr>
        <w:jc w:val="left"/>
      </w:pPr>
      <w:r>
        <w:t>Wychowanie przedszkolne obejmuje: przedszkola (łącznie ze specjalnymi), zespoły wychowania przedszkolnego, punkty przedszkolne, oddziały przedszkolne w szkołach podstawowych.</w:t>
      </w:r>
    </w:p>
    <w:p w14:paraId="3F2592B8" w14:textId="77777777" w:rsidR="002375E8" w:rsidRDefault="002375E8" w:rsidP="00DF64C7">
      <w:pPr>
        <w:jc w:val="left"/>
      </w:pPr>
      <w:r>
        <w:t>Na przestrzeni lat 2014-2018 liczba dzieci w wieku 3-5 lat w placówkach wychowania przedszkolnego przypadających na 1 tys. dzieci w tym wieku wahała się, ostatecznie jednak w 2018 roku przyjęła wyższą wartość niż w roku 2014. Równocześnie jednak na przestrzeni lat spadła liczba dzieci w wieku 3-5 lat przypadających na jedno miejsce w placówce wychowania przedszkolnego, co oznacza, że na terenie województwa śląskiego wzrosła dostępność miejsc przedszkolnych.</w:t>
      </w:r>
    </w:p>
    <w:p w14:paraId="1F7A6873" w14:textId="3B7097CD" w:rsidR="002375E8" w:rsidRDefault="00100130" w:rsidP="00DF64C7">
      <w:pPr>
        <w:pStyle w:val="Legenda"/>
        <w:spacing w:line="271" w:lineRule="auto"/>
        <w:jc w:val="left"/>
      </w:pPr>
      <w:r>
        <w:t xml:space="preserve">Tabela </w:t>
      </w:r>
      <w:r w:rsidR="000C2F92">
        <w:rPr>
          <w:noProof/>
        </w:rPr>
        <w:fldChar w:fldCharType="begin"/>
      </w:r>
      <w:r w:rsidR="000C2F92">
        <w:rPr>
          <w:noProof/>
        </w:rPr>
        <w:instrText xml:space="preserve"> SEQ Tabela \* ARABIC </w:instrText>
      </w:r>
      <w:r w:rsidR="000C2F92">
        <w:rPr>
          <w:noProof/>
        </w:rPr>
        <w:fldChar w:fldCharType="separate"/>
      </w:r>
      <w:r w:rsidR="00A8147E">
        <w:rPr>
          <w:noProof/>
        </w:rPr>
        <w:t>1</w:t>
      </w:r>
      <w:r w:rsidR="000C2F92">
        <w:rPr>
          <w:noProof/>
        </w:rPr>
        <w:fldChar w:fldCharType="end"/>
      </w:r>
      <w:r>
        <w:t xml:space="preserve">. </w:t>
      </w:r>
      <w:r w:rsidR="002375E8" w:rsidRPr="00DA052F">
        <w:t>Liczba dzieci w wieku 3-5 lat w placówkach wychowania prze</w:t>
      </w:r>
      <w:r w:rsidR="002375E8">
        <w:t>dszkolnego oraz liczba dzieci w </w:t>
      </w:r>
      <w:r w:rsidR="002375E8" w:rsidRPr="00DA052F">
        <w:t>wieku 3-5 lat przypadających na jedno miejsce wychowania przedszkolnego</w:t>
      </w:r>
      <w:r w:rsidR="002375E8">
        <w:t xml:space="preserve"> w województwie śląskim w latach 2014-2018</w:t>
      </w:r>
    </w:p>
    <w:tbl>
      <w:tblPr>
        <w:tblStyle w:val="Tabelasiatki5ciemnaakcent61"/>
        <w:tblW w:w="9072" w:type="dxa"/>
        <w:tblLook w:val="04A0" w:firstRow="1" w:lastRow="0" w:firstColumn="1" w:lastColumn="0" w:noHBand="0" w:noVBand="1"/>
        <w:tblCaption w:val="Liczba dzieci w wieku 3-5 lat w placówkach wychowania przedszkolnego oraz liczba dzieci w wieku 3-5 lat przypadających na jedno miejsce wychowania przedszkolnego w województwie śląskim w latach 2014-2018"/>
        <w:tblDescription w:val="Tabela przedstawia liczbę dzieci w wieku od 3 do 5 lat, które uczęszczały do placówek wychowania przedszkolnego oraz liczbę dzieci w tym samym przedziale wiekowym, które przypadały na jedno miejsce wychowania przedszkolnego. Wskazywane wartości podano dla lat 2014-2018."/>
      </w:tblPr>
      <w:tblGrid>
        <w:gridCol w:w="4786"/>
        <w:gridCol w:w="857"/>
        <w:gridCol w:w="857"/>
        <w:gridCol w:w="857"/>
        <w:gridCol w:w="857"/>
        <w:gridCol w:w="858"/>
      </w:tblGrid>
      <w:tr w:rsidR="002375E8" w:rsidRPr="00411C29" w14:paraId="6279935F" w14:textId="77777777" w:rsidTr="00E85F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tcPr>
          <w:p w14:paraId="3605C1D2" w14:textId="77777777" w:rsidR="002375E8" w:rsidRPr="00411C29" w:rsidRDefault="002375E8" w:rsidP="00DF64C7">
            <w:pPr>
              <w:keepNext/>
              <w:jc w:val="left"/>
              <w:rPr>
                <w:rFonts w:cs="Arial"/>
                <w:color w:val="000000" w:themeColor="text1"/>
                <w:sz w:val="20"/>
                <w:szCs w:val="20"/>
              </w:rPr>
            </w:pPr>
          </w:p>
        </w:tc>
        <w:tc>
          <w:tcPr>
            <w:tcW w:w="857" w:type="dxa"/>
          </w:tcPr>
          <w:p w14:paraId="15E9580E" w14:textId="77777777" w:rsidR="002375E8" w:rsidRPr="006B07F7" w:rsidRDefault="002375E8"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6B07F7">
              <w:rPr>
                <w:rFonts w:cs="Arial"/>
                <w:sz w:val="20"/>
                <w:szCs w:val="20"/>
              </w:rPr>
              <w:t>2014</w:t>
            </w:r>
          </w:p>
        </w:tc>
        <w:tc>
          <w:tcPr>
            <w:tcW w:w="857" w:type="dxa"/>
          </w:tcPr>
          <w:p w14:paraId="33E3BE7E" w14:textId="77777777" w:rsidR="002375E8" w:rsidRPr="006B07F7" w:rsidRDefault="002375E8"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6B07F7">
              <w:rPr>
                <w:rFonts w:cs="Arial"/>
                <w:sz w:val="20"/>
                <w:szCs w:val="20"/>
              </w:rPr>
              <w:t>2015</w:t>
            </w:r>
          </w:p>
        </w:tc>
        <w:tc>
          <w:tcPr>
            <w:tcW w:w="857" w:type="dxa"/>
          </w:tcPr>
          <w:p w14:paraId="430FC476" w14:textId="77777777" w:rsidR="002375E8" w:rsidRPr="006B07F7" w:rsidRDefault="002375E8"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6B07F7">
              <w:rPr>
                <w:rFonts w:cs="Arial"/>
                <w:sz w:val="20"/>
                <w:szCs w:val="20"/>
              </w:rPr>
              <w:t>2016</w:t>
            </w:r>
          </w:p>
        </w:tc>
        <w:tc>
          <w:tcPr>
            <w:tcW w:w="857" w:type="dxa"/>
          </w:tcPr>
          <w:p w14:paraId="4EF0B0CB" w14:textId="77777777" w:rsidR="002375E8" w:rsidRPr="006B07F7" w:rsidRDefault="002375E8"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6B07F7">
              <w:rPr>
                <w:rFonts w:cs="Arial"/>
                <w:sz w:val="20"/>
                <w:szCs w:val="20"/>
              </w:rPr>
              <w:t>2017</w:t>
            </w:r>
          </w:p>
        </w:tc>
        <w:tc>
          <w:tcPr>
            <w:tcW w:w="858" w:type="dxa"/>
          </w:tcPr>
          <w:p w14:paraId="02BB31FE" w14:textId="77777777" w:rsidR="002375E8" w:rsidRPr="006B07F7" w:rsidRDefault="002375E8"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6B07F7">
              <w:rPr>
                <w:rFonts w:cs="Arial"/>
                <w:sz w:val="20"/>
                <w:szCs w:val="20"/>
              </w:rPr>
              <w:t>2018</w:t>
            </w:r>
          </w:p>
        </w:tc>
      </w:tr>
      <w:tr w:rsidR="002375E8" w:rsidRPr="00411C29" w14:paraId="2FB54139" w14:textId="77777777" w:rsidTr="00E85F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D1782E5" w14:textId="77777777" w:rsidR="002375E8" w:rsidRPr="006B07F7" w:rsidRDefault="002375E8" w:rsidP="00DF64C7">
            <w:pPr>
              <w:keepNext/>
              <w:jc w:val="left"/>
              <w:rPr>
                <w:rFonts w:cs="Arial"/>
                <w:sz w:val="20"/>
                <w:szCs w:val="20"/>
              </w:rPr>
            </w:pPr>
            <w:r w:rsidRPr="006B07F7">
              <w:rPr>
                <w:rFonts w:cs="Arial"/>
                <w:sz w:val="20"/>
                <w:szCs w:val="20"/>
              </w:rPr>
              <w:t>Liczba dzieci w placówkach wychowania przedszkolnego na 1 tys. dzieci w wieku 3-5 lat</w:t>
            </w:r>
          </w:p>
        </w:tc>
        <w:tc>
          <w:tcPr>
            <w:tcW w:w="857" w:type="dxa"/>
          </w:tcPr>
          <w:p w14:paraId="3A0584CD" w14:textId="77777777" w:rsidR="002375E8" w:rsidRPr="006B07F7" w:rsidRDefault="002375E8" w:rsidP="00DF64C7">
            <w:pPr>
              <w:keepNext/>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6B07F7">
              <w:rPr>
                <w:rFonts w:cs="Arial"/>
                <w:color w:val="000000" w:themeColor="text1"/>
                <w:sz w:val="20"/>
                <w:szCs w:val="20"/>
              </w:rPr>
              <w:t>836</w:t>
            </w:r>
          </w:p>
        </w:tc>
        <w:tc>
          <w:tcPr>
            <w:tcW w:w="857" w:type="dxa"/>
          </w:tcPr>
          <w:p w14:paraId="00C47ED3" w14:textId="77777777" w:rsidR="002375E8" w:rsidRPr="006B07F7" w:rsidRDefault="002375E8" w:rsidP="00DF64C7">
            <w:pPr>
              <w:keepNext/>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6B07F7">
              <w:rPr>
                <w:rFonts w:cs="Arial"/>
                <w:color w:val="000000" w:themeColor="text1"/>
                <w:sz w:val="20"/>
                <w:szCs w:val="20"/>
              </w:rPr>
              <w:t>879</w:t>
            </w:r>
          </w:p>
        </w:tc>
        <w:tc>
          <w:tcPr>
            <w:tcW w:w="857" w:type="dxa"/>
          </w:tcPr>
          <w:p w14:paraId="0D4209AC" w14:textId="77777777" w:rsidR="002375E8" w:rsidRPr="006B07F7" w:rsidRDefault="002375E8" w:rsidP="00DF64C7">
            <w:pPr>
              <w:keepNext/>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6B07F7">
              <w:rPr>
                <w:rFonts w:cs="Arial"/>
                <w:color w:val="000000" w:themeColor="text1"/>
                <w:sz w:val="20"/>
                <w:szCs w:val="20"/>
              </w:rPr>
              <w:t>828</w:t>
            </w:r>
          </w:p>
        </w:tc>
        <w:tc>
          <w:tcPr>
            <w:tcW w:w="857" w:type="dxa"/>
          </w:tcPr>
          <w:p w14:paraId="3979B49F" w14:textId="77777777" w:rsidR="002375E8" w:rsidRPr="006B07F7" w:rsidRDefault="002375E8" w:rsidP="00DF64C7">
            <w:pPr>
              <w:keepNext/>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6B07F7">
              <w:rPr>
                <w:rFonts w:cs="Arial"/>
                <w:color w:val="000000" w:themeColor="text1"/>
                <w:sz w:val="20"/>
                <w:szCs w:val="20"/>
              </w:rPr>
              <w:t>864</w:t>
            </w:r>
          </w:p>
        </w:tc>
        <w:tc>
          <w:tcPr>
            <w:tcW w:w="858" w:type="dxa"/>
          </w:tcPr>
          <w:p w14:paraId="0D131264" w14:textId="77777777" w:rsidR="002375E8" w:rsidRPr="006B07F7" w:rsidRDefault="002375E8" w:rsidP="00DF64C7">
            <w:pPr>
              <w:keepNext/>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6B07F7">
              <w:rPr>
                <w:rFonts w:cs="Arial"/>
                <w:color w:val="000000" w:themeColor="text1"/>
                <w:sz w:val="20"/>
                <w:szCs w:val="20"/>
              </w:rPr>
              <w:t>890</w:t>
            </w:r>
          </w:p>
        </w:tc>
      </w:tr>
      <w:tr w:rsidR="002375E8" w:rsidRPr="00411C29" w14:paraId="79441057" w14:textId="77777777" w:rsidTr="00E85FEC">
        <w:tc>
          <w:tcPr>
            <w:cnfStyle w:val="001000000000" w:firstRow="0" w:lastRow="0" w:firstColumn="1" w:lastColumn="0" w:oddVBand="0" w:evenVBand="0" w:oddHBand="0" w:evenHBand="0" w:firstRowFirstColumn="0" w:firstRowLastColumn="0" w:lastRowFirstColumn="0" w:lastRowLastColumn="0"/>
            <w:tcW w:w="4786" w:type="dxa"/>
          </w:tcPr>
          <w:p w14:paraId="5793F8B4" w14:textId="77777777" w:rsidR="002375E8" w:rsidRPr="006B07F7" w:rsidRDefault="002375E8" w:rsidP="00DF64C7">
            <w:pPr>
              <w:keepNext/>
              <w:jc w:val="left"/>
              <w:rPr>
                <w:rFonts w:cs="Arial"/>
                <w:sz w:val="20"/>
                <w:szCs w:val="20"/>
              </w:rPr>
            </w:pPr>
            <w:r w:rsidRPr="006B07F7">
              <w:rPr>
                <w:rFonts w:cs="Arial"/>
                <w:sz w:val="20"/>
                <w:szCs w:val="20"/>
              </w:rPr>
              <w:t>Liczba dzieci w wieku 3-5 lat przypadających na jedno miejsce w placówce wychowania przedszkolnego</w:t>
            </w:r>
          </w:p>
        </w:tc>
        <w:tc>
          <w:tcPr>
            <w:tcW w:w="857" w:type="dxa"/>
          </w:tcPr>
          <w:p w14:paraId="62B8F8CA" w14:textId="77777777" w:rsidR="002375E8" w:rsidRPr="00411C29" w:rsidRDefault="002375E8" w:rsidP="00DF64C7">
            <w:pPr>
              <w:keepNext/>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411C29">
              <w:rPr>
                <w:rFonts w:cs="Arial"/>
                <w:color w:val="000000" w:themeColor="text1"/>
                <w:sz w:val="20"/>
                <w:szCs w:val="20"/>
              </w:rPr>
              <w:t>1,0</w:t>
            </w:r>
          </w:p>
        </w:tc>
        <w:tc>
          <w:tcPr>
            <w:tcW w:w="857" w:type="dxa"/>
          </w:tcPr>
          <w:p w14:paraId="6D2D50B2" w14:textId="77777777" w:rsidR="002375E8" w:rsidRPr="00411C29" w:rsidRDefault="002375E8" w:rsidP="00DF64C7">
            <w:pPr>
              <w:keepNext/>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cs="Arial"/>
                <w:color w:val="000000" w:themeColor="text1"/>
                <w:sz w:val="20"/>
                <w:szCs w:val="20"/>
              </w:rPr>
              <w:t>1,0</w:t>
            </w:r>
          </w:p>
        </w:tc>
        <w:tc>
          <w:tcPr>
            <w:tcW w:w="857" w:type="dxa"/>
          </w:tcPr>
          <w:p w14:paraId="7E7DAB68" w14:textId="77777777" w:rsidR="002375E8" w:rsidRPr="00411C29" w:rsidRDefault="002375E8" w:rsidP="00DF64C7">
            <w:pPr>
              <w:keepNext/>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cs="Arial"/>
                <w:color w:val="000000" w:themeColor="text1"/>
                <w:sz w:val="20"/>
                <w:szCs w:val="20"/>
              </w:rPr>
              <w:t>0,9</w:t>
            </w:r>
          </w:p>
        </w:tc>
        <w:tc>
          <w:tcPr>
            <w:tcW w:w="857" w:type="dxa"/>
          </w:tcPr>
          <w:p w14:paraId="3625A09B" w14:textId="77777777" w:rsidR="002375E8" w:rsidRPr="00411C29" w:rsidRDefault="002375E8" w:rsidP="00DF64C7">
            <w:pPr>
              <w:keepNext/>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cs="Arial"/>
                <w:color w:val="000000" w:themeColor="text1"/>
                <w:sz w:val="20"/>
                <w:szCs w:val="20"/>
              </w:rPr>
              <w:t>0,8</w:t>
            </w:r>
          </w:p>
        </w:tc>
        <w:tc>
          <w:tcPr>
            <w:tcW w:w="858" w:type="dxa"/>
          </w:tcPr>
          <w:p w14:paraId="5C8F1C78" w14:textId="77777777" w:rsidR="002375E8" w:rsidRPr="00411C29" w:rsidRDefault="002375E8" w:rsidP="00DF64C7">
            <w:pPr>
              <w:keepNext/>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Pr>
                <w:rFonts w:cs="Arial"/>
                <w:color w:val="000000" w:themeColor="text1"/>
                <w:sz w:val="20"/>
                <w:szCs w:val="20"/>
              </w:rPr>
              <w:t>0,8</w:t>
            </w:r>
          </w:p>
        </w:tc>
      </w:tr>
    </w:tbl>
    <w:p w14:paraId="4333D743" w14:textId="77777777" w:rsidR="002375E8" w:rsidRDefault="002375E8" w:rsidP="00DF64C7">
      <w:pPr>
        <w:pStyle w:val="podpisrdailustracji"/>
        <w:keepNext/>
        <w:spacing w:line="271" w:lineRule="auto"/>
        <w:jc w:val="left"/>
      </w:pPr>
      <w:r>
        <w:t>Źródło: Opracowanie własne na podstawie BDL GUS.</w:t>
      </w:r>
    </w:p>
    <w:p w14:paraId="36D5F058" w14:textId="77777777" w:rsidR="002375E8" w:rsidRDefault="002375E8" w:rsidP="00DF64C7">
      <w:pPr>
        <w:jc w:val="left"/>
      </w:pPr>
      <w:r w:rsidRPr="00C12BF6">
        <w:t xml:space="preserve">Zgodnie z zapisami </w:t>
      </w:r>
      <w:r w:rsidRPr="00574F8D">
        <w:rPr>
          <w:i/>
        </w:rPr>
        <w:t>Strategii Europa 2020</w:t>
      </w:r>
      <w:r w:rsidRPr="00C12BF6">
        <w:t>, do końca obecnej perspektywy finansowej we wszystkich krajach Unii Europejskiej odsetek dzieci od lat 4 do osiągnięcia wieku szkolnego w systemie wczesnej edukacji i opieki nad dzieckiem powinien wynosić 95%,</w:t>
      </w:r>
      <w:r>
        <w:t xml:space="preserve"> województwo śląskie </w:t>
      </w:r>
      <w:r w:rsidR="005243B5">
        <w:t>jest, więc</w:t>
      </w:r>
      <w:r>
        <w:t xml:space="preserve"> na dobrej drodze, by osiągnąć założony wskaźnik (w roku 2018 wyniósł on 93,4%).</w:t>
      </w:r>
    </w:p>
    <w:p w14:paraId="487232FD" w14:textId="77777777" w:rsidR="002375E8" w:rsidRDefault="002375E8" w:rsidP="00DF64C7">
      <w:pPr>
        <w:jc w:val="left"/>
      </w:pPr>
      <w:r>
        <w:t>Widoczna jest jednak dysproporcja między obszarami miejskimi i wiejskimi. Wychowaniem przedszkolnym objętych jest aż 94,9% dzieci w wieku 4-6 lat z terenów miejskich i 89,8% dzieci z obszarów wiejskich. Mimo znacznego wzrostu dzieci objętych edukacją przedszkolną w gminach wiejskich, to właśnie na tych obszarach istnieje największe zapotrzebowanie na tworzenie kolejnych miejsc wychowania przedszkolnego.</w:t>
      </w:r>
    </w:p>
    <w:p w14:paraId="601AF7A3" w14:textId="3B4052CF" w:rsidR="002375E8" w:rsidRDefault="002375E8" w:rsidP="00DF64C7">
      <w:pPr>
        <w:pStyle w:val="Legenda"/>
        <w:spacing w:line="271" w:lineRule="auto"/>
        <w:jc w:val="left"/>
      </w:pPr>
      <w:r>
        <w:t xml:space="preserve">Tabela </w:t>
      </w:r>
      <w:r>
        <w:rPr>
          <w:noProof/>
        </w:rPr>
        <w:fldChar w:fldCharType="begin"/>
      </w:r>
      <w:r>
        <w:rPr>
          <w:noProof/>
        </w:rPr>
        <w:instrText xml:space="preserve"> SEQ Tabela \* ARABIC </w:instrText>
      </w:r>
      <w:r>
        <w:rPr>
          <w:noProof/>
        </w:rPr>
        <w:fldChar w:fldCharType="separate"/>
      </w:r>
      <w:r w:rsidR="00A8147E">
        <w:rPr>
          <w:noProof/>
        </w:rPr>
        <w:t>2</w:t>
      </w:r>
      <w:r>
        <w:rPr>
          <w:noProof/>
        </w:rPr>
        <w:fldChar w:fldCharType="end"/>
      </w:r>
      <w:r>
        <w:rPr>
          <w:noProof/>
        </w:rPr>
        <w:t>.</w:t>
      </w:r>
      <w:r>
        <w:t xml:space="preserve"> Odsetek dzieci w wieku 4-6 lat objętych wychowaniem przedszkolnym w województwie śląskim w latach 2014-2018</w:t>
      </w:r>
      <w:r>
        <w:rPr>
          <w:rStyle w:val="Odwoanieprzypisudolnego"/>
        </w:rPr>
        <w:footnoteReference w:id="3"/>
      </w:r>
    </w:p>
    <w:tbl>
      <w:tblPr>
        <w:tblStyle w:val="redniasiatka3akcent6"/>
        <w:tblW w:w="0" w:type="auto"/>
        <w:tblLook w:val="04A0" w:firstRow="1" w:lastRow="0" w:firstColumn="1" w:lastColumn="0" w:noHBand="0" w:noVBand="1"/>
        <w:tblCaption w:val="Odsetek dzieci w wieku 4-6 lat objętych wychowaniem przedszkolnym w województwie śląskim w latach 2014-2018"/>
        <w:tblDescription w:val="W tabeli przedstawiono dane dotyczące odsetka dzieci w wieku od 4 do 6 lat, które objęte były wychowaniem przedszkolnym w podziale na: dzieci ogółem w woj. śląskim, dzieci w mieście oraz na wsi. Dane przedstawiono za lata 2014-2018."/>
      </w:tblPr>
      <w:tblGrid>
        <w:gridCol w:w="4240"/>
        <w:gridCol w:w="962"/>
        <w:gridCol w:w="962"/>
        <w:gridCol w:w="962"/>
        <w:gridCol w:w="962"/>
        <w:gridCol w:w="962"/>
      </w:tblGrid>
      <w:tr w:rsidR="002375E8" w:rsidRPr="00914320" w14:paraId="5F9ED7BF" w14:textId="77777777" w:rsidTr="007B5F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14:paraId="059B1F5B" w14:textId="77777777" w:rsidR="002375E8" w:rsidRPr="00914320" w:rsidRDefault="002375E8" w:rsidP="00DF64C7">
            <w:pPr>
              <w:jc w:val="left"/>
              <w:rPr>
                <w:rFonts w:cs="Arial"/>
                <w:sz w:val="20"/>
              </w:rPr>
            </w:pPr>
          </w:p>
        </w:tc>
        <w:tc>
          <w:tcPr>
            <w:tcW w:w="962" w:type="dxa"/>
          </w:tcPr>
          <w:p w14:paraId="2B0E9231" w14:textId="77777777" w:rsidR="002375E8" w:rsidRPr="00914320"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rPr>
            </w:pPr>
            <w:r w:rsidRPr="00914320">
              <w:rPr>
                <w:rFonts w:cs="Arial"/>
                <w:sz w:val="20"/>
              </w:rPr>
              <w:t>2014</w:t>
            </w:r>
          </w:p>
        </w:tc>
        <w:tc>
          <w:tcPr>
            <w:tcW w:w="963" w:type="dxa"/>
          </w:tcPr>
          <w:p w14:paraId="690B3B1D" w14:textId="77777777" w:rsidR="002375E8" w:rsidRPr="00914320"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rPr>
            </w:pPr>
            <w:r w:rsidRPr="00914320">
              <w:rPr>
                <w:rFonts w:cs="Arial"/>
                <w:sz w:val="20"/>
              </w:rPr>
              <w:t>2015</w:t>
            </w:r>
          </w:p>
        </w:tc>
        <w:tc>
          <w:tcPr>
            <w:tcW w:w="963" w:type="dxa"/>
          </w:tcPr>
          <w:p w14:paraId="6EE7B527" w14:textId="77777777" w:rsidR="002375E8" w:rsidRPr="00914320"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rPr>
            </w:pPr>
            <w:r w:rsidRPr="00914320">
              <w:rPr>
                <w:rFonts w:cs="Arial"/>
                <w:sz w:val="20"/>
              </w:rPr>
              <w:t>2016</w:t>
            </w:r>
          </w:p>
        </w:tc>
        <w:tc>
          <w:tcPr>
            <w:tcW w:w="963" w:type="dxa"/>
          </w:tcPr>
          <w:p w14:paraId="4A1D8F68" w14:textId="77777777" w:rsidR="002375E8" w:rsidRPr="00914320"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rPr>
            </w:pPr>
            <w:r w:rsidRPr="00914320">
              <w:rPr>
                <w:rFonts w:cs="Arial"/>
                <w:sz w:val="20"/>
              </w:rPr>
              <w:t>2017</w:t>
            </w:r>
          </w:p>
        </w:tc>
        <w:tc>
          <w:tcPr>
            <w:tcW w:w="963" w:type="dxa"/>
          </w:tcPr>
          <w:p w14:paraId="6B135488" w14:textId="77777777" w:rsidR="002375E8" w:rsidRPr="00914320"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rPr>
            </w:pPr>
            <w:r w:rsidRPr="00914320">
              <w:rPr>
                <w:rFonts w:cs="Arial"/>
                <w:sz w:val="20"/>
              </w:rPr>
              <w:t>2018</w:t>
            </w:r>
          </w:p>
        </w:tc>
      </w:tr>
      <w:tr w:rsidR="002375E8" w:rsidRPr="00914320" w14:paraId="49EE3F59" w14:textId="77777777" w:rsidTr="00AB3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BC79B6B" w14:textId="77777777" w:rsidR="002375E8" w:rsidRPr="00914320" w:rsidRDefault="002375E8" w:rsidP="00DF64C7">
            <w:pPr>
              <w:jc w:val="left"/>
              <w:rPr>
                <w:rFonts w:cs="Arial"/>
                <w:sz w:val="20"/>
              </w:rPr>
            </w:pPr>
            <w:r w:rsidRPr="00914320">
              <w:rPr>
                <w:rFonts w:cs="Arial"/>
                <w:sz w:val="20"/>
              </w:rPr>
              <w:t>Odsetek dzieci w wieku 4-6 lat objętych wychowaniem przedszkolnym (ogółem)</w:t>
            </w:r>
          </w:p>
        </w:tc>
        <w:tc>
          <w:tcPr>
            <w:tcW w:w="962" w:type="dxa"/>
          </w:tcPr>
          <w:p w14:paraId="63A23A53" w14:textId="77777777" w:rsidR="002375E8" w:rsidRPr="00914320"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914320">
              <w:rPr>
                <w:rFonts w:cs="Arial"/>
                <w:sz w:val="20"/>
              </w:rPr>
              <w:t>89,2 %</w:t>
            </w:r>
          </w:p>
        </w:tc>
        <w:tc>
          <w:tcPr>
            <w:tcW w:w="963" w:type="dxa"/>
          </w:tcPr>
          <w:p w14:paraId="61A47611" w14:textId="77777777" w:rsidR="002375E8" w:rsidRPr="00914320"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914320">
              <w:rPr>
                <w:rFonts w:cs="Arial"/>
                <w:sz w:val="20"/>
              </w:rPr>
              <w:t>-</w:t>
            </w:r>
          </w:p>
        </w:tc>
        <w:tc>
          <w:tcPr>
            <w:tcW w:w="963" w:type="dxa"/>
          </w:tcPr>
          <w:p w14:paraId="7D5243F0" w14:textId="77777777" w:rsidR="002375E8" w:rsidRPr="00914320"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914320">
              <w:rPr>
                <w:rFonts w:cs="Arial"/>
                <w:sz w:val="20"/>
              </w:rPr>
              <w:t>84,9%</w:t>
            </w:r>
          </w:p>
        </w:tc>
        <w:tc>
          <w:tcPr>
            <w:tcW w:w="963" w:type="dxa"/>
          </w:tcPr>
          <w:p w14:paraId="58053F41" w14:textId="77777777" w:rsidR="002375E8" w:rsidRPr="00914320"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914320">
              <w:rPr>
                <w:rFonts w:cs="Arial"/>
                <w:sz w:val="20"/>
              </w:rPr>
              <w:t>90,5%</w:t>
            </w:r>
          </w:p>
        </w:tc>
        <w:tc>
          <w:tcPr>
            <w:tcW w:w="963" w:type="dxa"/>
          </w:tcPr>
          <w:p w14:paraId="5C587E33" w14:textId="77777777" w:rsidR="002375E8" w:rsidRPr="00914320"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914320">
              <w:rPr>
                <w:rFonts w:cs="Arial"/>
                <w:sz w:val="20"/>
              </w:rPr>
              <w:t>93,4%</w:t>
            </w:r>
          </w:p>
        </w:tc>
      </w:tr>
      <w:tr w:rsidR="002375E8" w:rsidRPr="00914320" w14:paraId="097A8946" w14:textId="77777777" w:rsidTr="00AB32A3">
        <w:tc>
          <w:tcPr>
            <w:cnfStyle w:val="001000000000" w:firstRow="0" w:lastRow="0" w:firstColumn="1" w:lastColumn="0" w:oddVBand="0" w:evenVBand="0" w:oddHBand="0" w:evenHBand="0" w:firstRowFirstColumn="0" w:firstRowLastColumn="0" w:lastRowFirstColumn="0" w:lastRowLastColumn="0"/>
            <w:tcW w:w="4248" w:type="dxa"/>
          </w:tcPr>
          <w:p w14:paraId="5401047C" w14:textId="77777777" w:rsidR="002375E8" w:rsidRPr="00914320" w:rsidRDefault="002375E8" w:rsidP="00DF64C7">
            <w:pPr>
              <w:jc w:val="left"/>
              <w:rPr>
                <w:rFonts w:cs="Arial"/>
                <w:sz w:val="20"/>
              </w:rPr>
            </w:pPr>
            <w:r w:rsidRPr="00914320">
              <w:rPr>
                <w:rFonts w:cs="Arial"/>
                <w:sz w:val="20"/>
              </w:rPr>
              <w:t>Odsetek dzieci w wieku 4-6 lat objętych wychowaniem przedszkolnym (miasto)</w:t>
            </w:r>
          </w:p>
        </w:tc>
        <w:tc>
          <w:tcPr>
            <w:tcW w:w="962" w:type="dxa"/>
          </w:tcPr>
          <w:p w14:paraId="4615EA01" w14:textId="77777777" w:rsidR="002375E8" w:rsidRPr="00914320"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914320">
              <w:rPr>
                <w:rFonts w:cs="Arial"/>
                <w:sz w:val="20"/>
              </w:rPr>
              <w:t>93,8%</w:t>
            </w:r>
          </w:p>
        </w:tc>
        <w:tc>
          <w:tcPr>
            <w:tcW w:w="963" w:type="dxa"/>
          </w:tcPr>
          <w:p w14:paraId="51BF03DA" w14:textId="77777777" w:rsidR="002375E8" w:rsidRPr="00914320"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914320">
              <w:rPr>
                <w:rFonts w:cs="Arial"/>
                <w:sz w:val="20"/>
              </w:rPr>
              <w:t>-</w:t>
            </w:r>
          </w:p>
        </w:tc>
        <w:tc>
          <w:tcPr>
            <w:tcW w:w="963" w:type="dxa"/>
          </w:tcPr>
          <w:p w14:paraId="280393B8" w14:textId="77777777" w:rsidR="002375E8" w:rsidRPr="00914320"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914320">
              <w:rPr>
                <w:rFonts w:cs="Arial"/>
                <w:sz w:val="20"/>
              </w:rPr>
              <w:t>87,8%</w:t>
            </w:r>
          </w:p>
        </w:tc>
        <w:tc>
          <w:tcPr>
            <w:tcW w:w="963" w:type="dxa"/>
          </w:tcPr>
          <w:p w14:paraId="2C46C54C" w14:textId="77777777" w:rsidR="002375E8" w:rsidRPr="00914320"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914320">
              <w:rPr>
                <w:rFonts w:cs="Arial"/>
                <w:sz w:val="20"/>
              </w:rPr>
              <w:t>92,5%</w:t>
            </w:r>
          </w:p>
        </w:tc>
        <w:tc>
          <w:tcPr>
            <w:tcW w:w="963" w:type="dxa"/>
          </w:tcPr>
          <w:p w14:paraId="320BCB14" w14:textId="77777777" w:rsidR="002375E8" w:rsidRPr="00914320"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914320">
              <w:rPr>
                <w:rFonts w:cs="Arial"/>
                <w:sz w:val="20"/>
              </w:rPr>
              <w:t>94,9%</w:t>
            </w:r>
          </w:p>
        </w:tc>
      </w:tr>
      <w:tr w:rsidR="002375E8" w:rsidRPr="00914320" w14:paraId="06C03A49" w14:textId="77777777" w:rsidTr="00AB3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CF0EF16" w14:textId="77777777" w:rsidR="002375E8" w:rsidRPr="00914320" w:rsidRDefault="002375E8" w:rsidP="00DF64C7">
            <w:pPr>
              <w:jc w:val="left"/>
              <w:rPr>
                <w:rFonts w:cs="Arial"/>
                <w:sz w:val="20"/>
              </w:rPr>
            </w:pPr>
            <w:r w:rsidRPr="00914320">
              <w:rPr>
                <w:rFonts w:cs="Arial"/>
                <w:sz w:val="20"/>
              </w:rPr>
              <w:t>Odsetek dzieci w wieku 4-6 lat objętych wychowaniem przedszkolnym (wieś)</w:t>
            </w:r>
          </w:p>
        </w:tc>
        <w:tc>
          <w:tcPr>
            <w:tcW w:w="962" w:type="dxa"/>
          </w:tcPr>
          <w:p w14:paraId="021102BA" w14:textId="77777777" w:rsidR="002375E8" w:rsidRPr="00914320"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914320">
              <w:rPr>
                <w:rFonts w:cs="Arial"/>
                <w:sz w:val="20"/>
              </w:rPr>
              <w:t>87,2%</w:t>
            </w:r>
          </w:p>
        </w:tc>
        <w:tc>
          <w:tcPr>
            <w:tcW w:w="963" w:type="dxa"/>
          </w:tcPr>
          <w:p w14:paraId="61A243FA" w14:textId="77777777" w:rsidR="002375E8" w:rsidRPr="00914320"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914320">
              <w:rPr>
                <w:rFonts w:cs="Arial"/>
                <w:sz w:val="20"/>
              </w:rPr>
              <w:t>-</w:t>
            </w:r>
          </w:p>
        </w:tc>
        <w:tc>
          <w:tcPr>
            <w:tcW w:w="963" w:type="dxa"/>
          </w:tcPr>
          <w:p w14:paraId="2916C6AF" w14:textId="77777777" w:rsidR="002375E8" w:rsidRPr="00914320"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914320">
              <w:rPr>
                <w:rFonts w:cs="Arial"/>
                <w:sz w:val="20"/>
              </w:rPr>
              <w:t>84,0%</w:t>
            </w:r>
          </w:p>
        </w:tc>
        <w:tc>
          <w:tcPr>
            <w:tcW w:w="963" w:type="dxa"/>
          </w:tcPr>
          <w:p w14:paraId="69D0F187" w14:textId="77777777" w:rsidR="002375E8" w:rsidRPr="00914320"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914320">
              <w:rPr>
                <w:rFonts w:cs="Arial"/>
                <w:sz w:val="20"/>
              </w:rPr>
              <w:t>87,8%</w:t>
            </w:r>
          </w:p>
        </w:tc>
        <w:tc>
          <w:tcPr>
            <w:tcW w:w="963" w:type="dxa"/>
          </w:tcPr>
          <w:p w14:paraId="0FCEAC9A" w14:textId="77777777" w:rsidR="002375E8" w:rsidRPr="00914320"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914320">
              <w:rPr>
                <w:rFonts w:cs="Arial"/>
                <w:sz w:val="20"/>
              </w:rPr>
              <w:t>89,8%</w:t>
            </w:r>
          </w:p>
        </w:tc>
      </w:tr>
    </w:tbl>
    <w:p w14:paraId="1788A7B0" w14:textId="77777777" w:rsidR="002375E8" w:rsidRDefault="002375E8" w:rsidP="00DF64C7">
      <w:pPr>
        <w:pStyle w:val="podpisrdailustracji"/>
        <w:spacing w:line="271" w:lineRule="auto"/>
        <w:jc w:val="left"/>
      </w:pPr>
      <w:r>
        <w:t>Źródło: Opracowanie własne na podstawie BDL GUS.</w:t>
      </w:r>
    </w:p>
    <w:p w14:paraId="7095C202" w14:textId="77777777" w:rsidR="002375E8" w:rsidRDefault="002375E8" w:rsidP="00DF64C7">
      <w:pPr>
        <w:jc w:val="left"/>
      </w:pPr>
      <w:r>
        <w:lastRenderedPageBreak/>
        <w:t>Coraz większym wyzwaniem dla placówek przedszkolnych jest zapewnienie wysokiej jakości oferty edukacyjnej, zajęć dodatkowych (w tym zajęć wyrównujących szanse edukacyjne dzieci) oraz uelastycznienie godzin otwarcia placówek w celu dostosowania ich do czasu i charakteru pracy wykonywanej przez rodziców.</w:t>
      </w:r>
    </w:p>
    <w:p w14:paraId="3C40B3F9" w14:textId="77777777" w:rsidR="002375E8" w:rsidRDefault="002375E8" w:rsidP="00DF64C7">
      <w:pPr>
        <w:pStyle w:val="Wyrnienie"/>
        <w:jc w:val="left"/>
      </w:pPr>
      <w:r>
        <w:t>Szkoła podstawowa</w:t>
      </w:r>
    </w:p>
    <w:p w14:paraId="19452B01" w14:textId="77777777" w:rsidR="002375E8" w:rsidRPr="00185046" w:rsidRDefault="002375E8" w:rsidP="00DF64C7">
      <w:pPr>
        <w:jc w:val="left"/>
      </w:pPr>
      <w:r>
        <w:t xml:space="preserve">Mimo niekorzystnych tendencji demograficznych, na przestrzeni lat 2014-2018 liczba uczniów w szkołach podstawowych wzrosła o 85 312 </w:t>
      </w:r>
      <w:r w:rsidR="005243B5">
        <w:t>osoby, (co</w:t>
      </w:r>
      <w:r>
        <w:t xml:space="preserve"> jednak w znacznej mierze spowodowane b</w:t>
      </w:r>
      <w:r w:rsidR="005243B5">
        <w:t xml:space="preserve">yło reformą oświaty z 2017 r.). </w:t>
      </w:r>
      <w:r>
        <w:t>W związku ze wzrostem liczby uczniów, zwiększyła się także liczba szkół – w 2018 było ich o 184 więcej, niż w roku 2014.</w:t>
      </w:r>
    </w:p>
    <w:p w14:paraId="0D8F8D26" w14:textId="73730146" w:rsidR="002375E8" w:rsidRDefault="002375E8" w:rsidP="00DF64C7">
      <w:pPr>
        <w:pStyle w:val="Legenda"/>
        <w:spacing w:line="271" w:lineRule="auto"/>
        <w:jc w:val="left"/>
      </w:pPr>
      <w:r>
        <w:t xml:space="preserve">Tabela </w:t>
      </w:r>
      <w:r>
        <w:rPr>
          <w:noProof/>
        </w:rPr>
        <w:fldChar w:fldCharType="begin"/>
      </w:r>
      <w:r>
        <w:rPr>
          <w:noProof/>
        </w:rPr>
        <w:instrText xml:space="preserve"> SEQ Tabela \* ARABIC </w:instrText>
      </w:r>
      <w:r>
        <w:rPr>
          <w:noProof/>
        </w:rPr>
        <w:fldChar w:fldCharType="separate"/>
      </w:r>
      <w:r w:rsidR="00A8147E">
        <w:rPr>
          <w:noProof/>
        </w:rPr>
        <w:t>3</w:t>
      </w:r>
      <w:r>
        <w:rPr>
          <w:noProof/>
        </w:rPr>
        <w:fldChar w:fldCharType="end"/>
      </w:r>
      <w:r>
        <w:rPr>
          <w:noProof/>
        </w:rPr>
        <w:t>.</w:t>
      </w:r>
      <w:r>
        <w:t xml:space="preserve"> Liczba szkół podstawowych i uczniów w szkołach podstawowych w województwie śląskim w latach 2014-2018</w:t>
      </w:r>
    </w:p>
    <w:tbl>
      <w:tblPr>
        <w:tblStyle w:val="Tabelasiatki5ciemnaakcent61"/>
        <w:tblW w:w="0" w:type="auto"/>
        <w:tblLook w:val="04A0" w:firstRow="1" w:lastRow="0" w:firstColumn="1" w:lastColumn="0" w:noHBand="0" w:noVBand="1"/>
        <w:tblCaption w:val="Liczba szkół podstawowych i uczniów w szkołach podstawowych w województwie śląskim w latach 2014-2018"/>
        <w:tblDescription w:val="Tabela przedstawia dane dotyczące liczby szkół podstawowych oraz liczbę uczników w tychże szkołach w woj. śląskim w latach 2014-2018."/>
      </w:tblPr>
      <w:tblGrid>
        <w:gridCol w:w="4135"/>
        <w:gridCol w:w="949"/>
        <w:gridCol w:w="950"/>
        <w:gridCol w:w="950"/>
        <w:gridCol w:w="1038"/>
        <w:gridCol w:w="1038"/>
      </w:tblGrid>
      <w:tr w:rsidR="002375E8" w:rsidRPr="00F910DD" w14:paraId="1063CE69" w14:textId="77777777" w:rsidTr="007B5F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7" w:type="dxa"/>
          </w:tcPr>
          <w:p w14:paraId="57269EBB" w14:textId="77777777" w:rsidR="002375E8" w:rsidRPr="00F910DD" w:rsidRDefault="002375E8" w:rsidP="00DF64C7">
            <w:pPr>
              <w:jc w:val="left"/>
              <w:rPr>
                <w:rFonts w:cs="Arial"/>
                <w:sz w:val="20"/>
                <w:szCs w:val="20"/>
              </w:rPr>
            </w:pPr>
          </w:p>
        </w:tc>
        <w:tc>
          <w:tcPr>
            <w:tcW w:w="949" w:type="dxa"/>
          </w:tcPr>
          <w:p w14:paraId="7FA4410C" w14:textId="77777777" w:rsidR="002375E8" w:rsidRPr="00F910DD"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F910DD">
              <w:rPr>
                <w:rFonts w:cs="Arial"/>
                <w:sz w:val="20"/>
                <w:szCs w:val="20"/>
              </w:rPr>
              <w:t>2014</w:t>
            </w:r>
          </w:p>
        </w:tc>
        <w:tc>
          <w:tcPr>
            <w:tcW w:w="950" w:type="dxa"/>
          </w:tcPr>
          <w:p w14:paraId="5B6076BF" w14:textId="77777777" w:rsidR="002375E8" w:rsidRPr="00F910DD"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F910DD">
              <w:rPr>
                <w:rFonts w:cs="Arial"/>
                <w:sz w:val="20"/>
                <w:szCs w:val="20"/>
              </w:rPr>
              <w:t>2015</w:t>
            </w:r>
          </w:p>
        </w:tc>
        <w:tc>
          <w:tcPr>
            <w:tcW w:w="950" w:type="dxa"/>
          </w:tcPr>
          <w:p w14:paraId="1EB8744D" w14:textId="77777777" w:rsidR="002375E8" w:rsidRPr="00F910DD"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F910DD">
              <w:rPr>
                <w:rFonts w:cs="Arial"/>
                <w:sz w:val="20"/>
                <w:szCs w:val="20"/>
              </w:rPr>
              <w:t>2016</w:t>
            </w:r>
          </w:p>
        </w:tc>
        <w:tc>
          <w:tcPr>
            <w:tcW w:w="1038" w:type="dxa"/>
          </w:tcPr>
          <w:p w14:paraId="25526B91" w14:textId="77777777" w:rsidR="002375E8" w:rsidRPr="00F910DD"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F910DD">
              <w:rPr>
                <w:rFonts w:cs="Arial"/>
                <w:sz w:val="20"/>
                <w:szCs w:val="20"/>
              </w:rPr>
              <w:t>2017</w:t>
            </w:r>
          </w:p>
        </w:tc>
        <w:tc>
          <w:tcPr>
            <w:tcW w:w="1038" w:type="dxa"/>
          </w:tcPr>
          <w:p w14:paraId="65F558FD" w14:textId="77777777" w:rsidR="002375E8" w:rsidRPr="00F910DD"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F910DD">
              <w:rPr>
                <w:rFonts w:cs="Arial"/>
                <w:sz w:val="20"/>
                <w:szCs w:val="20"/>
              </w:rPr>
              <w:t>2018</w:t>
            </w:r>
          </w:p>
        </w:tc>
      </w:tr>
      <w:tr w:rsidR="002375E8" w:rsidRPr="00F910DD" w14:paraId="1E9A5637" w14:textId="77777777" w:rsidTr="00AB3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7" w:type="dxa"/>
          </w:tcPr>
          <w:p w14:paraId="5FF24638" w14:textId="77777777" w:rsidR="002375E8" w:rsidRPr="00F910DD" w:rsidRDefault="002375E8" w:rsidP="00DF64C7">
            <w:pPr>
              <w:jc w:val="left"/>
              <w:rPr>
                <w:rFonts w:cs="Arial"/>
                <w:sz w:val="20"/>
                <w:szCs w:val="20"/>
              </w:rPr>
            </w:pPr>
            <w:r w:rsidRPr="00F910DD">
              <w:rPr>
                <w:rFonts w:cs="Arial"/>
                <w:sz w:val="20"/>
                <w:szCs w:val="20"/>
              </w:rPr>
              <w:t>Liczba szkół podstawowych</w:t>
            </w:r>
          </w:p>
        </w:tc>
        <w:tc>
          <w:tcPr>
            <w:tcW w:w="949" w:type="dxa"/>
          </w:tcPr>
          <w:p w14:paraId="6C7CB566" w14:textId="77777777" w:rsidR="002375E8" w:rsidRPr="00F910DD"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10DD">
              <w:rPr>
                <w:rFonts w:cs="Arial"/>
                <w:sz w:val="20"/>
                <w:szCs w:val="20"/>
              </w:rPr>
              <w:t>1 256</w:t>
            </w:r>
          </w:p>
        </w:tc>
        <w:tc>
          <w:tcPr>
            <w:tcW w:w="950" w:type="dxa"/>
          </w:tcPr>
          <w:p w14:paraId="0747E8D8" w14:textId="77777777" w:rsidR="002375E8" w:rsidRPr="00F910DD"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10DD">
              <w:rPr>
                <w:rFonts w:cs="Arial"/>
                <w:sz w:val="20"/>
                <w:szCs w:val="20"/>
              </w:rPr>
              <w:t>1 261</w:t>
            </w:r>
          </w:p>
        </w:tc>
        <w:tc>
          <w:tcPr>
            <w:tcW w:w="950" w:type="dxa"/>
          </w:tcPr>
          <w:p w14:paraId="6CBC5166" w14:textId="77777777" w:rsidR="002375E8" w:rsidRPr="00F910DD"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10DD">
              <w:rPr>
                <w:rFonts w:cs="Arial"/>
                <w:sz w:val="20"/>
                <w:szCs w:val="20"/>
              </w:rPr>
              <w:t>1 262</w:t>
            </w:r>
          </w:p>
        </w:tc>
        <w:tc>
          <w:tcPr>
            <w:tcW w:w="1038" w:type="dxa"/>
          </w:tcPr>
          <w:p w14:paraId="0F8BB955" w14:textId="77777777" w:rsidR="002375E8" w:rsidRPr="00F910DD"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10DD">
              <w:rPr>
                <w:rFonts w:cs="Arial"/>
                <w:sz w:val="20"/>
                <w:szCs w:val="20"/>
              </w:rPr>
              <w:t>1 437</w:t>
            </w:r>
          </w:p>
        </w:tc>
        <w:tc>
          <w:tcPr>
            <w:tcW w:w="1038" w:type="dxa"/>
          </w:tcPr>
          <w:p w14:paraId="7E51AE58" w14:textId="77777777" w:rsidR="002375E8" w:rsidRPr="00F910DD"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10DD">
              <w:rPr>
                <w:rFonts w:cs="Arial"/>
                <w:sz w:val="20"/>
                <w:szCs w:val="20"/>
              </w:rPr>
              <w:t>1 440</w:t>
            </w:r>
          </w:p>
        </w:tc>
      </w:tr>
      <w:tr w:rsidR="002375E8" w:rsidRPr="00F910DD" w14:paraId="2640C2B4" w14:textId="77777777" w:rsidTr="00AB32A3">
        <w:tc>
          <w:tcPr>
            <w:cnfStyle w:val="001000000000" w:firstRow="0" w:lastRow="0" w:firstColumn="1" w:lastColumn="0" w:oddVBand="0" w:evenVBand="0" w:oddHBand="0" w:evenHBand="0" w:firstRowFirstColumn="0" w:firstRowLastColumn="0" w:lastRowFirstColumn="0" w:lastRowLastColumn="0"/>
            <w:tcW w:w="4137" w:type="dxa"/>
          </w:tcPr>
          <w:p w14:paraId="21EA335B" w14:textId="77777777" w:rsidR="002375E8" w:rsidRPr="00F910DD" w:rsidRDefault="002375E8" w:rsidP="00DF64C7">
            <w:pPr>
              <w:jc w:val="left"/>
              <w:rPr>
                <w:rFonts w:cs="Arial"/>
                <w:sz w:val="20"/>
                <w:szCs w:val="20"/>
              </w:rPr>
            </w:pPr>
            <w:r w:rsidRPr="00F910DD">
              <w:rPr>
                <w:rFonts w:cs="Arial"/>
                <w:sz w:val="20"/>
                <w:szCs w:val="20"/>
              </w:rPr>
              <w:t>Liczba uczniów w szkołach podstawowych</w:t>
            </w:r>
          </w:p>
        </w:tc>
        <w:tc>
          <w:tcPr>
            <w:tcW w:w="949" w:type="dxa"/>
          </w:tcPr>
          <w:p w14:paraId="30C0E674" w14:textId="77777777" w:rsidR="002375E8" w:rsidRPr="00F910DD"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F910DD">
              <w:rPr>
                <w:rFonts w:cs="Arial"/>
                <w:sz w:val="20"/>
              </w:rPr>
              <w:t>256 253</w:t>
            </w:r>
          </w:p>
        </w:tc>
        <w:tc>
          <w:tcPr>
            <w:tcW w:w="950" w:type="dxa"/>
          </w:tcPr>
          <w:p w14:paraId="7355B30C" w14:textId="77777777" w:rsidR="002375E8" w:rsidRPr="00F910DD"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F910DD">
              <w:rPr>
                <w:rFonts w:cs="Arial"/>
                <w:sz w:val="20"/>
              </w:rPr>
              <w:t>279 560</w:t>
            </w:r>
          </w:p>
        </w:tc>
        <w:tc>
          <w:tcPr>
            <w:tcW w:w="950" w:type="dxa"/>
          </w:tcPr>
          <w:p w14:paraId="39C2DB6E" w14:textId="77777777" w:rsidR="002375E8" w:rsidRPr="00F910DD"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F910DD">
              <w:rPr>
                <w:rFonts w:cs="Arial"/>
                <w:sz w:val="20"/>
              </w:rPr>
              <w:t>257 420</w:t>
            </w:r>
          </w:p>
        </w:tc>
        <w:tc>
          <w:tcPr>
            <w:tcW w:w="1038" w:type="dxa"/>
          </w:tcPr>
          <w:p w14:paraId="0368DF69" w14:textId="77777777" w:rsidR="002375E8" w:rsidRPr="00F910DD"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F910DD">
              <w:rPr>
                <w:rFonts w:cs="Arial"/>
                <w:sz w:val="20"/>
              </w:rPr>
              <w:t>298 621</w:t>
            </w:r>
          </w:p>
        </w:tc>
        <w:tc>
          <w:tcPr>
            <w:tcW w:w="1038" w:type="dxa"/>
          </w:tcPr>
          <w:p w14:paraId="694F6774" w14:textId="77777777" w:rsidR="002375E8" w:rsidRPr="00F910DD"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F910DD">
              <w:rPr>
                <w:rFonts w:cs="Arial"/>
                <w:sz w:val="20"/>
              </w:rPr>
              <w:t>341 565</w:t>
            </w:r>
          </w:p>
        </w:tc>
      </w:tr>
    </w:tbl>
    <w:p w14:paraId="1D7A4D02" w14:textId="77777777" w:rsidR="002375E8" w:rsidRDefault="002375E8" w:rsidP="00DF64C7">
      <w:pPr>
        <w:pStyle w:val="podpisrdailustracji"/>
        <w:spacing w:line="271" w:lineRule="auto"/>
        <w:jc w:val="left"/>
      </w:pPr>
      <w:r>
        <w:t>Źródło: Opracowanie własne na podstawie BDL GUS.</w:t>
      </w:r>
    </w:p>
    <w:p w14:paraId="77E9027E" w14:textId="77777777" w:rsidR="002375E8" w:rsidRDefault="002375E8" w:rsidP="00DF64C7">
      <w:pPr>
        <w:jc w:val="left"/>
        <w:rPr>
          <w:lang w:eastAsia="pl-PL"/>
        </w:rPr>
      </w:pPr>
      <w:r>
        <w:t xml:space="preserve">W związku z dynamicznymi zmianami dzisiejszego świata, ciągłego rozwoju nauki i rynku pracy, konieczne jest kształcenie </w:t>
      </w:r>
      <w:r>
        <w:rPr>
          <w:lang w:eastAsia="pl-PL"/>
        </w:rPr>
        <w:t xml:space="preserve">kompetencji kluczowych, których rozwijanie stało się nowym zadaniem dla systemu edukacji. Kompetencje kluczowe </w:t>
      </w:r>
      <w:r w:rsidR="005243B5">
        <w:rPr>
          <w:lang w:eastAsia="pl-PL"/>
        </w:rPr>
        <w:t>definiowane, jako</w:t>
      </w:r>
      <w:r>
        <w:rPr>
          <w:lang w:eastAsia="pl-PL"/>
        </w:rPr>
        <w:t xml:space="preserve"> wiedza, umiejętności oraz postawy, których potrzeba do samorealizacji, rozwoju osobistego, aktywności obywatelskiej, a także integracji społecznej i aktywizacji zawodowej określić można poprzez osiem umiejętności</w:t>
      </w:r>
      <w:r>
        <w:rPr>
          <w:rStyle w:val="Odwoanieprzypisudolnego"/>
          <w:lang w:eastAsia="pl-PL"/>
        </w:rPr>
        <w:footnoteReference w:id="4"/>
      </w:r>
      <w:r>
        <w:rPr>
          <w:lang w:eastAsia="pl-PL"/>
        </w:rPr>
        <w:t xml:space="preserve">: </w:t>
      </w:r>
      <w:r w:rsidRPr="00276951">
        <w:rPr>
          <w:lang w:eastAsia="pl-PL"/>
        </w:rPr>
        <w:t>porozumiewanie się w języku ojczystym</w:t>
      </w:r>
      <w:r>
        <w:rPr>
          <w:lang w:eastAsia="pl-PL"/>
        </w:rPr>
        <w:t xml:space="preserve"> i</w:t>
      </w:r>
      <w:r w:rsidRPr="00276951">
        <w:rPr>
          <w:lang w:eastAsia="pl-PL"/>
        </w:rPr>
        <w:t xml:space="preserve"> językach obcych</w:t>
      </w:r>
      <w:r>
        <w:rPr>
          <w:lang w:eastAsia="pl-PL"/>
        </w:rPr>
        <w:t xml:space="preserve">, </w:t>
      </w:r>
      <w:r w:rsidRPr="00276951">
        <w:rPr>
          <w:lang w:eastAsia="pl-PL"/>
        </w:rPr>
        <w:t>kompetencje matematyczne i podstawowe kompetencje naukowo-techniczne</w:t>
      </w:r>
      <w:r>
        <w:rPr>
          <w:lang w:eastAsia="pl-PL"/>
        </w:rPr>
        <w:t xml:space="preserve">, </w:t>
      </w:r>
      <w:r w:rsidRPr="00276951">
        <w:rPr>
          <w:lang w:eastAsia="pl-PL"/>
        </w:rPr>
        <w:t>kompetencje informatyczne</w:t>
      </w:r>
      <w:r>
        <w:rPr>
          <w:lang w:eastAsia="pl-PL"/>
        </w:rPr>
        <w:t xml:space="preserve">, </w:t>
      </w:r>
      <w:r w:rsidRPr="00276951">
        <w:rPr>
          <w:lang w:eastAsia="pl-PL"/>
        </w:rPr>
        <w:t>społeczne i obywatelskie</w:t>
      </w:r>
      <w:r>
        <w:rPr>
          <w:lang w:eastAsia="pl-PL"/>
        </w:rPr>
        <w:t xml:space="preserve">, </w:t>
      </w:r>
      <w:r w:rsidRPr="00276951">
        <w:rPr>
          <w:lang w:eastAsia="pl-PL"/>
        </w:rPr>
        <w:t>umiejętność uczenia się</w:t>
      </w:r>
      <w:r>
        <w:rPr>
          <w:lang w:eastAsia="pl-PL"/>
        </w:rPr>
        <w:t>, inicjatywność i przedsiębiorczość oraz świadomość i ekspresja kulturalna.</w:t>
      </w:r>
    </w:p>
    <w:p w14:paraId="41118187" w14:textId="77777777" w:rsidR="002375E8" w:rsidRDefault="002375E8" w:rsidP="00DF64C7">
      <w:pPr>
        <w:jc w:val="left"/>
        <w:rPr>
          <w:lang w:eastAsia="pl-PL"/>
        </w:rPr>
      </w:pPr>
      <w:r>
        <w:rPr>
          <w:lang w:eastAsia="pl-PL"/>
        </w:rPr>
        <w:t xml:space="preserve">Rozwój kompetencji kluczowych uczniów inicjowany jest przez lokalne samorządy, które muszą zaplanować złożone i wieloaspektowe działania w tym zakresie, które będą zgodne z dokumentami krajowymi i unijnymi. </w:t>
      </w:r>
    </w:p>
    <w:p w14:paraId="57A2E54B" w14:textId="77777777" w:rsidR="002375E8" w:rsidRDefault="002375E8" w:rsidP="00DF64C7">
      <w:pPr>
        <w:pStyle w:val="Wyrnienie"/>
        <w:jc w:val="left"/>
      </w:pPr>
      <w:r>
        <w:t>Szkoły ponadgimnazjalne</w:t>
      </w:r>
    </w:p>
    <w:p w14:paraId="1F435281" w14:textId="77777777" w:rsidR="002375E8" w:rsidRDefault="002375E8" w:rsidP="00DF64C7">
      <w:pPr>
        <w:jc w:val="left"/>
      </w:pPr>
      <w:r>
        <w:t>Sytuacja społeczno-gospodarcza osób</w:t>
      </w:r>
      <w:r w:rsidR="00BB3390">
        <w:t xml:space="preserve"> do</w:t>
      </w:r>
      <w:r>
        <w:t xml:space="preserve"> 30 roku życia wskazuje, że najmniejszy odsetek osób od 18 do 29 roku życia w ogólnej liczbie mieszkańców charakteryzuje centralną i wschodnią część województwa, zaś największe zagęszczenie występuje w subregionie południowym. Prognozy ludności do 2050 wskazują jednak, że liczba ludności do 29 roku życia na terenie województwa śląskiego spadnie, w niektórych częściach regionu nawet o 50%</w:t>
      </w:r>
      <w:r>
        <w:rPr>
          <w:rStyle w:val="Odwoanieprzypisudolnego"/>
        </w:rPr>
        <w:footnoteReference w:id="5"/>
      </w:r>
      <w:r>
        <w:t>.</w:t>
      </w:r>
    </w:p>
    <w:p w14:paraId="74C0D3AF" w14:textId="77777777" w:rsidR="002375E8" w:rsidRDefault="002375E8" w:rsidP="00DF64C7">
      <w:pPr>
        <w:jc w:val="left"/>
      </w:pPr>
      <w:r>
        <w:t>Na przestrzeni lat 2014-2018 systematycznie spadała liczba szkół ponadgimnazjalnych, co związane jest z coraz mniejszą liczbą osób w tym wieku.</w:t>
      </w:r>
    </w:p>
    <w:p w14:paraId="2485E2F4" w14:textId="77777777" w:rsidR="002375E8" w:rsidRDefault="002375E8" w:rsidP="00DF64C7">
      <w:pPr>
        <w:jc w:val="left"/>
      </w:pPr>
      <w:r>
        <w:lastRenderedPageBreak/>
        <w:t>Do 2017 roku spadała także liczba szkół zawodowych i branżowych (od 1 września 2017 roku dotychczasowa 3-letnia zasadnicza szkoła zawodowa została przekształcona w 3-letnią branżową szkołę I stopnia), w 2018 roku widać jednak ich wzrost, co związane jest z promowaniem kształcenia zawodowego. Mimo to, liczba uczniów w szkołach branżowych i zawodowych wciąż maleje – w ciągu 4 lat spadła o 5 800 osób.</w:t>
      </w:r>
    </w:p>
    <w:p w14:paraId="3F606037" w14:textId="332D300A" w:rsidR="002375E8" w:rsidRDefault="002375E8" w:rsidP="00DF64C7">
      <w:pPr>
        <w:pStyle w:val="Legenda"/>
        <w:spacing w:line="271" w:lineRule="auto"/>
        <w:jc w:val="left"/>
      </w:pPr>
      <w:r>
        <w:t xml:space="preserve">Tabela </w:t>
      </w:r>
      <w:r>
        <w:rPr>
          <w:noProof/>
        </w:rPr>
        <w:fldChar w:fldCharType="begin"/>
      </w:r>
      <w:r>
        <w:rPr>
          <w:noProof/>
        </w:rPr>
        <w:instrText xml:space="preserve"> SEQ Tabela \* ARABIC </w:instrText>
      </w:r>
      <w:r>
        <w:rPr>
          <w:noProof/>
        </w:rPr>
        <w:fldChar w:fldCharType="separate"/>
      </w:r>
      <w:r w:rsidR="00A8147E">
        <w:rPr>
          <w:noProof/>
        </w:rPr>
        <w:t>4</w:t>
      </w:r>
      <w:r>
        <w:rPr>
          <w:noProof/>
        </w:rPr>
        <w:fldChar w:fldCharType="end"/>
      </w:r>
      <w:r>
        <w:rPr>
          <w:noProof/>
        </w:rPr>
        <w:t>.</w:t>
      </w:r>
      <w:r>
        <w:t xml:space="preserve"> Liczba szkół ponadgimnazjalnych oraz uczniów w szkołach ponadgimnazjalnych w województwie śląskim w latach 2014-2018</w:t>
      </w:r>
    </w:p>
    <w:tbl>
      <w:tblPr>
        <w:tblStyle w:val="redniasiatka3akcent6"/>
        <w:tblW w:w="0" w:type="auto"/>
        <w:tblLook w:val="04A0" w:firstRow="1" w:lastRow="0" w:firstColumn="1" w:lastColumn="0" w:noHBand="0" w:noVBand="1"/>
        <w:tblCaption w:val="Liczba szkół ponadgimnazjalnych oraz uczniów w szkołach ponadgimnazjalnych w województwie śląskim w latach 2014-2018"/>
        <w:tblDescription w:val="Tabela przedstawia liczbę szkół ponadgimnazjalnych oraz liczę uczniów tych szkół w woj. śląskim w latach 2014-2018. Wyszczególniono w niej również liczbę szkół zawodowych, branżowych i innych oraz uczniów uczęszczających do tych placówek w latach 2014-2018."/>
      </w:tblPr>
      <w:tblGrid>
        <w:gridCol w:w="4130"/>
        <w:gridCol w:w="948"/>
        <w:gridCol w:w="949"/>
        <w:gridCol w:w="949"/>
        <w:gridCol w:w="1037"/>
        <w:gridCol w:w="1037"/>
      </w:tblGrid>
      <w:tr w:rsidR="002375E8" w:rsidRPr="00267BCF" w14:paraId="633AF778" w14:textId="77777777" w:rsidTr="007B5F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7" w:type="dxa"/>
          </w:tcPr>
          <w:p w14:paraId="6F57F2F2" w14:textId="77777777" w:rsidR="002375E8" w:rsidRPr="00267BCF" w:rsidRDefault="002375E8" w:rsidP="00DF64C7">
            <w:pPr>
              <w:jc w:val="left"/>
              <w:rPr>
                <w:rFonts w:cs="Arial"/>
                <w:sz w:val="20"/>
                <w:szCs w:val="20"/>
              </w:rPr>
            </w:pPr>
          </w:p>
        </w:tc>
        <w:tc>
          <w:tcPr>
            <w:tcW w:w="949" w:type="dxa"/>
          </w:tcPr>
          <w:p w14:paraId="1C102D5F" w14:textId="77777777" w:rsidR="002375E8" w:rsidRPr="00267BCF"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267BCF">
              <w:rPr>
                <w:rFonts w:cs="Arial"/>
                <w:sz w:val="20"/>
                <w:szCs w:val="20"/>
              </w:rPr>
              <w:t>2014</w:t>
            </w:r>
          </w:p>
        </w:tc>
        <w:tc>
          <w:tcPr>
            <w:tcW w:w="950" w:type="dxa"/>
          </w:tcPr>
          <w:p w14:paraId="33A947F1" w14:textId="77777777" w:rsidR="002375E8" w:rsidRPr="00267BCF"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267BCF">
              <w:rPr>
                <w:rFonts w:cs="Arial"/>
                <w:sz w:val="20"/>
                <w:szCs w:val="20"/>
              </w:rPr>
              <w:t>2015</w:t>
            </w:r>
          </w:p>
        </w:tc>
        <w:tc>
          <w:tcPr>
            <w:tcW w:w="950" w:type="dxa"/>
          </w:tcPr>
          <w:p w14:paraId="0039A566" w14:textId="77777777" w:rsidR="002375E8" w:rsidRPr="00267BCF"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267BCF">
              <w:rPr>
                <w:rFonts w:cs="Arial"/>
                <w:sz w:val="20"/>
                <w:szCs w:val="20"/>
              </w:rPr>
              <w:t>2016</w:t>
            </w:r>
          </w:p>
        </w:tc>
        <w:tc>
          <w:tcPr>
            <w:tcW w:w="1038" w:type="dxa"/>
          </w:tcPr>
          <w:p w14:paraId="3E8ADA0D" w14:textId="77777777" w:rsidR="002375E8" w:rsidRPr="00267BCF"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267BCF">
              <w:rPr>
                <w:rFonts w:cs="Arial"/>
                <w:sz w:val="20"/>
                <w:szCs w:val="20"/>
              </w:rPr>
              <w:t>2017</w:t>
            </w:r>
          </w:p>
        </w:tc>
        <w:tc>
          <w:tcPr>
            <w:tcW w:w="1038" w:type="dxa"/>
          </w:tcPr>
          <w:p w14:paraId="6FDBEDB4" w14:textId="77777777" w:rsidR="002375E8" w:rsidRPr="00267BCF" w:rsidRDefault="002375E8"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267BCF">
              <w:rPr>
                <w:rFonts w:cs="Arial"/>
                <w:sz w:val="20"/>
                <w:szCs w:val="20"/>
              </w:rPr>
              <w:t>2018</w:t>
            </w:r>
          </w:p>
        </w:tc>
      </w:tr>
      <w:tr w:rsidR="002375E8" w:rsidRPr="00267BCF" w14:paraId="3372B5D0" w14:textId="77777777" w:rsidTr="00AB3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7" w:type="dxa"/>
          </w:tcPr>
          <w:p w14:paraId="683491C8" w14:textId="77777777" w:rsidR="002375E8" w:rsidRPr="00267BCF" w:rsidRDefault="002375E8" w:rsidP="00DF64C7">
            <w:pPr>
              <w:jc w:val="left"/>
              <w:rPr>
                <w:rFonts w:cs="Arial"/>
                <w:sz w:val="20"/>
                <w:szCs w:val="20"/>
              </w:rPr>
            </w:pPr>
            <w:r w:rsidRPr="00267BCF">
              <w:rPr>
                <w:rFonts w:cs="Arial"/>
                <w:sz w:val="20"/>
                <w:szCs w:val="20"/>
              </w:rPr>
              <w:t>Liczba szkół ponadgimnazjalnych</w:t>
            </w:r>
          </w:p>
        </w:tc>
        <w:tc>
          <w:tcPr>
            <w:tcW w:w="949" w:type="dxa"/>
          </w:tcPr>
          <w:p w14:paraId="43C981AB" w14:textId="77777777" w:rsidR="002375E8" w:rsidRPr="00267BCF"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267BCF">
              <w:rPr>
                <w:rFonts w:cs="Arial"/>
                <w:sz w:val="20"/>
              </w:rPr>
              <w:t>1 296</w:t>
            </w:r>
          </w:p>
        </w:tc>
        <w:tc>
          <w:tcPr>
            <w:tcW w:w="950" w:type="dxa"/>
          </w:tcPr>
          <w:p w14:paraId="2480590F" w14:textId="77777777" w:rsidR="002375E8" w:rsidRPr="00267BCF"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267BCF">
              <w:rPr>
                <w:rFonts w:cs="Arial"/>
                <w:sz w:val="20"/>
              </w:rPr>
              <w:t>1 225</w:t>
            </w:r>
          </w:p>
        </w:tc>
        <w:tc>
          <w:tcPr>
            <w:tcW w:w="950" w:type="dxa"/>
          </w:tcPr>
          <w:p w14:paraId="6AE5696A" w14:textId="77777777" w:rsidR="002375E8" w:rsidRPr="00267BCF"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267BCF">
              <w:rPr>
                <w:rFonts w:cs="Arial"/>
                <w:sz w:val="20"/>
              </w:rPr>
              <w:t>1 193</w:t>
            </w:r>
          </w:p>
        </w:tc>
        <w:tc>
          <w:tcPr>
            <w:tcW w:w="1038" w:type="dxa"/>
          </w:tcPr>
          <w:p w14:paraId="7E0A06F5" w14:textId="77777777" w:rsidR="002375E8" w:rsidRPr="00267BCF"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267BCF">
              <w:rPr>
                <w:rFonts w:cs="Arial"/>
                <w:sz w:val="20"/>
              </w:rPr>
              <w:t>1 133</w:t>
            </w:r>
          </w:p>
        </w:tc>
        <w:tc>
          <w:tcPr>
            <w:tcW w:w="1038" w:type="dxa"/>
          </w:tcPr>
          <w:p w14:paraId="61B9E428" w14:textId="77777777" w:rsidR="002375E8" w:rsidRPr="00267BCF"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267BCF">
              <w:rPr>
                <w:rFonts w:cs="Arial"/>
                <w:sz w:val="20"/>
              </w:rPr>
              <w:t>1 076</w:t>
            </w:r>
          </w:p>
        </w:tc>
      </w:tr>
      <w:tr w:rsidR="002375E8" w:rsidRPr="00267BCF" w14:paraId="4DC0BE82" w14:textId="77777777" w:rsidTr="00AB32A3">
        <w:tc>
          <w:tcPr>
            <w:cnfStyle w:val="001000000000" w:firstRow="0" w:lastRow="0" w:firstColumn="1" w:lastColumn="0" w:oddVBand="0" w:evenVBand="0" w:oddHBand="0" w:evenHBand="0" w:firstRowFirstColumn="0" w:firstRowLastColumn="0" w:lastRowFirstColumn="0" w:lastRowLastColumn="0"/>
            <w:tcW w:w="4137" w:type="dxa"/>
          </w:tcPr>
          <w:p w14:paraId="52B5B9E3" w14:textId="77777777" w:rsidR="002375E8" w:rsidRPr="00267BCF" w:rsidRDefault="002375E8" w:rsidP="00DF64C7">
            <w:pPr>
              <w:jc w:val="left"/>
              <w:rPr>
                <w:rFonts w:cs="Arial"/>
                <w:sz w:val="20"/>
                <w:szCs w:val="20"/>
              </w:rPr>
            </w:pPr>
            <w:r w:rsidRPr="00267BCF">
              <w:rPr>
                <w:rFonts w:cs="Arial"/>
                <w:sz w:val="20"/>
                <w:szCs w:val="20"/>
              </w:rPr>
              <w:t>Liczba uczniów w szkołach ponadgimnazjalnych</w:t>
            </w:r>
          </w:p>
        </w:tc>
        <w:tc>
          <w:tcPr>
            <w:tcW w:w="949" w:type="dxa"/>
          </w:tcPr>
          <w:p w14:paraId="20A924B1" w14:textId="77777777" w:rsidR="002375E8" w:rsidRPr="00267BCF"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267BCF">
              <w:rPr>
                <w:rFonts w:cs="Arial"/>
                <w:sz w:val="20"/>
              </w:rPr>
              <w:t>199 086</w:t>
            </w:r>
          </w:p>
        </w:tc>
        <w:tc>
          <w:tcPr>
            <w:tcW w:w="950" w:type="dxa"/>
          </w:tcPr>
          <w:p w14:paraId="13F14B02" w14:textId="77777777" w:rsidR="002375E8" w:rsidRPr="00267BCF"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267BCF">
              <w:rPr>
                <w:rFonts w:cs="Arial"/>
                <w:sz w:val="20"/>
              </w:rPr>
              <w:t>189 987</w:t>
            </w:r>
          </w:p>
        </w:tc>
        <w:tc>
          <w:tcPr>
            <w:tcW w:w="950" w:type="dxa"/>
          </w:tcPr>
          <w:p w14:paraId="2AD741C0" w14:textId="77777777" w:rsidR="002375E8" w:rsidRPr="00267BCF"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267BCF">
              <w:rPr>
                <w:rFonts w:cs="Arial"/>
                <w:sz w:val="20"/>
              </w:rPr>
              <w:t>183 260</w:t>
            </w:r>
          </w:p>
        </w:tc>
        <w:tc>
          <w:tcPr>
            <w:tcW w:w="1038" w:type="dxa"/>
          </w:tcPr>
          <w:p w14:paraId="1F023B2B" w14:textId="77777777" w:rsidR="002375E8" w:rsidRPr="00267BCF"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267BCF">
              <w:rPr>
                <w:rFonts w:cs="Arial"/>
                <w:sz w:val="20"/>
              </w:rPr>
              <w:t>176 494</w:t>
            </w:r>
          </w:p>
        </w:tc>
        <w:tc>
          <w:tcPr>
            <w:tcW w:w="1038" w:type="dxa"/>
          </w:tcPr>
          <w:p w14:paraId="33A4A0FC" w14:textId="77777777" w:rsidR="002375E8" w:rsidRPr="00267BCF"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267BCF">
              <w:rPr>
                <w:rFonts w:cs="Arial"/>
                <w:sz w:val="20"/>
              </w:rPr>
              <w:t>167 492</w:t>
            </w:r>
          </w:p>
        </w:tc>
      </w:tr>
      <w:tr w:rsidR="002375E8" w:rsidRPr="00267BCF" w14:paraId="279C6560" w14:textId="77777777" w:rsidTr="00AB3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7" w:type="dxa"/>
          </w:tcPr>
          <w:p w14:paraId="76596EB2" w14:textId="77777777" w:rsidR="002375E8" w:rsidRPr="00267BCF" w:rsidRDefault="002375E8" w:rsidP="00DF64C7">
            <w:pPr>
              <w:jc w:val="left"/>
              <w:rPr>
                <w:rFonts w:cs="Arial"/>
                <w:sz w:val="20"/>
                <w:szCs w:val="20"/>
              </w:rPr>
            </w:pPr>
            <w:r w:rsidRPr="00267BCF">
              <w:rPr>
                <w:rFonts w:cs="Arial"/>
                <w:sz w:val="20"/>
                <w:szCs w:val="20"/>
              </w:rPr>
              <w:t>Liczba szkół zawodowych, branżowych i innych</w:t>
            </w:r>
          </w:p>
        </w:tc>
        <w:tc>
          <w:tcPr>
            <w:tcW w:w="949" w:type="dxa"/>
          </w:tcPr>
          <w:p w14:paraId="5FF88AF6" w14:textId="77777777" w:rsidR="002375E8" w:rsidRPr="00267BCF"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267BCF">
              <w:rPr>
                <w:rFonts w:cs="Arial"/>
                <w:sz w:val="20"/>
              </w:rPr>
              <w:t>232</w:t>
            </w:r>
          </w:p>
        </w:tc>
        <w:tc>
          <w:tcPr>
            <w:tcW w:w="950" w:type="dxa"/>
          </w:tcPr>
          <w:p w14:paraId="5CF7F993" w14:textId="77777777" w:rsidR="002375E8" w:rsidRPr="00267BCF"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267BCF">
              <w:rPr>
                <w:rFonts w:cs="Arial"/>
                <w:sz w:val="20"/>
              </w:rPr>
              <w:t>229</w:t>
            </w:r>
          </w:p>
        </w:tc>
        <w:tc>
          <w:tcPr>
            <w:tcW w:w="950" w:type="dxa"/>
          </w:tcPr>
          <w:p w14:paraId="302E600F" w14:textId="77777777" w:rsidR="002375E8" w:rsidRPr="00267BCF"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267BCF">
              <w:rPr>
                <w:rFonts w:cs="Arial"/>
                <w:sz w:val="20"/>
              </w:rPr>
              <w:t>227</w:t>
            </w:r>
          </w:p>
        </w:tc>
        <w:tc>
          <w:tcPr>
            <w:tcW w:w="1038" w:type="dxa"/>
          </w:tcPr>
          <w:p w14:paraId="7E27E940" w14:textId="77777777" w:rsidR="002375E8" w:rsidRPr="00267BCF"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267BCF">
              <w:rPr>
                <w:rFonts w:cs="Arial"/>
                <w:sz w:val="20"/>
              </w:rPr>
              <w:t>207</w:t>
            </w:r>
          </w:p>
        </w:tc>
        <w:tc>
          <w:tcPr>
            <w:tcW w:w="1038" w:type="dxa"/>
          </w:tcPr>
          <w:p w14:paraId="5C2C393B" w14:textId="77777777" w:rsidR="002375E8" w:rsidRPr="00267BCF" w:rsidRDefault="002375E8" w:rsidP="00DF64C7">
            <w:pPr>
              <w:jc w:val="left"/>
              <w:cnfStyle w:val="000000100000" w:firstRow="0" w:lastRow="0" w:firstColumn="0" w:lastColumn="0" w:oddVBand="0" w:evenVBand="0" w:oddHBand="1" w:evenHBand="0" w:firstRowFirstColumn="0" w:firstRowLastColumn="0" w:lastRowFirstColumn="0" w:lastRowLastColumn="0"/>
              <w:rPr>
                <w:rFonts w:cs="Arial"/>
                <w:sz w:val="20"/>
              </w:rPr>
            </w:pPr>
            <w:r w:rsidRPr="00267BCF">
              <w:rPr>
                <w:rFonts w:cs="Arial"/>
                <w:sz w:val="20"/>
              </w:rPr>
              <w:t>218</w:t>
            </w:r>
          </w:p>
        </w:tc>
      </w:tr>
      <w:tr w:rsidR="002375E8" w:rsidRPr="00267BCF" w14:paraId="31981012" w14:textId="77777777" w:rsidTr="00AB32A3">
        <w:tc>
          <w:tcPr>
            <w:cnfStyle w:val="001000000000" w:firstRow="0" w:lastRow="0" w:firstColumn="1" w:lastColumn="0" w:oddVBand="0" w:evenVBand="0" w:oddHBand="0" w:evenHBand="0" w:firstRowFirstColumn="0" w:firstRowLastColumn="0" w:lastRowFirstColumn="0" w:lastRowLastColumn="0"/>
            <w:tcW w:w="4137" w:type="dxa"/>
          </w:tcPr>
          <w:p w14:paraId="35E9DEA8" w14:textId="77777777" w:rsidR="002375E8" w:rsidRPr="00267BCF" w:rsidRDefault="002375E8" w:rsidP="00DF64C7">
            <w:pPr>
              <w:jc w:val="left"/>
              <w:rPr>
                <w:rFonts w:cs="Arial"/>
                <w:sz w:val="20"/>
                <w:szCs w:val="20"/>
              </w:rPr>
            </w:pPr>
            <w:r w:rsidRPr="00267BCF">
              <w:rPr>
                <w:rFonts w:cs="Arial"/>
                <w:sz w:val="20"/>
                <w:szCs w:val="20"/>
              </w:rPr>
              <w:t>Liczba uczniów w szkołach zawodowych, branżowych i innych</w:t>
            </w:r>
          </w:p>
        </w:tc>
        <w:tc>
          <w:tcPr>
            <w:tcW w:w="949" w:type="dxa"/>
          </w:tcPr>
          <w:p w14:paraId="680F9125" w14:textId="77777777" w:rsidR="002375E8" w:rsidRPr="00267BCF"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267BCF">
              <w:rPr>
                <w:rFonts w:cs="Arial"/>
                <w:sz w:val="20"/>
              </w:rPr>
              <w:t>22 043</w:t>
            </w:r>
          </w:p>
        </w:tc>
        <w:tc>
          <w:tcPr>
            <w:tcW w:w="950" w:type="dxa"/>
          </w:tcPr>
          <w:p w14:paraId="38402889" w14:textId="77777777" w:rsidR="002375E8" w:rsidRPr="00267BCF"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267BCF">
              <w:rPr>
                <w:rFonts w:cs="Arial"/>
                <w:sz w:val="20"/>
              </w:rPr>
              <w:t>20 533</w:t>
            </w:r>
          </w:p>
        </w:tc>
        <w:tc>
          <w:tcPr>
            <w:tcW w:w="950" w:type="dxa"/>
          </w:tcPr>
          <w:p w14:paraId="105FDF6C" w14:textId="77777777" w:rsidR="002375E8" w:rsidRPr="00267BCF"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267BCF">
              <w:rPr>
                <w:rFonts w:cs="Arial"/>
                <w:sz w:val="20"/>
              </w:rPr>
              <w:t>18 709</w:t>
            </w:r>
          </w:p>
        </w:tc>
        <w:tc>
          <w:tcPr>
            <w:tcW w:w="1038" w:type="dxa"/>
          </w:tcPr>
          <w:p w14:paraId="490AE8EF" w14:textId="77777777" w:rsidR="002375E8" w:rsidRPr="00267BCF"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267BCF">
              <w:rPr>
                <w:rFonts w:cs="Arial"/>
                <w:sz w:val="20"/>
              </w:rPr>
              <w:t>17 377</w:t>
            </w:r>
          </w:p>
        </w:tc>
        <w:tc>
          <w:tcPr>
            <w:tcW w:w="1038" w:type="dxa"/>
          </w:tcPr>
          <w:p w14:paraId="4296E33A" w14:textId="77777777" w:rsidR="002375E8" w:rsidRPr="00267BCF" w:rsidRDefault="002375E8" w:rsidP="00DF64C7">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267BCF">
              <w:rPr>
                <w:rFonts w:cs="Arial"/>
                <w:sz w:val="20"/>
              </w:rPr>
              <w:t>16 243</w:t>
            </w:r>
          </w:p>
        </w:tc>
      </w:tr>
    </w:tbl>
    <w:p w14:paraId="31AD60E0" w14:textId="77777777" w:rsidR="002375E8" w:rsidRPr="001429BE" w:rsidRDefault="002375E8" w:rsidP="00DF64C7">
      <w:pPr>
        <w:pStyle w:val="podpisrdailustracji"/>
        <w:spacing w:line="271" w:lineRule="auto"/>
        <w:jc w:val="left"/>
      </w:pPr>
      <w:r>
        <w:t>Źródło: Opracowanie własne na podstawie BDL GUS.</w:t>
      </w:r>
    </w:p>
    <w:p w14:paraId="636A3F26" w14:textId="77777777" w:rsidR="002375E8" w:rsidRDefault="002375E8" w:rsidP="00DF64C7">
      <w:pPr>
        <w:jc w:val="left"/>
      </w:pPr>
      <w:r>
        <w:t xml:space="preserve">W celu rozwoju kształcenia zawodowego powstał </w:t>
      </w:r>
      <w:r w:rsidRPr="00574F8D">
        <w:rPr>
          <w:i/>
        </w:rPr>
        <w:t>Program Rozwoju Szkolnictwa Zawodowego Województwa Śląskiego na lata 2014-2020</w:t>
      </w:r>
      <w:r>
        <w:t>. Program ten pokazuje, że mocną stroną szkolnictwa zawodowego jest m.in. wiele sprawdzonych form współpracy szkół z otoczeniem biznesowym, bogata pod względem ilości i adekwatna do potrzeb oferta kierunków kształcenia oraz doświadczona i otwarta na pogłębianie wiedzy kadra dydaktyczna. Wśród potrzeb wyróżniono konieczność dostosowania oferty do potrzeb rynku pracy, doposażenie pracowni praktycznej nauki zawodu oraz brak koordynacji działań rozwojowych w zakresie szkolnictwa zawodowego w powiatach</w:t>
      </w:r>
      <w:r>
        <w:rPr>
          <w:rStyle w:val="Odwoanieprzypisudolnego"/>
        </w:rPr>
        <w:footnoteReference w:id="6"/>
      </w:r>
      <w:r>
        <w:t>.</w:t>
      </w:r>
    </w:p>
    <w:p w14:paraId="7E058378" w14:textId="77777777" w:rsidR="002375E8" w:rsidRDefault="002375E8" w:rsidP="00DF64C7">
      <w:pPr>
        <w:jc w:val="left"/>
      </w:pPr>
      <w:r>
        <w:t xml:space="preserve">Przedstawiciele centrów kształcenia zawodowego i ustawicznego przebadani w ramach raportu </w:t>
      </w:r>
      <w:r w:rsidRPr="009E2468">
        <w:rPr>
          <w:i/>
        </w:rPr>
        <w:t xml:space="preserve">Prognoza potrzeb rynku pracy województwa śląskiego w kontekście branż i </w:t>
      </w:r>
      <w:r w:rsidR="005243B5" w:rsidRPr="009E2468">
        <w:rPr>
          <w:i/>
        </w:rPr>
        <w:t>zawodów, dla których</w:t>
      </w:r>
      <w:r w:rsidRPr="009E2468">
        <w:rPr>
          <w:i/>
        </w:rPr>
        <w:t xml:space="preserve"> niezbędne będzie tworzenie CKZIU</w:t>
      </w:r>
      <w:r>
        <w:t xml:space="preserve"> wskazali, że młodzież gimnazjalna nie wybiera kształcenia w zawodach wysokiego zapotrzebowania na regionalnym rynku pracy, decydując się na kontynuację nauki w liceum ogólnokształcącym, co wskazuje, że młodzież nie posiada wiedzy na temat zapotrzebowania na rynku pracy i możliwości uzyskania zatrudnienia w poszczególnych zawodach. Dopiero osoby dorosłe, które decydują się na wybór kierunku kształcenia, posiadają świadomość poszukiwanych na rynku pracy zawodów i na tej podstawie decydują się na zmianę lub uzupełnienie kwalifikacji</w:t>
      </w:r>
      <w:r>
        <w:rPr>
          <w:rStyle w:val="Odwoanieprzypisudolnego"/>
        </w:rPr>
        <w:footnoteReference w:id="7"/>
      </w:r>
      <w:r>
        <w:t>.</w:t>
      </w:r>
    </w:p>
    <w:p w14:paraId="34919DA9" w14:textId="77777777" w:rsidR="002375E8" w:rsidRDefault="002375E8" w:rsidP="00DF64C7">
      <w:pPr>
        <w:jc w:val="left"/>
      </w:pPr>
      <w:r>
        <w:t>Oferta CKZiU w 2017 roku zaspokajała zapotrzebowanie na kursy i szkolenia z zakresu przetwórstwa przemysłowego, handlu hurtowego i detalicznego, naprawy pojazdów samochodowych, budownictwa oraz usług z zakresu kosmetyki i fryzjerstwa. Oferta ta nie wpisywała się jednak w potrzeby związane z transportem i gospodarką magazynową, finansami i ubezpieczeniami, opieką zdrowotną i pomocą społeczną oraz branży informacji i komunikacji</w:t>
      </w:r>
      <w:r>
        <w:rPr>
          <w:rStyle w:val="Odwoanieprzypisudolnego"/>
        </w:rPr>
        <w:footnoteReference w:id="8"/>
      </w:r>
      <w:r>
        <w:t>.</w:t>
      </w:r>
    </w:p>
    <w:p w14:paraId="515A3B07" w14:textId="77777777" w:rsidR="002375E8" w:rsidRDefault="002375E8" w:rsidP="00DF64C7">
      <w:pPr>
        <w:pStyle w:val="Wyrnienie"/>
        <w:jc w:val="left"/>
      </w:pPr>
      <w:r>
        <w:lastRenderedPageBreak/>
        <w:t>Rynek pracy</w:t>
      </w:r>
    </w:p>
    <w:p w14:paraId="0D976532" w14:textId="3228D775" w:rsidR="002375E8" w:rsidRDefault="002375E8" w:rsidP="00DF64C7">
      <w:pPr>
        <w:jc w:val="left"/>
      </w:pPr>
      <w:r>
        <w:t>W 2014 roku współczynnik aktywności ekonomicznej w województwie śląskim wyniósł 54,3%. Na przestrzeni lat 2014-2018 systematycznie malał. Wskaźnik ten był niższy niż wskaźnik w Polsce (w roku 2014 56,3%, w roku 2018 – 56,1%). W roku 2014, tj. na początku wdrażania RPO WSL 2014-2020 województwo śląskie charakteryzowało się jednym z na</w:t>
      </w:r>
      <w:r w:rsidR="008F4250">
        <w:t>jniższych w kraju współczynników</w:t>
      </w:r>
      <w:r>
        <w:t xml:space="preserve"> aktywności ekonomicznej mieszkańców, na co wpływ miały procesy demograficzne, restrukturyzacja gospodarki oraz wcześniejsze przechodzenie na emeryturę przez osoby pracujące w przemyśle ciężkim</w:t>
      </w:r>
      <w:r>
        <w:rPr>
          <w:rStyle w:val="Odwoanieprzypisudolnego"/>
        </w:rPr>
        <w:footnoteReference w:id="9"/>
      </w:r>
      <w:r>
        <w:t>.</w:t>
      </w:r>
    </w:p>
    <w:p w14:paraId="0411E6FD" w14:textId="275A4726" w:rsidR="002375E8" w:rsidRPr="00C3711A" w:rsidRDefault="00D22B94" w:rsidP="00DF64C7">
      <w:pPr>
        <w:pStyle w:val="Legenda"/>
        <w:spacing w:line="271" w:lineRule="auto"/>
        <w:jc w:val="left"/>
      </w:pPr>
      <w:r>
        <w:t xml:space="preserve">Wykres </w:t>
      </w:r>
      <w:r w:rsidR="000C2F92">
        <w:rPr>
          <w:noProof/>
        </w:rPr>
        <w:fldChar w:fldCharType="begin"/>
      </w:r>
      <w:r w:rsidR="000C2F92">
        <w:rPr>
          <w:noProof/>
        </w:rPr>
        <w:instrText xml:space="preserve"> SEQ Wykres \* ARABIC </w:instrText>
      </w:r>
      <w:r w:rsidR="000C2F92">
        <w:rPr>
          <w:noProof/>
        </w:rPr>
        <w:fldChar w:fldCharType="separate"/>
      </w:r>
      <w:r w:rsidR="00A8147E">
        <w:rPr>
          <w:noProof/>
        </w:rPr>
        <w:t>1</w:t>
      </w:r>
      <w:r w:rsidR="000C2F92">
        <w:rPr>
          <w:noProof/>
        </w:rPr>
        <w:fldChar w:fldCharType="end"/>
      </w:r>
      <w:r>
        <w:t xml:space="preserve">. </w:t>
      </w:r>
      <w:r w:rsidR="002375E8">
        <w:t>Współczynnik aktywności ekonomicznej w województwie śląskim i Polsce w latach 2014-2018</w:t>
      </w:r>
      <w:r w:rsidR="002375E8">
        <w:rPr>
          <w:rStyle w:val="Odwoanieprzypisudolnego"/>
        </w:rPr>
        <w:footnoteReference w:id="10"/>
      </w:r>
    </w:p>
    <w:p w14:paraId="3DD737C0" w14:textId="77777777" w:rsidR="002375E8" w:rsidRDefault="002375E8" w:rsidP="00DF64C7">
      <w:pPr>
        <w:jc w:val="left"/>
      </w:pPr>
      <w:r>
        <w:rPr>
          <w:noProof/>
          <w:lang w:eastAsia="pl-PL"/>
        </w:rPr>
        <w:drawing>
          <wp:inline distT="0" distB="0" distL="0" distR="0" wp14:anchorId="30035969" wp14:editId="0B89E285">
            <wp:extent cx="5667375" cy="2381250"/>
            <wp:effectExtent l="0" t="0" r="9525" b="0"/>
            <wp:docPr id="1" name="Wykres 1" descr="Wykres liniowy na którym przedstawiono współczynnik aktywności ekonomicznej w woj. śląskim oraz w Polsce w latach 2014-2018. Wartości w województwie śląskim były niższe niż  wartości przedstawiony dla Polski ogółem. W przypadku województwa śląskiego, wskaźnik w 2014 r. wyniósł 54,3% (w porównaniu do Polski - 56,3) a w 2018 r. wyniósł 52,3% (w porównaniu do Polski 56,1%)." title="Współczynnik aktywności ekonomicznej w województwie śląskim i Polsce w latach 2014-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82914D" w14:textId="77777777" w:rsidR="002375E8" w:rsidRPr="007B5F7E" w:rsidRDefault="002375E8" w:rsidP="00DF64C7">
      <w:pPr>
        <w:spacing w:after="240"/>
        <w:jc w:val="left"/>
        <w:rPr>
          <w:sz w:val="18"/>
        </w:rPr>
      </w:pPr>
      <w:r w:rsidRPr="007B5F7E">
        <w:rPr>
          <w:sz w:val="18"/>
        </w:rPr>
        <w:t>Źródło: Opracowanie własne na podstawie BDL GUS.</w:t>
      </w:r>
    </w:p>
    <w:p w14:paraId="200CF491" w14:textId="77777777" w:rsidR="002375E8" w:rsidRDefault="002375E8" w:rsidP="00DF64C7">
      <w:pPr>
        <w:jc w:val="left"/>
      </w:pPr>
      <w:r>
        <w:t xml:space="preserve">Rozwój przedsiębiorstw uwarunkowany jest dostępnością do wykwalifikowanej kadry. Przeprowadzone w 2017 roku badanie </w:t>
      </w:r>
      <w:r w:rsidRPr="00056CAC">
        <w:rPr>
          <w:i/>
        </w:rPr>
        <w:t xml:space="preserve">Zapotrzebowanie </w:t>
      </w:r>
      <w:r>
        <w:rPr>
          <w:i/>
        </w:rPr>
        <w:t>na kwalifikacje/</w:t>
      </w:r>
      <w:r w:rsidRPr="00056CAC">
        <w:rPr>
          <w:i/>
        </w:rPr>
        <w:t>umiejętności w przedsiębiorstwach w województwie śląskim</w:t>
      </w:r>
      <w:r>
        <w:t xml:space="preserve"> wskazuje, </w:t>
      </w:r>
      <w:r w:rsidR="005243B5">
        <w:t>iż, blisko co</w:t>
      </w:r>
      <w:r>
        <w:t xml:space="preserve"> trzeci pracodawca przewidywał zwiększenie zatrudnienia w ciągu kolejnych 12 miesięcy. Plany zatrudnieniowe deklarowali najczęściej właściciele dużych i średnich firm. Pracodawcy wskazywali, że podstawowym wymogiem zatrudnienia będzie posiadanie przez kandydatów do pracy adekwatnego wykształcenia (wyższego lub zawodowego), oraz umiejętności/kwalifikacji zawodowych</w:t>
      </w:r>
      <w:r>
        <w:rPr>
          <w:rStyle w:val="Odwoanieprzypisudolnego"/>
        </w:rPr>
        <w:footnoteReference w:id="11"/>
      </w:r>
      <w:r>
        <w:t>.</w:t>
      </w:r>
    </w:p>
    <w:p w14:paraId="2C0F1DFE" w14:textId="77777777" w:rsidR="002375E8" w:rsidRDefault="002375E8" w:rsidP="00DF64C7">
      <w:pPr>
        <w:spacing w:after="240"/>
        <w:jc w:val="left"/>
      </w:pPr>
      <w:r w:rsidRPr="00056CAC">
        <w:rPr>
          <w:i/>
        </w:rPr>
        <w:t>Barometr zawodów 2019 dla województwa śląskiego</w:t>
      </w:r>
      <w:r>
        <w:t xml:space="preserve"> wskazuje branże, w których występują największe deficyty wykwalifikowanych pracowników</w:t>
      </w:r>
      <w:r>
        <w:rPr>
          <w:rStyle w:val="Odwoanieprzypisudolnego"/>
        </w:rPr>
        <w:footnoteReference w:id="12"/>
      </w:r>
      <w:r>
        <w:t>.</w:t>
      </w:r>
    </w:p>
    <w:p w14:paraId="5AFE5F68" w14:textId="1E14C705" w:rsidR="002375E8" w:rsidRDefault="002375E8" w:rsidP="00DF64C7">
      <w:pPr>
        <w:pStyle w:val="Legenda"/>
        <w:spacing w:line="271" w:lineRule="auto"/>
        <w:jc w:val="left"/>
      </w:pPr>
      <w:r>
        <w:lastRenderedPageBreak/>
        <w:t xml:space="preserve">Tabela </w:t>
      </w:r>
      <w:r>
        <w:rPr>
          <w:noProof/>
        </w:rPr>
        <w:fldChar w:fldCharType="begin"/>
      </w:r>
      <w:r>
        <w:rPr>
          <w:noProof/>
        </w:rPr>
        <w:instrText xml:space="preserve"> SEQ Tabela \* ARABIC </w:instrText>
      </w:r>
      <w:r>
        <w:rPr>
          <w:noProof/>
        </w:rPr>
        <w:fldChar w:fldCharType="separate"/>
      </w:r>
      <w:r w:rsidR="00A8147E">
        <w:rPr>
          <w:noProof/>
        </w:rPr>
        <w:t>5</w:t>
      </w:r>
      <w:r>
        <w:rPr>
          <w:noProof/>
        </w:rPr>
        <w:fldChar w:fldCharType="end"/>
      </w:r>
      <w:r>
        <w:t>. Branże o największych deficytach wykwalifikowanych pracowników</w:t>
      </w:r>
    </w:p>
    <w:tbl>
      <w:tblPr>
        <w:tblStyle w:val="Tabelasiatki1jasnaakcent61"/>
        <w:tblW w:w="0" w:type="auto"/>
        <w:tblLook w:val="04A0" w:firstRow="1" w:lastRow="0" w:firstColumn="1" w:lastColumn="0" w:noHBand="0" w:noVBand="1"/>
        <w:tblCaption w:val="Branże o największych deficytach wykwalifikowanych pracowników"/>
        <w:tblDescription w:val="Tabela przedstawia nazwy branż o największych deficytach wykwalifikowanych pracowników w woj. śląskim."/>
      </w:tblPr>
      <w:tblGrid>
        <w:gridCol w:w="3020"/>
        <w:gridCol w:w="3020"/>
        <w:gridCol w:w="3020"/>
      </w:tblGrid>
      <w:tr w:rsidR="002375E8" w:rsidRPr="00BE2EE0" w14:paraId="3560ED77" w14:textId="77777777" w:rsidTr="00AB32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tcBorders>
          </w:tcPr>
          <w:p w14:paraId="6B9EF338" w14:textId="77777777" w:rsidR="002375E8" w:rsidRPr="00056CAC" w:rsidRDefault="002375E8" w:rsidP="00DF64C7">
            <w:pPr>
              <w:jc w:val="left"/>
              <w:rPr>
                <w:b w:val="0"/>
                <w:sz w:val="20"/>
              </w:rPr>
            </w:pPr>
            <w:r w:rsidRPr="00056CAC">
              <w:rPr>
                <w:b w:val="0"/>
                <w:sz w:val="20"/>
              </w:rPr>
              <w:t>Betoniarze i zbrojarze</w:t>
            </w:r>
          </w:p>
          <w:p w14:paraId="4BE58E66" w14:textId="77777777" w:rsidR="002375E8" w:rsidRPr="00056CAC" w:rsidRDefault="002375E8" w:rsidP="00DF64C7">
            <w:pPr>
              <w:jc w:val="left"/>
              <w:rPr>
                <w:b w:val="0"/>
                <w:sz w:val="20"/>
              </w:rPr>
            </w:pPr>
            <w:r w:rsidRPr="00056CAC">
              <w:rPr>
                <w:b w:val="0"/>
                <w:sz w:val="20"/>
              </w:rPr>
              <w:t>Blacharze i lakiernicy samochodowi</w:t>
            </w:r>
          </w:p>
          <w:p w14:paraId="4094BDFD" w14:textId="77777777" w:rsidR="002375E8" w:rsidRPr="00056CAC" w:rsidRDefault="002375E8" w:rsidP="00DF64C7">
            <w:pPr>
              <w:jc w:val="left"/>
              <w:rPr>
                <w:b w:val="0"/>
                <w:sz w:val="20"/>
              </w:rPr>
            </w:pPr>
            <w:r w:rsidRPr="00056CAC">
              <w:rPr>
                <w:b w:val="0"/>
                <w:sz w:val="20"/>
              </w:rPr>
              <w:t>Brukarze</w:t>
            </w:r>
          </w:p>
          <w:p w14:paraId="25497212" w14:textId="77777777" w:rsidR="002375E8" w:rsidRPr="00056CAC" w:rsidRDefault="002375E8" w:rsidP="00DF64C7">
            <w:pPr>
              <w:jc w:val="left"/>
              <w:rPr>
                <w:b w:val="0"/>
                <w:sz w:val="20"/>
              </w:rPr>
            </w:pPr>
            <w:r w:rsidRPr="00056CAC">
              <w:rPr>
                <w:b w:val="0"/>
                <w:sz w:val="20"/>
              </w:rPr>
              <w:t>Cieśle i stolarze budowlani</w:t>
            </w:r>
          </w:p>
          <w:p w14:paraId="0DA9EA3E" w14:textId="77777777" w:rsidR="002375E8" w:rsidRPr="00056CAC" w:rsidRDefault="002375E8" w:rsidP="00DF64C7">
            <w:pPr>
              <w:jc w:val="left"/>
              <w:rPr>
                <w:b w:val="0"/>
                <w:sz w:val="20"/>
              </w:rPr>
            </w:pPr>
            <w:r w:rsidRPr="00056CAC">
              <w:rPr>
                <w:b w:val="0"/>
                <w:sz w:val="20"/>
              </w:rPr>
              <w:t>Cukiernicy</w:t>
            </w:r>
          </w:p>
          <w:p w14:paraId="4A8C0DDC" w14:textId="77777777" w:rsidR="002375E8" w:rsidRPr="00056CAC" w:rsidRDefault="002375E8" w:rsidP="00DF64C7">
            <w:pPr>
              <w:jc w:val="left"/>
              <w:rPr>
                <w:b w:val="0"/>
                <w:sz w:val="20"/>
              </w:rPr>
            </w:pPr>
            <w:r w:rsidRPr="00056CAC">
              <w:rPr>
                <w:b w:val="0"/>
                <w:sz w:val="20"/>
              </w:rPr>
              <w:t>Dekarze i blacharze budowlani</w:t>
            </w:r>
          </w:p>
          <w:p w14:paraId="79FC99BE" w14:textId="77777777" w:rsidR="002375E8" w:rsidRPr="00056CAC" w:rsidRDefault="002375E8" w:rsidP="00DF64C7">
            <w:pPr>
              <w:jc w:val="left"/>
              <w:rPr>
                <w:b w:val="0"/>
                <w:sz w:val="20"/>
              </w:rPr>
            </w:pPr>
            <w:r w:rsidRPr="00056CAC">
              <w:rPr>
                <w:b w:val="0"/>
                <w:sz w:val="20"/>
              </w:rPr>
              <w:t>Elektrycy, elektromechanicy i elektromonterzy</w:t>
            </w:r>
          </w:p>
          <w:p w14:paraId="6AA312A5" w14:textId="77777777" w:rsidR="002375E8" w:rsidRPr="00056CAC" w:rsidRDefault="002375E8" w:rsidP="00DF64C7">
            <w:pPr>
              <w:jc w:val="left"/>
              <w:rPr>
                <w:b w:val="0"/>
                <w:sz w:val="20"/>
              </w:rPr>
            </w:pPr>
            <w:r w:rsidRPr="00056CAC">
              <w:rPr>
                <w:b w:val="0"/>
                <w:sz w:val="20"/>
              </w:rPr>
              <w:t>Fizjoterapeuci i masażyści</w:t>
            </w:r>
          </w:p>
          <w:p w14:paraId="0D0F3144" w14:textId="77777777" w:rsidR="002375E8" w:rsidRPr="00056CAC" w:rsidRDefault="002375E8" w:rsidP="00DF64C7">
            <w:pPr>
              <w:jc w:val="left"/>
              <w:rPr>
                <w:b w:val="0"/>
                <w:sz w:val="20"/>
              </w:rPr>
            </w:pPr>
            <w:r w:rsidRPr="00056CAC">
              <w:rPr>
                <w:b w:val="0"/>
                <w:sz w:val="20"/>
              </w:rPr>
              <w:t>Fryzjerzy</w:t>
            </w:r>
          </w:p>
          <w:p w14:paraId="1AE1B1B5" w14:textId="77777777" w:rsidR="002375E8" w:rsidRPr="00056CAC" w:rsidRDefault="002375E8" w:rsidP="00DF64C7">
            <w:pPr>
              <w:jc w:val="left"/>
              <w:rPr>
                <w:b w:val="0"/>
                <w:sz w:val="20"/>
              </w:rPr>
            </w:pPr>
            <w:r w:rsidRPr="00056CAC">
              <w:rPr>
                <w:b w:val="0"/>
                <w:sz w:val="20"/>
              </w:rPr>
              <w:t>Kelnerzy i barmani</w:t>
            </w:r>
          </w:p>
          <w:p w14:paraId="5F6B227A" w14:textId="77777777" w:rsidR="002375E8" w:rsidRPr="00056CAC" w:rsidRDefault="002375E8" w:rsidP="00DF64C7">
            <w:pPr>
              <w:jc w:val="left"/>
              <w:rPr>
                <w:b w:val="0"/>
                <w:sz w:val="20"/>
              </w:rPr>
            </w:pPr>
            <w:r w:rsidRPr="00056CAC">
              <w:rPr>
                <w:b w:val="0"/>
                <w:sz w:val="20"/>
              </w:rPr>
              <w:t>Kierowcy autobusów</w:t>
            </w:r>
          </w:p>
          <w:p w14:paraId="2C16853A" w14:textId="77777777" w:rsidR="002375E8" w:rsidRPr="00056CAC" w:rsidRDefault="002375E8" w:rsidP="00DF64C7">
            <w:pPr>
              <w:jc w:val="left"/>
              <w:rPr>
                <w:b w:val="0"/>
                <w:sz w:val="20"/>
              </w:rPr>
            </w:pPr>
            <w:r w:rsidRPr="00056CAC">
              <w:rPr>
                <w:b w:val="0"/>
                <w:sz w:val="20"/>
              </w:rPr>
              <w:t>Kierowcy samochodów ciężarowych i ciągników</w:t>
            </w:r>
          </w:p>
          <w:p w14:paraId="7701D2EA" w14:textId="77777777" w:rsidR="002375E8" w:rsidRPr="00056CAC" w:rsidRDefault="002375E8" w:rsidP="00DF64C7">
            <w:pPr>
              <w:jc w:val="left"/>
              <w:rPr>
                <w:b w:val="0"/>
                <w:sz w:val="20"/>
              </w:rPr>
            </w:pPr>
            <w:r w:rsidRPr="00056CAC">
              <w:rPr>
                <w:b w:val="0"/>
                <w:sz w:val="20"/>
              </w:rPr>
              <w:t>siodłowych</w:t>
            </w:r>
          </w:p>
          <w:p w14:paraId="1C055AD7" w14:textId="77777777" w:rsidR="002375E8" w:rsidRPr="00056CAC" w:rsidRDefault="002375E8" w:rsidP="00DF64C7">
            <w:pPr>
              <w:jc w:val="left"/>
              <w:rPr>
                <w:b w:val="0"/>
                <w:sz w:val="20"/>
              </w:rPr>
            </w:pPr>
            <w:r w:rsidRPr="00056CAC">
              <w:rPr>
                <w:b w:val="0"/>
                <w:sz w:val="20"/>
              </w:rPr>
              <w:t>Kierownicy budowy</w:t>
            </w:r>
          </w:p>
          <w:p w14:paraId="147A9917" w14:textId="77777777" w:rsidR="002375E8" w:rsidRPr="00056CAC" w:rsidRDefault="002375E8" w:rsidP="00DF64C7">
            <w:pPr>
              <w:jc w:val="left"/>
              <w:rPr>
                <w:b w:val="0"/>
                <w:sz w:val="20"/>
              </w:rPr>
            </w:pPr>
            <w:r w:rsidRPr="00056CAC">
              <w:rPr>
                <w:b w:val="0"/>
                <w:sz w:val="20"/>
              </w:rPr>
              <w:t>Kosmetyczki</w:t>
            </w:r>
          </w:p>
        </w:tc>
        <w:tc>
          <w:tcPr>
            <w:tcW w:w="3021" w:type="dxa"/>
            <w:tcBorders>
              <w:top w:val="single" w:sz="4" w:space="0" w:color="auto"/>
            </w:tcBorders>
          </w:tcPr>
          <w:p w14:paraId="3E4FB690"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Krawcy i pracownicy produkcji odzieży</w:t>
            </w:r>
          </w:p>
          <w:p w14:paraId="131B766D"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Kucharze</w:t>
            </w:r>
          </w:p>
          <w:p w14:paraId="1F9AEB59"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Lekarze</w:t>
            </w:r>
          </w:p>
          <w:p w14:paraId="15436E35"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Magazynierzy</w:t>
            </w:r>
          </w:p>
          <w:p w14:paraId="56E7958F"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Masarze i przetwórcy ryb</w:t>
            </w:r>
          </w:p>
          <w:p w14:paraId="0D617288"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Mechanicy pojazdów samochodowych</w:t>
            </w:r>
          </w:p>
          <w:p w14:paraId="6E738E3D"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Monterzy instalacji budowlanych</w:t>
            </w:r>
          </w:p>
          <w:p w14:paraId="6224BB43"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Murarze i tynkarze</w:t>
            </w:r>
          </w:p>
          <w:p w14:paraId="3630D1FB"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Nauczyciele praktycznej nauki zawodu</w:t>
            </w:r>
          </w:p>
          <w:p w14:paraId="09F45F75"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Nauczyciele szkół specjalnych i oddziałów integracyjnych</w:t>
            </w:r>
          </w:p>
          <w:p w14:paraId="7EFEB3BD"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Operatorzy i mechanicy sprzętu do robót ziemnych</w:t>
            </w:r>
          </w:p>
        </w:tc>
        <w:tc>
          <w:tcPr>
            <w:tcW w:w="3021" w:type="dxa"/>
            <w:tcBorders>
              <w:top w:val="single" w:sz="4" w:space="0" w:color="auto"/>
            </w:tcBorders>
          </w:tcPr>
          <w:p w14:paraId="0C424842"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Opiekunowie osoby starszej lub niepełnosprawnej Piekarze</w:t>
            </w:r>
          </w:p>
          <w:p w14:paraId="65DAC359"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Pielęgniarki i położne</w:t>
            </w:r>
          </w:p>
          <w:p w14:paraId="14851017"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Pomoce kuchenne</w:t>
            </w:r>
          </w:p>
          <w:p w14:paraId="4FC70544"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Pracownicy fizyczni w produkcji i pracach prostych</w:t>
            </w:r>
          </w:p>
          <w:p w14:paraId="2121E369"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Pracownicy robót wykończeniowych w budownictwie</w:t>
            </w:r>
          </w:p>
          <w:p w14:paraId="2C1E0797"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Pracownicy służb mundurowych</w:t>
            </w:r>
          </w:p>
          <w:p w14:paraId="1715FA88"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Robotnicy budowlani</w:t>
            </w:r>
          </w:p>
          <w:p w14:paraId="4139029B"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Robotnicy obróbki drewna i stolarze</w:t>
            </w:r>
          </w:p>
          <w:p w14:paraId="4325CDEC"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Samodzielni księgowi</w:t>
            </w:r>
          </w:p>
          <w:p w14:paraId="1C59B9DE"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Spawacze</w:t>
            </w:r>
          </w:p>
          <w:p w14:paraId="393C390A"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Sprzedawcy i kasjerzy</w:t>
            </w:r>
          </w:p>
          <w:p w14:paraId="566501BC"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Szefowie kuchni</w:t>
            </w:r>
          </w:p>
          <w:p w14:paraId="7C005F9C" w14:textId="77777777" w:rsidR="002375E8" w:rsidRPr="00056CAC" w:rsidRDefault="002375E8" w:rsidP="00DF64C7">
            <w:pPr>
              <w:jc w:val="left"/>
              <w:cnfStyle w:val="100000000000" w:firstRow="1" w:lastRow="0" w:firstColumn="0" w:lastColumn="0" w:oddVBand="0" w:evenVBand="0" w:oddHBand="0" w:evenHBand="0" w:firstRowFirstColumn="0" w:firstRowLastColumn="0" w:lastRowFirstColumn="0" w:lastRowLastColumn="0"/>
              <w:rPr>
                <w:b w:val="0"/>
                <w:sz w:val="20"/>
              </w:rPr>
            </w:pPr>
            <w:r w:rsidRPr="00056CAC">
              <w:rPr>
                <w:b w:val="0"/>
                <w:sz w:val="20"/>
              </w:rPr>
              <w:t>Ślusarze</w:t>
            </w:r>
          </w:p>
        </w:tc>
      </w:tr>
    </w:tbl>
    <w:p w14:paraId="6282C991" w14:textId="77777777" w:rsidR="002375E8" w:rsidRDefault="002375E8" w:rsidP="00DF64C7">
      <w:pPr>
        <w:pStyle w:val="podpisrdailustracji"/>
        <w:spacing w:line="271" w:lineRule="auto"/>
        <w:jc w:val="left"/>
      </w:pPr>
      <w:r>
        <w:t>Źródło: Opracowanie własne EU-Consult Sp. z o.o. na podstawie Barometr zawodów 2019 województwo śląskie.</w:t>
      </w:r>
    </w:p>
    <w:p w14:paraId="4E7BA9A0" w14:textId="77777777" w:rsidR="002375E8" w:rsidRDefault="002375E8" w:rsidP="00DF64C7">
      <w:pPr>
        <w:jc w:val="left"/>
      </w:pPr>
      <w:r>
        <w:t>Wsparcie w ramach OP XI</w:t>
      </w:r>
      <w:r w:rsidR="003D579F">
        <w:t xml:space="preserve"> </w:t>
      </w:r>
      <w:r w:rsidR="003D579F" w:rsidRPr="003D579F">
        <w:t>Wzmocnienie potencjału edukacyjnego</w:t>
      </w:r>
      <w:r>
        <w:t xml:space="preserve"> zakłada poprawę dostępu do wysokiej jakości edukacji. Z powodu szybko zmieniającej się sytuacji społeczno-gospodarczej, postępującej globalizacji oraz rozwoju technologicznego, koniecznym jest, by oferta edukacyjna była dostosowana do potrzeb pracodawców, gdyż tylko w takim wypadku osoby kończące edukację będą miały szanse na prawidłowe wejście i funkcjonowanie na rynku pracy. W przypadku województwa śląskiego, gdzie największe zmiany zachodzą w zakresie restrukturyzacji przemysłu, zmniejszającej się przewagi kosztowej górnictwa czy hutnictwa, konieczne jest kształcenie nie tylko dzieci i młodzieży, ale także osób dorosłych w zakresie aktualnych wymagań rynku pracy. Duże znaczenie w tym zakresie ma skoncentrowanie interwencji na szkolnictwie zawodowym i ścisłym powiązaniu go z potrzebami otoczenia, ale także podnoszenie kwalifikacji zawodowych osób dorosłych. </w:t>
      </w:r>
    </w:p>
    <w:p w14:paraId="792732D1" w14:textId="77777777" w:rsidR="002375E8" w:rsidRDefault="002375E8" w:rsidP="00DF64C7">
      <w:pPr>
        <w:jc w:val="left"/>
      </w:pPr>
      <w:r>
        <w:t>Konieczne jest także kształcenie komunikatywności, korzystania z nowych technologii, przedsiębiorczości i kreatywności. W związku z tym działania realizowane w ramach OP XI wspierają również rozwój edukacji przedszkolnej oraz kształcenia ogólnego, dzięki czemu uczniowie zdobywają umiejętności przydatne w późniejszym wejściu na rynek pracy</w:t>
      </w:r>
      <w:r>
        <w:rPr>
          <w:rStyle w:val="Odwoanieprzypisudolnego"/>
        </w:rPr>
        <w:footnoteReference w:id="13"/>
      </w:r>
      <w:r>
        <w:t>.</w:t>
      </w:r>
    </w:p>
    <w:p w14:paraId="6FD57801" w14:textId="77777777" w:rsidR="00004862" w:rsidRDefault="002375E8" w:rsidP="00DF64C7">
      <w:pPr>
        <w:jc w:val="left"/>
      </w:pPr>
      <w:r w:rsidRPr="006330E0">
        <w:t xml:space="preserve">Przyjęte w OP kierunki i zakresy interwencji są zgodne z przyjętymi celami na poziomie krajowym, określonym w </w:t>
      </w:r>
      <w:r w:rsidRPr="00056CAC">
        <w:rPr>
          <w:i/>
        </w:rPr>
        <w:t>Umowie Partnerstwa</w:t>
      </w:r>
      <w:r w:rsidRPr="006330E0">
        <w:t xml:space="preserve">, odnoszą się także do celów </w:t>
      </w:r>
      <w:r w:rsidRPr="00056CAC">
        <w:rPr>
          <w:i/>
        </w:rPr>
        <w:t>Strategii Europa 2020</w:t>
      </w:r>
      <w:r w:rsidRPr="006330E0">
        <w:t>. By cele realizowane były efektywnie</w:t>
      </w:r>
      <w:r>
        <w:t>, kierunki uwzględniają realizację wsparcia przy zastosowaniu dotychczas wypracowanych rozwiązań i narzędzi, koncentracji środków na szkołach i placówkach na obszarach o największych potrzebach w zakresie edukacji i indywidualizacji wsparcia</w:t>
      </w:r>
      <w:r>
        <w:rPr>
          <w:rStyle w:val="Odwoanieprzypisudolnego"/>
        </w:rPr>
        <w:footnoteReference w:id="14"/>
      </w:r>
      <w:r>
        <w:t>.</w:t>
      </w:r>
    </w:p>
    <w:p w14:paraId="6B69B6C5" w14:textId="77777777" w:rsidR="002375E8" w:rsidRDefault="002375E8" w:rsidP="00DF64C7">
      <w:pPr>
        <w:jc w:val="left"/>
      </w:pPr>
    </w:p>
    <w:p w14:paraId="51959FDF" w14:textId="77777777" w:rsidR="00DA2E7D" w:rsidRDefault="00DA2E7D" w:rsidP="00DF64C7">
      <w:pPr>
        <w:jc w:val="left"/>
        <w:rPr>
          <w:rFonts w:cstheme="minorHAnsi"/>
        </w:rPr>
      </w:pPr>
      <w:r>
        <w:rPr>
          <w:rFonts w:cstheme="minorHAnsi"/>
        </w:rPr>
        <w:t>W ramach RPO WSL 2014-2020 na realizację OP XI przeznaczono 194 894 146 EUR. Największe środki zostały skierowane na wsparcie projektów realizowanych w ramach Działania 11.1 (80 031 554 EUR) oraz Działania 11.2 (53 493 650 EUR). Szczegółowe informacje na temat zaplanowanej alokacji znajdują się w poniższej tabeli:</w:t>
      </w:r>
    </w:p>
    <w:p w14:paraId="74231509" w14:textId="0BBBE840" w:rsidR="00DA2E7D" w:rsidRDefault="00DA2E7D" w:rsidP="00DF64C7">
      <w:pPr>
        <w:pStyle w:val="Legenda"/>
        <w:spacing w:line="271" w:lineRule="auto"/>
        <w:jc w:val="left"/>
      </w:pPr>
      <w:bookmarkStart w:id="25" w:name="_Toc33457206"/>
      <w:r>
        <w:t xml:space="preserve">Tabela </w:t>
      </w:r>
      <w:r>
        <w:rPr>
          <w:noProof/>
        </w:rPr>
        <w:fldChar w:fldCharType="begin"/>
      </w:r>
      <w:r>
        <w:rPr>
          <w:noProof/>
        </w:rPr>
        <w:instrText xml:space="preserve"> SEQ Tabela \* ARABIC </w:instrText>
      </w:r>
      <w:r>
        <w:rPr>
          <w:noProof/>
        </w:rPr>
        <w:fldChar w:fldCharType="separate"/>
      </w:r>
      <w:r w:rsidR="00A8147E">
        <w:rPr>
          <w:noProof/>
        </w:rPr>
        <w:t>6</w:t>
      </w:r>
      <w:r>
        <w:rPr>
          <w:noProof/>
        </w:rPr>
        <w:fldChar w:fldCharType="end"/>
      </w:r>
      <w:r>
        <w:rPr>
          <w:noProof/>
        </w:rPr>
        <w:t>.</w:t>
      </w:r>
      <w:r>
        <w:t xml:space="preserve"> Alokacja w ramach poszczególnych Działań OP XI</w:t>
      </w:r>
      <w:bookmarkEnd w:id="25"/>
      <w:r>
        <w:t xml:space="preserve"> </w:t>
      </w:r>
    </w:p>
    <w:tbl>
      <w:tblPr>
        <w:tblStyle w:val="redniasiatka3akcent6"/>
        <w:tblW w:w="0" w:type="auto"/>
        <w:tblLook w:val="04A0" w:firstRow="1" w:lastRow="0" w:firstColumn="1" w:lastColumn="0" w:noHBand="0" w:noVBand="1"/>
        <w:tblCaption w:val="Alokacja w ramach poszczególnych Działań OP XI "/>
        <w:tblDescription w:val="Tabela przedstawia poziom alokacji w ramach poszczególnych Działań i Poddziałań dla osi priotytetowej XI."/>
      </w:tblPr>
      <w:tblGrid>
        <w:gridCol w:w="3108"/>
        <w:gridCol w:w="2770"/>
        <w:gridCol w:w="3172"/>
      </w:tblGrid>
      <w:tr w:rsidR="00DA2E7D" w:rsidRPr="00457B63" w14:paraId="4C775DDD" w14:textId="77777777" w:rsidTr="00E85FE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13" w:type="dxa"/>
          </w:tcPr>
          <w:p w14:paraId="00EAF11C" w14:textId="77777777" w:rsidR="00DA2E7D" w:rsidRPr="00457B63" w:rsidRDefault="00DA2E7D" w:rsidP="00DF64C7">
            <w:pPr>
              <w:jc w:val="left"/>
              <w:rPr>
                <w:rFonts w:cstheme="minorHAnsi"/>
                <w:sz w:val="20"/>
              </w:rPr>
            </w:pPr>
            <w:r w:rsidRPr="00457B63">
              <w:rPr>
                <w:rFonts w:cstheme="minorHAnsi"/>
                <w:sz w:val="20"/>
              </w:rPr>
              <w:t>Działanie w ramach OP XI</w:t>
            </w:r>
          </w:p>
        </w:tc>
        <w:tc>
          <w:tcPr>
            <w:tcW w:w="2773" w:type="dxa"/>
          </w:tcPr>
          <w:p w14:paraId="503075F2" w14:textId="77777777" w:rsidR="00DA2E7D" w:rsidRPr="00457B63"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rPr>
            </w:pPr>
            <w:r>
              <w:rPr>
                <w:rFonts w:cstheme="minorHAnsi"/>
                <w:sz w:val="20"/>
              </w:rPr>
              <w:t>Poddziałanie</w:t>
            </w:r>
          </w:p>
        </w:tc>
        <w:tc>
          <w:tcPr>
            <w:tcW w:w="3176" w:type="dxa"/>
          </w:tcPr>
          <w:p w14:paraId="6E299649" w14:textId="77777777" w:rsidR="00DA2E7D" w:rsidRPr="00457B63"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Alokacja</w:t>
            </w:r>
          </w:p>
        </w:tc>
      </w:tr>
      <w:tr w:rsidR="00DA2E7D" w:rsidRPr="00457B63" w14:paraId="5A3D791D" w14:textId="77777777" w:rsidTr="00E85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3" w:type="dxa"/>
          </w:tcPr>
          <w:p w14:paraId="1A58BE21" w14:textId="77777777" w:rsidR="00DA2E7D" w:rsidRPr="00457B63" w:rsidRDefault="00DA2E7D" w:rsidP="00DF64C7">
            <w:pPr>
              <w:jc w:val="left"/>
              <w:rPr>
                <w:rFonts w:cstheme="minorHAnsi"/>
                <w:sz w:val="20"/>
              </w:rPr>
            </w:pPr>
            <w:r w:rsidRPr="00457B63">
              <w:rPr>
                <w:rFonts w:cstheme="minorHAnsi"/>
                <w:sz w:val="20"/>
              </w:rPr>
              <w:t>Ogółem</w:t>
            </w:r>
          </w:p>
        </w:tc>
        <w:tc>
          <w:tcPr>
            <w:tcW w:w="2773" w:type="dxa"/>
          </w:tcPr>
          <w:p w14:paraId="5982BF78" w14:textId="77777777" w:rsidR="00DA2E7D" w:rsidRPr="00457B63" w:rsidRDefault="00DA2E7D" w:rsidP="00DF64C7">
            <w:pPr>
              <w:jc w:val="left"/>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3176" w:type="dxa"/>
          </w:tcPr>
          <w:p w14:paraId="07F84360"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194 894 146 EUR</w:t>
            </w:r>
          </w:p>
        </w:tc>
      </w:tr>
      <w:tr w:rsidR="00DA2E7D" w:rsidRPr="00457B63" w14:paraId="5C5DE01C" w14:textId="77777777" w:rsidTr="00E85FEC">
        <w:trPr>
          <w:trHeight w:val="20"/>
        </w:trPr>
        <w:tc>
          <w:tcPr>
            <w:cnfStyle w:val="001000000000" w:firstRow="0" w:lastRow="0" w:firstColumn="1" w:lastColumn="0" w:oddVBand="0" w:evenVBand="0" w:oddHBand="0" w:evenHBand="0" w:firstRowFirstColumn="0" w:firstRowLastColumn="0" w:lastRowFirstColumn="0" w:lastRowLastColumn="0"/>
            <w:tcW w:w="3113" w:type="dxa"/>
            <w:vMerge w:val="restart"/>
          </w:tcPr>
          <w:p w14:paraId="035C3311" w14:textId="77777777" w:rsidR="00DA2E7D" w:rsidRPr="00457B63" w:rsidRDefault="00DA2E7D" w:rsidP="00DF64C7">
            <w:pPr>
              <w:jc w:val="left"/>
              <w:rPr>
                <w:rFonts w:cstheme="minorHAnsi"/>
                <w:sz w:val="20"/>
              </w:rPr>
            </w:pPr>
            <w:r w:rsidRPr="00457B63">
              <w:rPr>
                <w:rFonts w:cstheme="minorHAnsi"/>
                <w:sz w:val="20"/>
              </w:rPr>
              <w:t>Działanie 11.1</w:t>
            </w:r>
          </w:p>
        </w:tc>
        <w:tc>
          <w:tcPr>
            <w:tcW w:w="2773" w:type="dxa"/>
          </w:tcPr>
          <w:p w14:paraId="031FCB60" w14:textId="77777777" w:rsidR="00DA2E7D" w:rsidRPr="00457B63" w:rsidRDefault="00DA2E7D" w:rsidP="00DF64C7">
            <w:pPr>
              <w:jc w:val="lef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Ogółem</w:t>
            </w:r>
          </w:p>
        </w:tc>
        <w:tc>
          <w:tcPr>
            <w:tcW w:w="3176" w:type="dxa"/>
          </w:tcPr>
          <w:p w14:paraId="75C9DE30" w14:textId="77777777" w:rsidR="00DA2E7D" w:rsidRPr="00457B63" w:rsidRDefault="00DA2E7D" w:rsidP="00111C87">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80 031 554 EUR</w:t>
            </w:r>
          </w:p>
        </w:tc>
      </w:tr>
      <w:tr w:rsidR="00DA2E7D" w:rsidRPr="00457B63" w14:paraId="5603E6D0" w14:textId="77777777" w:rsidTr="00E85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3" w:type="dxa"/>
            <w:vMerge/>
          </w:tcPr>
          <w:p w14:paraId="186B68B7" w14:textId="77777777" w:rsidR="00DA2E7D" w:rsidRPr="00457B63" w:rsidRDefault="00DA2E7D" w:rsidP="00DF64C7">
            <w:pPr>
              <w:jc w:val="left"/>
              <w:rPr>
                <w:rFonts w:cstheme="minorHAnsi"/>
                <w:sz w:val="20"/>
              </w:rPr>
            </w:pPr>
          </w:p>
        </w:tc>
        <w:tc>
          <w:tcPr>
            <w:tcW w:w="2773" w:type="dxa"/>
          </w:tcPr>
          <w:p w14:paraId="6B9D0673" w14:textId="77777777" w:rsidR="00DA2E7D" w:rsidRPr="00457B63" w:rsidRDefault="00DA2E7D" w:rsidP="00DF64C7">
            <w:pPr>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Poddziałanie 11.1.1</w:t>
            </w:r>
          </w:p>
        </w:tc>
        <w:tc>
          <w:tcPr>
            <w:tcW w:w="3176" w:type="dxa"/>
          </w:tcPr>
          <w:p w14:paraId="020D5F0B"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sz w:val="20"/>
              </w:rPr>
            </w:pPr>
            <w:r w:rsidRPr="00457B63">
              <w:rPr>
                <w:rFonts w:cstheme="minorHAnsi"/>
                <w:sz w:val="20"/>
              </w:rPr>
              <w:t>5 869 392 EUR</w:t>
            </w:r>
          </w:p>
        </w:tc>
      </w:tr>
      <w:tr w:rsidR="00DA2E7D" w:rsidRPr="00457B63" w14:paraId="5BFAD194" w14:textId="77777777" w:rsidTr="00E85FEC">
        <w:trPr>
          <w:trHeight w:val="20"/>
        </w:trPr>
        <w:tc>
          <w:tcPr>
            <w:cnfStyle w:val="001000000000" w:firstRow="0" w:lastRow="0" w:firstColumn="1" w:lastColumn="0" w:oddVBand="0" w:evenVBand="0" w:oddHBand="0" w:evenHBand="0" w:firstRowFirstColumn="0" w:firstRowLastColumn="0" w:lastRowFirstColumn="0" w:lastRowLastColumn="0"/>
            <w:tcW w:w="3113" w:type="dxa"/>
            <w:vMerge/>
          </w:tcPr>
          <w:p w14:paraId="6EBA8DC8" w14:textId="77777777" w:rsidR="00DA2E7D" w:rsidRPr="00457B63" w:rsidRDefault="00DA2E7D" w:rsidP="00DF64C7">
            <w:pPr>
              <w:jc w:val="left"/>
              <w:rPr>
                <w:rFonts w:cstheme="minorHAnsi"/>
                <w:sz w:val="20"/>
              </w:rPr>
            </w:pPr>
          </w:p>
        </w:tc>
        <w:tc>
          <w:tcPr>
            <w:tcW w:w="2773" w:type="dxa"/>
          </w:tcPr>
          <w:p w14:paraId="05DE28CC" w14:textId="77777777" w:rsidR="00DA2E7D" w:rsidRPr="00457B63" w:rsidRDefault="00DA2E7D" w:rsidP="00DF64C7">
            <w:pPr>
              <w:jc w:val="lef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Poddziałanie 11.1.2</w:t>
            </w:r>
          </w:p>
        </w:tc>
        <w:tc>
          <w:tcPr>
            <w:tcW w:w="3176" w:type="dxa"/>
          </w:tcPr>
          <w:p w14:paraId="36CFC665" w14:textId="77777777" w:rsidR="00DA2E7D" w:rsidRPr="00457B63" w:rsidRDefault="00DA2E7D" w:rsidP="00111C87">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3 304 374 EUR</w:t>
            </w:r>
          </w:p>
        </w:tc>
      </w:tr>
      <w:tr w:rsidR="00DA2E7D" w:rsidRPr="00457B63" w14:paraId="625259ED" w14:textId="77777777" w:rsidTr="00E85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3" w:type="dxa"/>
            <w:vMerge/>
          </w:tcPr>
          <w:p w14:paraId="40470025" w14:textId="77777777" w:rsidR="00DA2E7D" w:rsidRPr="00457B63" w:rsidRDefault="00DA2E7D" w:rsidP="00DF64C7">
            <w:pPr>
              <w:jc w:val="left"/>
              <w:rPr>
                <w:rFonts w:cstheme="minorHAnsi"/>
                <w:sz w:val="20"/>
              </w:rPr>
            </w:pPr>
          </w:p>
        </w:tc>
        <w:tc>
          <w:tcPr>
            <w:tcW w:w="2773" w:type="dxa"/>
          </w:tcPr>
          <w:p w14:paraId="7EDD5C10" w14:textId="77777777" w:rsidR="00DA2E7D" w:rsidRPr="00457B63" w:rsidRDefault="00DA2E7D" w:rsidP="00DF64C7">
            <w:pPr>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Poddziałanie 11.1.3</w:t>
            </w:r>
          </w:p>
        </w:tc>
        <w:tc>
          <w:tcPr>
            <w:tcW w:w="3176" w:type="dxa"/>
          </w:tcPr>
          <w:p w14:paraId="0D21BCBD"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24 137 904 EUR</w:t>
            </w:r>
          </w:p>
        </w:tc>
      </w:tr>
      <w:tr w:rsidR="00DA2E7D" w:rsidRPr="00457B63" w14:paraId="53CCF0A6" w14:textId="77777777" w:rsidTr="00E85FEC">
        <w:trPr>
          <w:trHeight w:val="20"/>
        </w:trPr>
        <w:tc>
          <w:tcPr>
            <w:cnfStyle w:val="001000000000" w:firstRow="0" w:lastRow="0" w:firstColumn="1" w:lastColumn="0" w:oddVBand="0" w:evenVBand="0" w:oddHBand="0" w:evenHBand="0" w:firstRowFirstColumn="0" w:firstRowLastColumn="0" w:lastRowFirstColumn="0" w:lastRowLastColumn="0"/>
            <w:tcW w:w="3113" w:type="dxa"/>
            <w:vMerge/>
          </w:tcPr>
          <w:p w14:paraId="0C50CCF1" w14:textId="77777777" w:rsidR="00DA2E7D" w:rsidRPr="00457B63" w:rsidRDefault="00DA2E7D" w:rsidP="00DF64C7">
            <w:pPr>
              <w:jc w:val="left"/>
              <w:rPr>
                <w:rFonts w:cstheme="minorHAnsi"/>
                <w:sz w:val="20"/>
              </w:rPr>
            </w:pPr>
          </w:p>
        </w:tc>
        <w:tc>
          <w:tcPr>
            <w:tcW w:w="2773" w:type="dxa"/>
          </w:tcPr>
          <w:p w14:paraId="12D2E5FD" w14:textId="77777777" w:rsidR="00DA2E7D" w:rsidRPr="00457B63" w:rsidRDefault="00DA2E7D" w:rsidP="00DF64C7">
            <w:pPr>
              <w:jc w:val="lef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Poddziałanie 11.1.4</w:t>
            </w:r>
          </w:p>
        </w:tc>
        <w:tc>
          <w:tcPr>
            <w:tcW w:w="3176" w:type="dxa"/>
          </w:tcPr>
          <w:p w14:paraId="3FCDC35F" w14:textId="77777777" w:rsidR="00DA2E7D" w:rsidRPr="00457B63" w:rsidRDefault="00DA2E7D" w:rsidP="00111C87">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40 219 884 EUR</w:t>
            </w:r>
          </w:p>
        </w:tc>
      </w:tr>
      <w:tr w:rsidR="00DA2E7D" w:rsidRPr="00457B63" w14:paraId="6A092F47" w14:textId="77777777" w:rsidTr="00E85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3" w:type="dxa"/>
            <w:vMerge/>
          </w:tcPr>
          <w:p w14:paraId="7838E1AC" w14:textId="77777777" w:rsidR="00DA2E7D" w:rsidRPr="00457B63" w:rsidRDefault="00DA2E7D" w:rsidP="00DF64C7">
            <w:pPr>
              <w:jc w:val="left"/>
              <w:rPr>
                <w:rFonts w:cstheme="minorHAnsi"/>
                <w:sz w:val="20"/>
              </w:rPr>
            </w:pPr>
          </w:p>
        </w:tc>
        <w:tc>
          <w:tcPr>
            <w:tcW w:w="2773" w:type="dxa"/>
          </w:tcPr>
          <w:p w14:paraId="39368DBA" w14:textId="77777777" w:rsidR="00DA2E7D" w:rsidRPr="00457B63" w:rsidRDefault="00DA2E7D" w:rsidP="00DF64C7">
            <w:pPr>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Poddziałanie 11.1.5</w:t>
            </w:r>
          </w:p>
        </w:tc>
        <w:tc>
          <w:tcPr>
            <w:tcW w:w="3176" w:type="dxa"/>
          </w:tcPr>
          <w:p w14:paraId="7CE7F75A"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6 500 000 EUR</w:t>
            </w:r>
          </w:p>
        </w:tc>
      </w:tr>
      <w:tr w:rsidR="00DA2E7D" w:rsidRPr="00457B63" w14:paraId="6CDD7BC7" w14:textId="77777777" w:rsidTr="00E85FEC">
        <w:trPr>
          <w:trHeight w:val="20"/>
        </w:trPr>
        <w:tc>
          <w:tcPr>
            <w:cnfStyle w:val="001000000000" w:firstRow="0" w:lastRow="0" w:firstColumn="1" w:lastColumn="0" w:oddVBand="0" w:evenVBand="0" w:oddHBand="0" w:evenHBand="0" w:firstRowFirstColumn="0" w:firstRowLastColumn="0" w:lastRowFirstColumn="0" w:lastRowLastColumn="0"/>
            <w:tcW w:w="3113" w:type="dxa"/>
            <w:vMerge w:val="restart"/>
          </w:tcPr>
          <w:p w14:paraId="7D67B318" w14:textId="77777777" w:rsidR="00DA2E7D" w:rsidRPr="00457B63" w:rsidRDefault="00DA2E7D" w:rsidP="00DF64C7">
            <w:pPr>
              <w:jc w:val="left"/>
              <w:rPr>
                <w:rFonts w:cstheme="minorHAnsi"/>
                <w:sz w:val="20"/>
              </w:rPr>
            </w:pPr>
            <w:r w:rsidRPr="00457B63">
              <w:rPr>
                <w:rFonts w:cstheme="minorHAnsi"/>
                <w:sz w:val="20"/>
              </w:rPr>
              <w:t>Działanie 11.2</w:t>
            </w:r>
          </w:p>
        </w:tc>
        <w:tc>
          <w:tcPr>
            <w:tcW w:w="2773" w:type="dxa"/>
          </w:tcPr>
          <w:p w14:paraId="0E4EAD09" w14:textId="77777777" w:rsidR="00DA2E7D" w:rsidRPr="00457B63" w:rsidRDefault="00DA2E7D" w:rsidP="00DF64C7">
            <w:pPr>
              <w:jc w:val="lef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Ogółem</w:t>
            </w:r>
          </w:p>
        </w:tc>
        <w:tc>
          <w:tcPr>
            <w:tcW w:w="3176" w:type="dxa"/>
          </w:tcPr>
          <w:p w14:paraId="7B50FBEC" w14:textId="77777777" w:rsidR="00DA2E7D" w:rsidRPr="00457B63" w:rsidRDefault="00DA2E7D" w:rsidP="00111C87">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53 493 650 EUR</w:t>
            </w:r>
          </w:p>
        </w:tc>
      </w:tr>
      <w:tr w:rsidR="00DA2E7D" w:rsidRPr="00457B63" w14:paraId="41E7516F" w14:textId="77777777" w:rsidTr="00E85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3" w:type="dxa"/>
            <w:vMerge/>
          </w:tcPr>
          <w:p w14:paraId="07E262A1" w14:textId="77777777" w:rsidR="00DA2E7D" w:rsidRPr="00457B63" w:rsidRDefault="00DA2E7D" w:rsidP="00DF64C7">
            <w:pPr>
              <w:jc w:val="left"/>
              <w:rPr>
                <w:rFonts w:cstheme="minorHAnsi"/>
                <w:sz w:val="20"/>
              </w:rPr>
            </w:pPr>
          </w:p>
        </w:tc>
        <w:tc>
          <w:tcPr>
            <w:tcW w:w="2773" w:type="dxa"/>
          </w:tcPr>
          <w:p w14:paraId="12EE6C2B" w14:textId="77777777" w:rsidR="00DA2E7D" w:rsidRPr="00457B63" w:rsidRDefault="00DA2E7D" w:rsidP="00DF64C7">
            <w:pPr>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Poddziałanie 11.2.1</w:t>
            </w:r>
          </w:p>
        </w:tc>
        <w:tc>
          <w:tcPr>
            <w:tcW w:w="3176" w:type="dxa"/>
          </w:tcPr>
          <w:p w14:paraId="5FB87181"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15 491 662 EUR</w:t>
            </w:r>
          </w:p>
        </w:tc>
      </w:tr>
      <w:tr w:rsidR="00DA2E7D" w:rsidRPr="00457B63" w14:paraId="29D571A9" w14:textId="77777777" w:rsidTr="00E85FEC">
        <w:trPr>
          <w:trHeight w:val="20"/>
        </w:trPr>
        <w:tc>
          <w:tcPr>
            <w:cnfStyle w:val="001000000000" w:firstRow="0" w:lastRow="0" w:firstColumn="1" w:lastColumn="0" w:oddVBand="0" w:evenVBand="0" w:oddHBand="0" w:evenHBand="0" w:firstRowFirstColumn="0" w:firstRowLastColumn="0" w:lastRowFirstColumn="0" w:lastRowLastColumn="0"/>
            <w:tcW w:w="3113" w:type="dxa"/>
            <w:vMerge/>
          </w:tcPr>
          <w:p w14:paraId="622BD48E" w14:textId="77777777" w:rsidR="00DA2E7D" w:rsidRPr="00457B63" w:rsidRDefault="00DA2E7D" w:rsidP="00DF64C7">
            <w:pPr>
              <w:jc w:val="left"/>
              <w:rPr>
                <w:rFonts w:cstheme="minorHAnsi"/>
                <w:sz w:val="20"/>
              </w:rPr>
            </w:pPr>
          </w:p>
        </w:tc>
        <w:tc>
          <w:tcPr>
            <w:tcW w:w="2773" w:type="dxa"/>
          </w:tcPr>
          <w:p w14:paraId="4686457F" w14:textId="77777777" w:rsidR="00DA2E7D" w:rsidRPr="00457B63" w:rsidRDefault="00DA2E7D" w:rsidP="00DF64C7">
            <w:pPr>
              <w:jc w:val="lef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Poddziałanie 11.2.2</w:t>
            </w:r>
          </w:p>
        </w:tc>
        <w:tc>
          <w:tcPr>
            <w:tcW w:w="3176" w:type="dxa"/>
          </w:tcPr>
          <w:p w14:paraId="2824E0EB" w14:textId="77777777" w:rsidR="00DA2E7D" w:rsidRPr="00457B63" w:rsidRDefault="00DA2E7D" w:rsidP="00111C87">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10 223 606 EUR</w:t>
            </w:r>
          </w:p>
        </w:tc>
      </w:tr>
      <w:tr w:rsidR="00DA2E7D" w:rsidRPr="00457B63" w14:paraId="21AA61DF" w14:textId="77777777" w:rsidTr="00E85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3" w:type="dxa"/>
            <w:vMerge/>
          </w:tcPr>
          <w:p w14:paraId="7C763582" w14:textId="77777777" w:rsidR="00DA2E7D" w:rsidRPr="00457B63" w:rsidRDefault="00DA2E7D" w:rsidP="00DF64C7">
            <w:pPr>
              <w:jc w:val="left"/>
              <w:rPr>
                <w:rFonts w:cstheme="minorHAnsi"/>
                <w:sz w:val="20"/>
              </w:rPr>
            </w:pPr>
          </w:p>
        </w:tc>
        <w:tc>
          <w:tcPr>
            <w:tcW w:w="2773" w:type="dxa"/>
          </w:tcPr>
          <w:p w14:paraId="5DEFC99D" w14:textId="77777777" w:rsidR="00DA2E7D" w:rsidRPr="00457B63" w:rsidRDefault="00DA2E7D" w:rsidP="00DF64C7">
            <w:pPr>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Poddziałanie 11.2.3</w:t>
            </w:r>
          </w:p>
        </w:tc>
        <w:tc>
          <w:tcPr>
            <w:tcW w:w="3176" w:type="dxa"/>
          </w:tcPr>
          <w:p w14:paraId="531682F2"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27 778 382 EUR</w:t>
            </w:r>
          </w:p>
        </w:tc>
      </w:tr>
      <w:tr w:rsidR="00DA2E7D" w:rsidRPr="00457B63" w14:paraId="15262D28" w14:textId="77777777" w:rsidTr="00E85FEC">
        <w:trPr>
          <w:trHeight w:val="20"/>
        </w:trPr>
        <w:tc>
          <w:tcPr>
            <w:cnfStyle w:val="001000000000" w:firstRow="0" w:lastRow="0" w:firstColumn="1" w:lastColumn="0" w:oddVBand="0" w:evenVBand="0" w:oddHBand="0" w:evenHBand="0" w:firstRowFirstColumn="0" w:firstRowLastColumn="0" w:lastRowFirstColumn="0" w:lastRowLastColumn="0"/>
            <w:tcW w:w="3113" w:type="dxa"/>
          </w:tcPr>
          <w:p w14:paraId="20796754" w14:textId="77777777" w:rsidR="00DA2E7D" w:rsidRPr="00457B63" w:rsidRDefault="00DA2E7D" w:rsidP="00DF64C7">
            <w:pPr>
              <w:jc w:val="left"/>
              <w:rPr>
                <w:rFonts w:cstheme="minorHAnsi"/>
                <w:sz w:val="20"/>
              </w:rPr>
            </w:pPr>
            <w:r w:rsidRPr="00457B63">
              <w:rPr>
                <w:rFonts w:cstheme="minorHAnsi"/>
                <w:sz w:val="20"/>
              </w:rPr>
              <w:t>Działanie 11.3</w:t>
            </w:r>
          </w:p>
        </w:tc>
        <w:tc>
          <w:tcPr>
            <w:tcW w:w="2773" w:type="dxa"/>
          </w:tcPr>
          <w:p w14:paraId="6C7DC7A5" w14:textId="77777777" w:rsidR="00DA2E7D" w:rsidRPr="00457B63" w:rsidRDefault="00DA2E7D" w:rsidP="00DF64C7">
            <w:pPr>
              <w:jc w:val="left"/>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3176" w:type="dxa"/>
          </w:tcPr>
          <w:p w14:paraId="306105BF" w14:textId="77777777" w:rsidR="00DA2E7D" w:rsidRPr="00457B63" w:rsidRDefault="00DA2E7D" w:rsidP="00111C87">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31 184 471 EUR</w:t>
            </w:r>
          </w:p>
        </w:tc>
      </w:tr>
      <w:tr w:rsidR="00DA2E7D" w:rsidRPr="00457B63" w14:paraId="14F0B2C1" w14:textId="77777777" w:rsidTr="00E85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3" w:type="dxa"/>
            <w:vMerge w:val="restart"/>
          </w:tcPr>
          <w:p w14:paraId="749F16EB" w14:textId="77777777" w:rsidR="00DA2E7D" w:rsidRPr="00457B63" w:rsidRDefault="00DA2E7D" w:rsidP="00DF64C7">
            <w:pPr>
              <w:jc w:val="left"/>
              <w:rPr>
                <w:rFonts w:cstheme="minorHAnsi"/>
                <w:sz w:val="20"/>
              </w:rPr>
            </w:pPr>
            <w:r w:rsidRPr="00457B63">
              <w:rPr>
                <w:rFonts w:cstheme="minorHAnsi"/>
                <w:sz w:val="20"/>
              </w:rPr>
              <w:t>Działanie 11.4</w:t>
            </w:r>
          </w:p>
        </w:tc>
        <w:tc>
          <w:tcPr>
            <w:tcW w:w="2773" w:type="dxa"/>
          </w:tcPr>
          <w:p w14:paraId="163F28D7" w14:textId="77777777" w:rsidR="00DA2E7D" w:rsidRPr="00457B63" w:rsidRDefault="00DA2E7D" w:rsidP="00DF64C7">
            <w:pPr>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Ogółem</w:t>
            </w:r>
          </w:p>
        </w:tc>
        <w:tc>
          <w:tcPr>
            <w:tcW w:w="3176" w:type="dxa"/>
          </w:tcPr>
          <w:p w14:paraId="100E7023"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30 184 471 EUR</w:t>
            </w:r>
          </w:p>
        </w:tc>
      </w:tr>
      <w:tr w:rsidR="00DA2E7D" w:rsidRPr="00457B63" w14:paraId="398A1BFE" w14:textId="77777777" w:rsidTr="00E85FEC">
        <w:trPr>
          <w:trHeight w:val="20"/>
        </w:trPr>
        <w:tc>
          <w:tcPr>
            <w:cnfStyle w:val="001000000000" w:firstRow="0" w:lastRow="0" w:firstColumn="1" w:lastColumn="0" w:oddVBand="0" w:evenVBand="0" w:oddHBand="0" w:evenHBand="0" w:firstRowFirstColumn="0" w:firstRowLastColumn="0" w:lastRowFirstColumn="0" w:lastRowLastColumn="0"/>
            <w:tcW w:w="3113" w:type="dxa"/>
            <w:vMerge/>
          </w:tcPr>
          <w:p w14:paraId="710646E4" w14:textId="77777777" w:rsidR="00DA2E7D" w:rsidRPr="00457B63" w:rsidRDefault="00DA2E7D" w:rsidP="00DF64C7">
            <w:pPr>
              <w:jc w:val="left"/>
              <w:rPr>
                <w:rFonts w:cstheme="minorHAnsi"/>
                <w:sz w:val="20"/>
              </w:rPr>
            </w:pPr>
          </w:p>
        </w:tc>
        <w:tc>
          <w:tcPr>
            <w:tcW w:w="2773" w:type="dxa"/>
          </w:tcPr>
          <w:p w14:paraId="18DA7C30" w14:textId="77777777" w:rsidR="00DA2E7D" w:rsidRPr="00457B63" w:rsidRDefault="00DA2E7D" w:rsidP="00DF64C7">
            <w:pPr>
              <w:jc w:val="lef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Poddziałanie 11.4.1</w:t>
            </w:r>
          </w:p>
        </w:tc>
        <w:tc>
          <w:tcPr>
            <w:tcW w:w="3176" w:type="dxa"/>
          </w:tcPr>
          <w:p w14:paraId="10DAEB86" w14:textId="77777777" w:rsidR="00DA2E7D" w:rsidRPr="00457B63" w:rsidRDefault="00DA2E7D" w:rsidP="00111C87">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4 638 759 EUR</w:t>
            </w:r>
          </w:p>
        </w:tc>
      </w:tr>
      <w:tr w:rsidR="00DA2E7D" w:rsidRPr="00457B63" w14:paraId="0D421B61" w14:textId="77777777" w:rsidTr="00E85F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3" w:type="dxa"/>
            <w:vMerge/>
          </w:tcPr>
          <w:p w14:paraId="0260AE7A" w14:textId="77777777" w:rsidR="00DA2E7D" w:rsidRPr="00457B63" w:rsidRDefault="00DA2E7D" w:rsidP="00DF64C7">
            <w:pPr>
              <w:jc w:val="left"/>
              <w:rPr>
                <w:rFonts w:cstheme="minorHAnsi"/>
                <w:sz w:val="20"/>
              </w:rPr>
            </w:pPr>
          </w:p>
        </w:tc>
        <w:tc>
          <w:tcPr>
            <w:tcW w:w="2773" w:type="dxa"/>
          </w:tcPr>
          <w:p w14:paraId="52123192" w14:textId="77777777" w:rsidR="00DA2E7D" w:rsidRPr="00457B63" w:rsidRDefault="00DA2E7D" w:rsidP="00DF64C7">
            <w:pPr>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Poddziałanie 11.4.2</w:t>
            </w:r>
          </w:p>
        </w:tc>
        <w:tc>
          <w:tcPr>
            <w:tcW w:w="3176" w:type="dxa"/>
          </w:tcPr>
          <w:p w14:paraId="1F04912D"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457B63">
              <w:rPr>
                <w:rFonts w:cstheme="minorHAnsi"/>
                <w:sz w:val="20"/>
              </w:rPr>
              <w:t>1 700 425 EUR</w:t>
            </w:r>
          </w:p>
        </w:tc>
      </w:tr>
      <w:tr w:rsidR="00DA2E7D" w:rsidRPr="00457B63" w14:paraId="68AFAAFC" w14:textId="77777777" w:rsidTr="00E85FEC">
        <w:trPr>
          <w:trHeight w:val="20"/>
        </w:trPr>
        <w:tc>
          <w:tcPr>
            <w:cnfStyle w:val="001000000000" w:firstRow="0" w:lastRow="0" w:firstColumn="1" w:lastColumn="0" w:oddVBand="0" w:evenVBand="0" w:oddHBand="0" w:evenHBand="0" w:firstRowFirstColumn="0" w:firstRowLastColumn="0" w:lastRowFirstColumn="0" w:lastRowLastColumn="0"/>
            <w:tcW w:w="3113" w:type="dxa"/>
            <w:vMerge/>
          </w:tcPr>
          <w:p w14:paraId="3C211C46" w14:textId="77777777" w:rsidR="00DA2E7D" w:rsidRPr="00457B63" w:rsidRDefault="00DA2E7D" w:rsidP="00DF64C7">
            <w:pPr>
              <w:jc w:val="left"/>
              <w:rPr>
                <w:rFonts w:cstheme="minorHAnsi"/>
                <w:sz w:val="20"/>
              </w:rPr>
            </w:pPr>
          </w:p>
        </w:tc>
        <w:tc>
          <w:tcPr>
            <w:tcW w:w="2773" w:type="dxa"/>
          </w:tcPr>
          <w:p w14:paraId="5D468092" w14:textId="77777777" w:rsidR="00DA2E7D" w:rsidRPr="00457B63" w:rsidRDefault="00DA2E7D" w:rsidP="00DF64C7">
            <w:pPr>
              <w:jc w:val="lef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Poddziałanie 11.4.3</w:t>
            </w:r>
          </w:p>
        </w:tc>
        <w:tc>
          <w:tcPr>
            <w:tcW w:w="3176" w:type="dxa"/>
          </w:tcPr>
          <w:p w14:paraId="74BF4464" w14:textId="77777777" w:rsidR="00DA2E7D" w:rsidRPr="00457B63" w:rsidRDefault="00DA2E7D" w:rsidP="00111C87">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457B63">
              <w:rPr>
                <w:rFonts w:cstheme="minorHAnsi"/>
                <w:sz w:val="20"/>
              </w:rPr>
              <w:t>23 845 287 EUR</w:t>
            </w:r>
          </w:p>
        </w:tc>
      </w:tr>
    </w:tbl>
    <w:p w14:paraId="363F6CB9" w14:textId="77777777" w:rsidR="00DA2E7D" w:rsidRDefault="00DA2E7D" w:rsidP="00DF64C7">
      <w:pPr>
        <w:pStyle w:val="podpisrdailustracji"/>
        <w:spacing w:line="271" w:lineRule="auto"/>
        <w:jc w:val="left"/>
      </w:pPr>
      <w:r>
        <w:t xml:space="preserve">Źródło: opracowanie własne na podstawie </w:t>
      </w:r>
      <w:r w:rsidR="006610D8">
        <w:t>SZOOP RPO WSL</w:t>
      </w:r>
      <w:r w:rsidR="003D579F">
        <w:t xml:space="preserve"> v 19.0</w:t>
      </w:r>
      <w:r w:rsidR="006610D8">
        <w:t>.</w:t>
      </w:r>
    </w:p>
    <w:p w14:paraId="3A3AD39E" w14:textId="1C5E3E39" w:rsidR="00DA2E7D" w:rsidRDefault="00DA2E7D" w:rsidP="00DF64C7">
      <w:pPr>
        <w:spacing w:after="1320"/>
        <w:jc w:val="left"/>
        <w:rPr>
          <w:rFonts w:cstheme="minorHAnsi"/>
        </w:rPr>
      </w:pPr>
      <w:r>
        <w:rPr>
          <w:rFonts w:cstheme="minorHAnsi"/>
        </w:rPr>
        <w:t>Wartość docelowa wskaźnika finansowego</w:t>
      </w:r>
      <w:r w:rsidR="006610D8">
        <w:rPr>
          <w:rFonts w:cstheme="minorHAnsi"/>
        </w:rPr>
        <w:t xml:space="preserve"> dla OP XI</w:t>
      </w:r>
      <w:r>
        <w:rPr>
          <w:rFonts w:cstheme="minorHAnsi"/>
        </w:rPr>
        <w:t xml:space="preserve"> na 2019 rok wynosi 55 84 092 EUR. Dane na 01.10.2019 r. wskazują, iż wartość wskaźnika na podstawie zatwierdzonych wniosków o płatność wyniosła 79 885 889 EUR, co stanowi 142,9% wartości docelowej na rok 2019 i 34,8% wartości docelowej na rok 2023. </w:t>
      </w:r>
    </w:p>
    <w:p w14:paraId="7DD52924" w14:textId="1212D690" w:rsidR="00DA2E7D" w:rsidRDefault="00DA2E7D" w:rsidP="00DF64C7">
      <w:pPr>
        <w:pStyle w:val="Legenda"/>
        <w:spacing w:line="271" w:lineRule="auto"/>
        <w:jc w:val="left"/>
      </w:pPr>
      <w:bookmarkStart w:id="26" w:name="_Toc33457207"/>
      <w:r>
        <w:t xml:space="preserve">Tabela </w:t>
      </w:r>
      <w:r>
        <w:rPr>
          <w:noProof/>
        </w:rPr>
        <w:fldChar w:fldCharType="begin"/>
      </w:r>
      <w:r>
        <w:rPr>
          <w:noProof/>
        </w:rPr>
        <w:instrText xml:space="preserve"> SEQ Tabela \* ARABIC </w:instrText>
      </w:r>
      <w:r>
        <w:rPr>
          <w:noProof/>
        </w:rPr>
        <w:fldChar w:fldCharType="separate"/>
      </w:r>
      <w:r w:rsidR="00A8147E">
        <w:rPr>
          <w:noProof/>
        </w:rPr>
        <w:t>7</w:t>
      </w:r>
      <w:r>
        <w:rPr>
          <w:noProof/>
        </w:rPr>
        <w:fldChar w:fldCharType="end"/>
      </w:r>
      <w:r>
        <w:rPr>
          <w:noProof/>
        </w:rPr>
        <w:t>.</w:t>
      </w:r>
      <w:r>
        <w:t xml:space="preserve"> Postęp realizacji wskaźników finansowych OP XI (EUR) – stan na 01.10.2019</w:t>
      </w:r>
      <w:bookmarkEnd w:id="26"/>
    </w:p>
    <w:tbl>
      <w:tblPr>
        <w:tblStyle w:val="Jasnasiatkaakcent6"/>
        <w:tblW w:w="5000" w:type="pct"/>
        <w:tblLook w:val="04A0" w:firstRow="1" w:lastRow="0" w:firstColumn="1" w:lastColumn="0" w:noHBand="0" w:noVBand="1"/>
        <w:tblCaption w:val="Postęp realizacji wskaźników finansowych OP XI (EUR) – stan na 01.10.2019"/>
        <w:tblDescription w:val="Tabela przedstawia wartości docelowe wskaźników w roku 2019 i 2023, wartości wskaźnika na podstawie zatwierdzonych wnosków w opłatność w roku 2019, procentową wartość realizacji wskaźników na rok 2019 oraz 2023 oraz poziom realizacji wskaźnika."/>
      </w:tblPr>
      <w:tblGrid>
        <w:gridCol w:w="1128"/>
        <w:gridCol w:w="1270"/>
        <w:gridCol w:w="1842"/>
        <w:gridCol w:w="843"/>
        <w:gridCol w:w="814"/>
        <w:gridCol w:w="1514"/>
        <w:gridCol w:w="827"/>
        <w:gridCol w:w="812"/>
      </w:tblGrid>
      <w:tr w:rsidR="00DA2E7D" w:rsidRPr="0088335B" w14:paraId="4BE20469" w14:textId="77777777" w:rsidTr="00F04F98">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623" w:type="pct"/>
            <w:vAlign w:val="center"/>
          </w:tcPr>
          <w:p w14:paraId="759834A0" w14:textId="77777777" w:rsidR="00DA2E7D" w:rsidRPr="0088335B" w:rsidRDefault="00DA2E7D" w:rsidP="00DF64C7">
            <w:pPr>
              <w:jc w:val="left"/>
              <w:rPr>
                <w:rFonts w:cstheme="minorHAnsi"/>
                <w:sz w:val="20"/>
                <w:szCs w:val="20"/>
              </w:rPr>
            </w:pPr>
            <w:r w:rsidRPr="0088335B">
              <w:rPr>
                <w:rFonts w:cstheme="minorHAnsi"/>
                <w:sz w:val="20"/>
                <w:szCs w:val="20"/>
              </w:rPr>
              <w:t>Wartość docelowa 2019</w:t>
            </w:r>
          </w:p>
        </w:tc>
        <w:tc>
          <w:tcPr>
            <w:tcW w:w="703" w:type="pct"/>
            <w:vAlign w:val="center"/>
          </w:tcPr>
          <w:p w14:paraId="6B27C35A"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Wartość docelowa 2023</w:t>
            </w:r>
          </w:p>
        </w:tc>
        <w:tc>
          <w:tcPr>
            <w:tcW w:w="1019" w:type="pct"/>
            <w:vAlign w:val="center"/>
          </w:tcPr>
          <w:p w14:paraId="6F7E3CD1"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Wartość wskaźnika na podstawie zatwierdzonych wniosków o płatność</w:t>
            </w:r>
          </w:p>
        </w:tc>
        <w:tc>
          <w:tcPr>
            <w:tcW w:w="467" w:type="pct"/>
            <w:vAlign w:val="center"/>
          </w:tcPr>
          <w:p w14:paraId="58F01822"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2019 (%)</w:t>
            </w:r>
          </w:p>
        </w:tc>
        <w:tc>
          <w:tcPr>
            <w:tcW w:w="451" w:type="pct"/>
            <w:vAlign w:val="center"/>
          </w:tcPr>
          <w:p w14:paraId="0DDAB416"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2023 (%)</w:t>
            </w:r>
          </w:p>
        </w:tc>
        <w:tc>
          <w:tcPr>
            <w:tcW w:w="837" w:type="pct"/>
            <w:vAlign w:val="center"/>
          </w:tcPr>
          <w:p w14:paraId="1A3B5A67"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Realizacja wskaźnika (certyfikacja)</w:t>
            </w:r>
          </w:p>
        </w:tc>
        <w:tc>
          <w:tcPr>
            <w:tcW w:w="451" w:type="pct"/>
            <w:vAlign w:val="center"/>
          </w:tcPr>
          <w:p w14:paraId="7207F3E9"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2019 (%)</w:t>
            </w:r>
          </w:p>
        </w:tc>
        <w:tc>
          <w:tcPr>
            <w:tcW w:w="449" w:type="pct"/>
            <w:vAlign w:val="center"/>
          </w:tcPr>
          <w:p w14:paraId="36253153"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2023 (%)</w:t>
            </w:r>
          </w:p>
        </w:tc>
      </w:tr>
      <w:tr w:rsidR="00DA2E7D" w:rsidRPr="00457B63" w14:paraId="05A648CD"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23" w:type="pct"/>
          </w:tcPr>
          <w:p w14:paraId="38D00005" w14:textId="77777777" w:rsidR="00DA2E7D" w:rsidRPr="00457B63" w:rsidRDefault="00DA2E7D" w:rsidP="00111C87">
            <w:pPr>
              <w:jc w:val="right"/>
              <w:rPr>
                <w:rFonts w:cstheme="minorHAnsi"/>
                <w:color w:val="000000" w:themeColor="text1"/>
                <w:sz w:val="18"/>
                <w:szCs w:val="20"/>
              </w:rPr>
            </w:pPr>
            <w:r w:rsidRPr="00457B63">
              <w:rPr>
                <w:rFonts w:cstheme="minorHAnsi"/>
                <w:color w:val="000000" w:themeColor="text1"/>
                <w:sz w:val="18"/>
                <w:szCs w:val="20"/>
              </w:rPr>
              <w:t>55 884 092</w:t>
            </w:r>
          </w:p>
        </w:tc>
        <w:tc>
          <w:tcPr>
            <w:tcW w:w="703" w:type="pct"/>
          </w:tcPr>
          <w:p w14:paraId="1E9D8B6C"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457B63">
              <w:rPr>
                <w:rFonts w:cstheme="minorHAnsi"/>
                <w:color w:val="000000" w:themeColor="text1"/>
                <w:sz w:val="18"/>
                <w:szCs w:val="20"/>
              </w:rPr>
              <w:t>229 287 231</w:t>
            </w:r>
          </w:p>
        </w:tc>
        <w:tc>
          <w:tcPr>
            <w:tcW w:w="1019" w:type="pct"/>
          </w:tcPr>
          <w:p w14:paraId="1CFA6C47"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457B63">
              <w:rPr>
                <w:rFonts w:cstheme="minorHAnsi"/>
                <w:color w:val="000000" w:themeColor="text1"/>
                <w:sz w:val="18"/>
                <w:szCs w:val="20"/>
              </w:rPr>
              <w:t>79 885 889</w:t>
            </w:r>
          </w:p>
        </w:tc>
        <w:tc>
          <w:tcPr>
            <w:tcW w:w="467" w:type="pct"/>
          </w:tcPr>
          <w:p w14:paraId="4E18A28E"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457B63">
              <w:rPr>
                <w:rFonts w:cstheme="minorHAnsi"/>
                <w:color w:val="000000" w:themeColor="text1"/>
                <w:sz w:val="18"/>
                <w:szCs w:val="20"/>
              </w:rPr>
              <w:t>142,9%</w:t>
            </w:r>
          </w:p>
        </w:tc>
        <w:tc>
          <w:tcPr>
            <w:tcW w:w="451" w:type="pct"/>
          </w:tcPr>
          <w:p w14:paraId="2220F55C"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457B63">
              <w:rPr>
                <w:rFonts w:cstheme="minorHAnsi"/>
                <w:color w:val="000000" w:themeColor="text1"/>
                <w:sz w:val="18"/>
                <w:szCs w:val="20"/>
              </w:rPr>
              <w:t>34,8%</w:t>
            </w:r>
          </w:p>
        </w:tc>
        <w:tc>
          <w:tcPr>
            <w:tcW w:w="837" w:type="pct"/>
          </w:tcPr>
          <w:p w14:paraId="657180BE"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Pr>
                <w:rFonts w:cstheme="minorHAnsi"/>
                <w:bCs/>
                <w:color w:val="000000" w:themeColor="text1"/>
                <w:sz w:val="18"/>
                <w:szCs w:val="20"/>
              </w:rPr>
              <w:t xml:space="preserve"> </w:t>
            </w:r>
            <w:r w:rsidRPr="00457B63">
              <w:rPr>
                <w:rFonts w:cstheme="minorHAnsi"/>
                <w:bCs/>
                <w:color w:val="000000" w:themeColor="text1"/>
                <w:sz w:val="18"/>
                <w:szCs w:val="20"/>
              </w:rPr>
              <w:t>69 110 135</w:t>
            </w:r>
            <w:r>
              <w:rPr>
                <w:rFonts w:cstheme="minorHAnsi"/>
                <w:bCs/>
                <w:color w:val="000000" w:themeColor="text1"/>
                <w:sz w:val="18"/>
                <w:szCs w:val="20"/>
              </w:rPr>
              <w:t xml:space="preserve"> </w:t>
            </w:r>
          </w:p>
        </w:tc>
        <w:tc>
          <w:tcPr>
            <w:tcW w:w="451" w:type="pct"/>
          </w:tcPr>
          <w:p w14:paraId="4E64ED50"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457B63">
              <w:rPr>
                <w:rFonts w:cstheme="minorHAnsi"/>
                <w:color w:val="000000" w:themeColor="text1"/>
                <w:sz w:val="18"/>
                <w:szCs w:val="20"/>
              </w:rPr>
              <w:t>123,7%</w:t>
            </w:r>
          </w:p>
        </w:tc>
        <w:tc>
          <w:tcPr>
            <w:tcW w:w="449" w:type="pct"/>
          </w:tcPr>
          <w:p w14:paraId="10F0EC4F" w14:textId="77777777" w:rsidR="00DA2E7D" w:rsidRPr="00457B63"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457B63">
              <w:rPr>
                <w:rFonts w:cstheme="minorHAnsi"/>
                <w:color w:val="000000" w:themeColor="text1"/>
                <w:sz w:val="18"/>
                <w:szCs w:val="20"/>
              </w:rPr>
              <w:t>30,1%</w:t>
            </w:r>
          </w:p>
        </w:tc>
      </w:tr>
    </w:tbl>
    <w:p w14:paraId="5743997E" w14:textId="77777777" w:rsidR="00DE77EB" w:rsidRDefault="00DA2E7D" w:rsidP="00DF64C7">
      <w:pPr>
        <w:pStyle w:val="podpisrdailustracji"/>
        <w:spacing w:line="271" w:lineRule="auto"/>
        <w:jc w:val="left"/>
      </w:pPr>
      <w:r>
        <w:t xml:space="preserve">Źródło: opracowanie własne na podstawie danych </w:t>
      </w:r>
      <w:r w:rsidR="003D579F">
        <w:t>SL</w:t>
      </w:r>
      <w:r>
        <w:t>2014</w:t>
      </w:r>
      <w:r w:rsidR="00AB5D0E">
        <w:t xml:space="preserve"> </w:t>
      </w:r>
      <w:r w:rsidR="00AB5D0E" w:rsidRPr="00AB5D0E">
        <w:t xml:space="preserve">(data dostępu: </w:t>
      </w:r>
      <w:r w:rsidR="003D579F">
        <w:t>1</w:t>
      </w:r>
      <w:r w:rsidR="00AB5D0E" w:rsidRPr="00AB5D0E">
        <w:t>.</w:t>
      </w:r>
      <w:r w:rsidR="003D579F">
        <w:t>10</w:t>
      </w:r>
      <w:r w:rsidR="00AB5D0E" w:rsidRPr="00AB5D0E">
        <w:t>.2019 r.)</w:t>
      </w:r>
      <w:r w:rsidR="00EA4C4A">
        <w:t>.</w:t>
      </w:r>
    </w:p>
    <w:p w14:paraId="57645961" w14:textId="77777777" w:rsidR="00DE77EB" w:rsidRDefault="00DE77EB" w:rsidP="00DF64C7">
      <w:pPr>
        <w:jc w:val="left"/>
      </w:pPr>
      <w:r>
        <w:lastRenderedPageBreak/>
        <w:t>Do 14 października 2019 roku podpisano umowy/wydano decyzje dla 832 projektów o wartości 957 158 116 PLN. W ramach OP XI wykorzystano 75,5% alokacji, zaś w przypadku OP XII 90,1% alokacji.</w:t>
      </w:r>
    </w:p>
    <w:p w14:paraId="3FC5B994" w14:textId="0C4AFAB0" w:rsidR="00DE77EB" w:rsidRDefault="007201DD" w:rsidP="00DF64C7">
      <w:pPr>
        <w:pStyle w:val="Legenda"/>
        <w:spacing w:line="271" w:lineRule="auto"/>
        <w:jc w:val="left"/>
      </w:pPr>
      <w:r>
        <w:t xml:space="preserve">Tabela </w:t>
      </w:r>
      <w:r w:rsidR="000C2F92">
        <w:rPr>
          <w:noProof/>
        </w:rPr>
        <w:fldChar w:fldCharType="begin"/>
      </w:r>
      <w:r w:rsidR="000C2F92">
        <w:rPr>
          <w:noProof/>
        </w:rPr>
        <w:instrText xml:space="preserve"> SEQ Tabela \* ARABIC </w:instrText>
      </w:r>
      <w:r w:rsidR="000C2F92">
        <w:rPr>
          <w:noProof/>
        </w:rPr>
        <w:fldChar w:fldCharType="separate"/>
      </w:r>
      <w:r w:rsidR="00A8147E">
        <w:rPr>
          <w:noProof/>
        </w:rPr>
        <w:t>8</w:t>
      </w:r>
      <w:r w:rsidR="000C2F92">
        <w:rPr>
          <w:noProof/>
        </w:rPr>
        <w:fldChar w:fldCharType="end"/>
      </w:r>
      <w:r>
        <w:t xml:space="preserve">. </w:t>
      </w:r>
      <w:r w:rsidR="00DE77EB">
        <w:t>Podpisane umowy o dofinansowanie (stan na 14.10.2019)</w:t>
      </w:r>
    </w:p>
    <w:tbl>
      <w:tblPr>
        <w:tblStyle w:val="Tabelasiatki6kolorowaakcent62"/>
        <w:tblW w:w="0" w:type="auto"/>
        <w:tblLook w:val="04A0" w:firstRow="1" w:lastRow="0" w:firstColumn="1" w:lastColumn="0" w:noHBand="0" w:noVBand="1"/>
        <w:tblCaption w:val="Podpisane umowy o dofinansowanie (stan na 14.10.2019)"/>
        <w:tblDescription w:val="Tabela zawiera dane dotyczące podpisanych umów o dofinansowanie (stan na 14.10.2019), w tym: poziom alokacji; liczba konktraktacji, ich wartość oraz procentowy poziom wykorzystania alokacji."/>
      </w:tblPr>
      <w:tblGrid>
        <w:gridCol w:w="807"/>
        <w:gridCol w:w="2089"/>
        <w:gridCol w:w="1259"/>
        <w:gridCol w:w="2499"/>
        <w:gridCol w:w="2406"/>
      </w:tblGrid>
      <w:tr w:rsidR="00DE77EB" w14:paraId="2EE07668" w14:textId="77777777" w:rsidTr="00E92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7" w:type="dxa"/>
            <w:vMerge w:val="restar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1F6D265A" w14:textId="77777777" w:rsidR="00DE77EB" w:rsidRDefault="00DE77EB" w:rsidP="00DF64C7">
            <w:pPr>
              <w:jc w:val="left"/>
              <w:rPr>
                <w:color w:val="000000" w:themeColor="text1"/>
                <w:sz w:val="18"/>
              </w:rPr>
            </w:pPr>
            <w:r>
              <w:rPr>
                <w:color w:val="000000" w:themeColor="text1"/>
                <w:sz w:val="18"/>
              </w:rPr>
              <w:t>OP</w:t>
            </w:r>
          </w:p>
        </w:tc>
        <w:tc>
          <w:tcPr>
            <w:tcW w:w="2126" w:type="dxa"/>
            <w:vMerge w:val="restar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39651E64" w14:textId="77777777" w:rsidR="00DE77EB" w:rsidRDefault="00DE77EB" w:rsidP="00DF64C7">
            <w:pPr>
              <w:jc w:val="left"/>
              <w:cnfStyle w:val="100000000000" w:firstRow="1"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Alokacja ogółem (PLN)</w:t>
            </w:r>
          </w:p>
        </w:tc>
        <w:tc>
          <w:tcPr>
            <w:tcW w:w="6269" w:type="dxa"/>
            <w:gridSpan w:val="3"/>
            <w:tcBorders>
              <w:top w:val="single" w:sz="4" w:space="0" w:color="FABF8F" w:themeColor="accent6" w:themeTint="99"/>
              <w:left w:val="single" w:sz="4" w:space="0" w:color="FABF8F" w:themeColor="accent6" w:themeTint="99"/>
              <w:right w:val="single" w:sz="4" w:space="0" w:color="FABF8F" w:themeColor="accent6" w:themeTint="99"/>
            </w:tcBorders>
            <w:vAlign w:val="center"/>
            <w:hideMark/>
          </w:tcPr>
          <w:p w14:paraId="774BB80B" w14:textId="77777777" w:rsidR="00DE77EB" w:rsidRDefault="00DE77EB" w:rsidP="00DF64C7">
            <w:pPr>
              <w:jc w:val="left"/>
              <w:cnfStyle w:val="100000000000" w:firstRow="1"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Kontraktacja</w:t>
            </w:r>
          </w:p>
        </w:tc>
      </w:tr>
      <w:tr w:rsidR="00DE77EB" w14:paraId="29589E7A" w14:textId="77777777" w:rsidTr="00E921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742B49B9" w14:textId="77777777" w:rsidR="00DE77EB" w:rsidRDefault="00DE77EB" w:rsidP="00DF64C7">
            <w:pPr>
              <w:jc w:val="left"/>
              <w:rPr>
                <w:color w:val="000000" w:themeColor="text1"/>
                <w:sz w:val="18"/>
              </w:rPr>
            </w:pPr>
          </w:p>
        </w:tc>
        <w:tc>
          <w:tcPr>
            <w:tcW w:w="0" w:type="auto"/>
            <w:vMerge/>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3BB82529" w14:textId="77777777" w:rsidR="00DE77EB" w:rsidRDefault="00DE77EB" w:rsidP="00DF64C7">
            <w:pPr>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18"/>
              </w:rPr>
            </w:pPr>
          </w:p>
        </w:tc>
        <w:tc>
          <w:tcPr>
            <w:tcW w:w="127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22765F8D" w14:textId="77777777" w:rsidR="00DE77EB" w:rsidRDefault="00DE77EB" w:rsidP="00DF64C7">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Pr>
                <w:b w:val="0"/>
                <w:color w:val="000000" w:themeColor="text1"/>
                <w:sz w:val="18"/>
              </w:rPr>
              <w:t>Liczba</w:t>
            </w:r>
          </w:p>
        </w:tc>
        <w:tc>
          <w:tcPr>
            <w:tcW w:w="2552"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323C6CE7" w14:textId="77777777" w:rsidR="00DE77EB" w:rsidRDefault="00DE77EB" w:rsidP="00DF64C7">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Pr>
                <w:b w:val="0"/>
                <w:color w:val="000000" w:themeColor="text1"/>
                <w:sz w:val="18"/>
              </w:rPr>
              <w:t>Wartość wkładu UE (PLN)</w:t>
            </w:r>
          </w:p>
        </w:tc>
        <w:tc>
          <w:tcPr>
            <w:tcW w:w="244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532ABB19" w14:textId="77777777" w:rsidR="00DE77EB" w:rsidRDefault="00DE77EB" w:rsidP="00DF64C7">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Pr>
                <w:b w:val="0"/>
                <w:color w:val="000000" w:themeColor="text1"/>
                <w:sz w:val="18"/>
              </w:rPr>
              <w:t>% wykorzystania alokacji</w:t>
            </w:r>
          </w:p>
        </w:tc>
      </w:tr>
      <w:tr w:rsidR="00DE77EB" w14:paraId="08E9FCCA" w14:textId="77777777" w:rsidTr="00E92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47C4737B" w14:textId="77777777" w:rsidR="00DE77EB" w:rsidRDefault="00DE77EB" w:rsidP="00DF64C7">
            <w:pPr>
              <w:jc w:val="left"/>
              <w:rPr>
                <w:color w:val="000000" w:themeColor="text1"/>
                <w:sz w:val="18"/>
              </w:rPr>
            </w:pPr>
            <w:r>
              <w:rPr>
                <w:color w:val="000000" w:themeColor="text1"/>
                <w:sz w:val="18"/>
              </w:rPr>
              <w:t>XI</w:t>
            </w:r>
          </w:p>
        </w:tc>
        <w:tc>
          <w:tcPr>
            <w:tcW w:w="212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568F0242" w14:textId="77777777" w:rsidR="00DE77EB" w:rsidRDefault="00DE77EB" w:rsidP="00111C87">
            <w:pPr>
              <w:jc w:val="right"/>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848 226 009</w:t>
            </w:r>
          </w:p>
        </w:tc>
        <w:tc>
          <w:tcPr>
            <w:tcW w:w="127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4756903E" w14:textId="77777777" w:rsidR="00DE77EB" w:rsidRDefault="00DE77EB" w:rsidP="00111C87">
            <w:pPr>
              <w:jc w:val="right"/>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705</w:t>
            </w:r>
          </w:p>
        </w:tc>
        <w:tc>
          <w:tcPr>
            <w:tcW w:w="2552"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5EE87470" w14:textId="77777777" w:rsidR="00DE77EB" w:rsidRDefault="00DE77EB" w:rsidP="00111C87">
            <w:pPr>
              <w:jc w:val="right"/>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640 561 743</w:t>
            </w:r>
          </w:p>
        </w:tc>
        <w:tc>
          <w:tcPr>
            <w:tcW w:w="244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16C7C555" w14:textId="77777777" w:rsidR="00DE77EB" w:rsidRDefault="00DE77EB" w:rsidP="00111C87">
            <w:pPr>
              <w:jc w:val="right"/>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75,5%</w:t>
            </w:r>
          </w:p>
        </w:tc>
      </w:tr>
      <w:tr w:rsidR="00DE77EB" w14:paraId="10221074" w14:textId="77777777" w:rsidTr="00E921C6">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1393799F" w14:textId="77777777" w:rsidR="00DE77EB" w:rsidRDefault="00DE77EB" w:rsidP="00DF64C7">
            <w:pPr>
              <w:jc w:val="left"/>
              <w:rPr>
                <w:color w:val="000000" w:themeColor="text1"/>
                <w:sz w:val="18"/>
              </w:rPr>
            </w:pPr>
            <w:r>
              <w:rPr>
                <w:color w:val="000000" w:themeColor="text1"/>
                <w:sz w:val="18"/>
              </w:rPr>
              <w:t>XII</w:t>
            </w:r>
          </w:p>
        </w:tc>
        <w:tc>
          <w:tcPr>
            <w:tcW w:w="212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1BAD90FF" w14:textId="77777777" w:rsidR="00DE77EB" w:rsidRDefault="00DE77EB" w:rsidP="00111C87">
            <w:pPr>
              <w:jc w:val="right"/>
              <w:cnfStyle w:val="000000000000" w:firstRow="0"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351 343 724</w:t>
            </w:r>
          </w:p>
        </w:tc>
        <w:tc>
          <w:tcPr>
            <w:tcW w:w="127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6CA03E02" w14:textId="77777777" w:rsidR="00DE77EB" w:rsidRDefault="00DE77EB" w:rsidP="00111C87">
            <w:pPr>
              <w:jc w:val="right"/>
              <w:cnfStyle w:val="000000000000" w:firstRow="0"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127</w:t>
            </w:r>
          </w:p>
        </w:tc>
        <w:tc>
          <w:tcPr>
            <w:tcW w:w="2552"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5A77B57B" w14:textId="77777777" w:rsidR="00DE77EB" w:rsidRDefault="00DE77EB" w:rsidP="00111C87">
            <w:pPr>
              <w:jc w:val="right"/>
              <w:cnfStyle w:val="000000000000" w:firstRow="0"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316 596 373</w:t>
            </w:r>
          </w:p>
        </w:tc>
        <w:tc>
          <w:tcPr>
            <w:tcW w:w="244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3D7A191C" w14:textId="77777777" w:rsidR="00DE77EB" w:rsidRDefault="00DE77EB" w:rsidP="00111C87">
            <w:pPr>
              <w:jc w:val="right"/>
              <w:cnfStyle w:val="000000000000" w:firstRow="0"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90,1%</w:t>
            </w:r>
          </w:p>
        </w:tc>
      </w:tr>
    </w:tbl>
    <w:p w14:paraId="05DDFE59" w14:textId="77777777" w:rsidR="00DE77EB" w:rsidRDefault="00DE77EB" w:rsidP="00DF64C7">
      <w:pPr>
        <w:pStyle w:val="podpisrdailustracji"/>
        <w:spacing w:line="271" w:lineRule="auto"/>
        <w:jc w:val="left"/>
      </w:pPr>
      <w:r w:rsidRPr="00C01137">
        <w:rPr>
          <w:rStyle w:val="LegendaZnak"/>
          <w:b w:val="0"/>
          <w:bCs w:val="0"/>
          <w:i w:val="0"/>
          <w:szCs w:val="22"/>
        </w:rPr>
        <w:t xml:space="preserve">Źródło: opracowanie własne EU-Consult sp. z o.o. na podstawie </w:t>
      </w:r>
      <w:r>
        <w:rPr>
          <w:rStyle w:val="LegendaZnak"/>
          <w:b w:val="0"/>
          <w:bCs w:val="0"/>
          <w:i w:val="0"/>
          <w:szCs w:val="22"/>
        </w:rPr>
        <w:t>dokumentu</w:t>
      </w:r>
      <w:r w:rsidRPr="00132B39">
        <w:rPr>
          <w:rStyle w:val="LegendaZnak"/>
          <w:b w:val="0"/>
          <w:bCs w:val="0"/>
          <w:szCs w:val="22"/>
        </w:rPr>
        <w:t xml:space="preserve"> Realizacja Regionalnego Programu Operacyjnego Województwa Śląskiego 2014-2020 - stan na dzień 14 października 2019 r.</w:t>
      </w:r>
      <w:r w:rsidRPr="00C01137">
        <w:rPr>
          <w:rStyle w:val="LegendaZnak"/>
          <w:b w:val="0"/>
          <w:bCs w:val="0"/>
          <w:i w:val="0"/>
          <w:szCs w:val="22"/>
        </w:rPr>
        <w:t xml:space="preserve"> </w:t>
      </w:r>
    </w:p>
    <w:p w14:paraId="30734565" w14:textId="77777777" w:rsidR="00DA2E7D" w:rsidRDefault="00DA2E7D" w:rsidP="00DF64C7">
      <w:pPr>
        <w:jc w:val="left"/>
      </w:pPr>
      <w:r>
        <w:t>Celem głównym OP XII Infrastruktura edukacyjna jest wzrost potencjału edukacyjnego województwa śląskiego w kontekście zróżnicowania demograficznego, potrzeb rynku pracy, a także rozwoju kreatywności młodzieży w regionie. Cel ten realizowany jest poprzez zwiększenie dostępności do placówek wychowania przedszkolnego, poprawę warunków kształcenia zawodowego wraz z dostosowaniem do potrzeb rynku pracy i specjalizacji regionalnych oraz rozwój kreatywności i innowacyjności wśród dzieci i młodzieży</w:t>
      </w:r>
      <w:r>
        <w:rPr>
          <w:rStyle w:val="Odwoanieprzypisudolnego"/>
        </w:rPr>
        <w:footnoteReference w:id="15"/>
      </w:r>
      <w:r>
        <w:t>. Cel jest spójny z celami głównymi i szczegółowymi Umowy Partnerstwa.</w:t>
      </w:r>
    </w:p>
    <w:p w14:paraId="5139FBD9" w14:textId="77777777" w:rsidR="00DA2E7D" w:rsidRDefault="00DA2E7D" w:rsidP="00DF64C7">
      <w:pPr>
        <w:jc w:val="left"/>
      </w:pPr>
      <w:r>
        <w:t>Na realizację projektów w ramach OP XII przewidziano 81 100 493 EUR. Największe środki przeznaczone zostały na projekty realizowane w ramach Działania 12.2 (32 113 864 EUR).</w:t>
      </w:r>
    </w:p>
    <w:p w14:paraId="387F8A9A" w14:textId="650F67E3" w:rsidR="00DA2E7D" w:rsidRDefault="00DA2E7D" w:rsidP="00DF64C7">
      <w:pPr>
        <w:pStyle w:val="Legenda"/>
        <w:spacing w:line="271" w:lineRule="auto"/>
        <w:jc w:val="left"/>
      </w:pPr>
      <w:bookmarkStart w:id="27" w:name="_Toc33457208"/>
      <w:r>
        <w:t xml:space="preserve">Tabela </w:t>
      </w:r>
      <w:r>
        <w:rPr>
          <w:noProof/>
        </w:rPr>
        <w:fldChar w:fldCharType="begin"/>
      </w:r>
      <w:r>
        <w:rPr>
          <w:noProof/>
        </w:rPr>
        <w:instrText xml:space="preserve"> SEQ Tabela \* ARABIC </w:instrText>
      </w:r>
      <w:r>
        <w:rPr>
          <w:noProof/>
        </w:rPr>
        <w:fldChar w:fldCharType="separate"/>
      </w:r>
      <w:r w:rsidR="00A8147E">
        <w:rPr>
          <w:noProof/>
        </w:rPr>
        <w:t>9</w:t>
      </w:r>
      <w:r>
        <w:rPr>
          <w:noProof/>
        </w:rPr>
        <w:fldChar w:fldCharType="end"/>
      </w:r>
      <w:r>
        <w:rPr>
          <w:noProof/>
        </w:rPr>
        <w:t>.</w:t>
      </w:r>
      <w:r>
        <w:t xml:space="preserve"> Alokacja w ramach poszczególnych Działań i Poddziałań OP XII</w:t>
      </w:r>
      <w:bookmarkEnd w:id="27"/>
    </w:p>
    <w:tbl>
      <w:tblPr>
        <w:tblStyle w:val="redniasiatka3akcent6"/>
        <w:tblW w:w="0" w:type="auto"/>
        <w:tblLook w:val="04A0" w:firstRow="1" w:lastRow="0" w:firstColumn="1" w:lastColumn="0" w:noHBand="0" w:noVBand="1"/>
        <w:tblCaption w:val="Alokacja w ramach poszczególnych Działań i Poddziałań OP XII"/>
        <w:tblDescription w:val="Tabela przedstawia poziom alokacji w ramach poszczególnych Działań i Poddziałań dla osi priotytetowej XII."/>
      </w:tblPr>
      <w:tblGrid>
        <w:gridCol w:w="3108"/>
        <w:gridCol w:w="2770"/>
        <w:gridCol w:w="3172"/>
      </w:tblGrid>
      <w:tr w:rsidR="00DA2E7D" w:rsidRPr="00E21307" w14:paraId="2E34ADFE" w14:textId="77777777" w:rsidTr="007B5F7E">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3113" w:type="dxa"/>
          </w:tcPr>
          <w:p w14:paraId="0FF4F676" w14:textId="77777777" w:rsidR="00DA2E7D" w:rsidRPr="00E21307" w:rsidRDefault="00DA2E7D" w:rsidP="00DF64C7">
            <w:pPr>
              <w:jc w:val="left"/>
              <w:rPr>
                <w:rFonts w:cstheme="minorHAnsi"/>
                <w:sz w:val="20"/>
              </w:rPr>
            </w:pPr>
            <w:r w:rsidRPr="00E21307">
              <w:rPr>
                <w:rFonts w:cstheme="minorHAnsi"/>
                <w:sz w:val="20"/>
              </w:rPr>
              <w:t>Działanie w ramach OP XII</w:t>
            </w:r>
          </w:p>
        </w:tc>
        <w:tc>
          <w:tcPr>
            <w:tcW w:w="2773" w:type="dxa"/>
          </w:tcPr>
          <w:p w14:paraId="439FCF67" w14:textId="77777777" w:rsidR="00DA2E7D" w:rsidRPr="00E21307"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rPr>
            </w:pPr>
            <w:r>
              <w:rPr>
                <w:rFonts w:cstheme="minorHAnsi"/>
                <w:sz w:val="20"/>
              </w:rPr>
              <w:t>Poddziałanie</w:t>
            </w:r>
          </w:p>
        </w:tc>
        <w:tc>
          <w:tcPr>
            <w:tcW w:w="3176" w:type="dxa"/>
          </w:tcPr>
          <w:p w14:paraId="64E487A5" w14:textId="77777777" w:rsidR="00DA2E7D" w:rsidRPr="00E21307"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rPr>
            </w:pPr>
            <w:r w:rsidRPr="00E21307">
              <w:rPr>
                <w:rFonts w:cstheme="minorHAnsi"/>
                <w:sz w:val="20"/>
              </w:rPr>
              <w:t>Alokacja</w:t>
            </w:r>
          </w:p>
        </w:tc>
      </w:tr>
      <w:tr w:rsidR="00DA2E7D" w:rsidRPr="00E21307" w14:paraId="43B72FE3" w14:textId="77777777" w:rsidTr="007B5F7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113" w:type="dxa"/>
          </w:tcPr>
          <w:p w14:paraId="3603B613" w14:textId="77777777" w:rsidR="00DA2E7D" w:rsidRPr="00E21307" w:rsidRDefault="00DA2E7D" w:rsidP="00DF64C7">
            <w:pPr>
              <w:jc w:val="left"/>
              <w:rPr>
                <w:rFonts w:cstheme="minorHAnsi"/>
                <w:sz w:val="20"/>
              </w:rPr>
            </w:pPr>
            <w:r w:rsidRPr="00E21307">
              <w:rPr>
                <w:rFonts w:cstheme="minorHAnsi"/>
                <w:sz w:val="20"/>
              </w:rPr>
              <w:t>Ogółem</w:t>
            </w:r>
          </w:p>
        </w:tc>
        <w:tc>
          <w:tcPr>
            <w:tcW w:w="2773" w:type="dxa"/>
          </w:tcPr>
          <w:p w14:paraId="476CD7B6" w14:textId="77777777" w:rsidR="00DA2E7D" w:rsidRPr="00E21307" w:rsidRDefault="00DA2E7D" w:rsidP="00DF64C7">
            <w:pPr>
              <w:jc w:val="left"/>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3176" w:type="dxa"/>
          </w:tcPr>
          <w:p w14:paraId="359C2EAB" w14:textId="77777777" w:rsidR="00DA2E7D" w:rsidRPr="00E21307"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E21307">
              <w:rPr>
                <w:rFonts w:cstheme="minorHAnsi"/>
                <w:sz w:val="20"/>
              </w:rPr>
              <w:t>81 100 493 EUR</w:t>
            </w:r>
          </w:p>
        </w:tc>
      </w:tr>
      <w:tr w:rsidR="00DA2E7D" w:rsidRPr="00E21307" w14:paraId="204D992B" w14:textId="77777777" w:rsidTr="007B5F7E">
        <w:trPr>
          <w:trHeight w:val="57"/>
        </w:trPr>
        <w:tc>
          <w:tcPr>
            <w:cnfStyle w:val="001000000000" w:firstRow="0" w:lastRow="0" w:firstColumn="1" w:lastColumn="0" w:oddVBand="0" w:evenVBand="0" w:oddHBand="0" w:evenHBand="0" w:firstRowFirstColumn="0" w:firstRowLastColumn="0" w:lastRowFirstColumn="0" w:lastRowLastColumn="0"/>
            <w:tcW w:w="3113" w:type="dxa"/>
            <w:vMerge w:val="restart"/>
          </w:tcPr>
          <w:p w14:paraId="65B4E22B" w14:textId="77777777" w:rsidR="00DA2E7D" w:rsidRPr="00E21307" w:rsidRDefault="00DA2E7D" w:rsidP="00DF64C7">
            <w:pPr>
              <w:jc w:val="left"/>
              <w:rPr>
                <w:rFonts w:cstheme="minorHAnsi"/>
                <w:sz w:val="20"/>
              </w:rPr>
            </w:pPr>
            <w:r w:rsidRPr="00E21307">
              <w:rPr>
                <w:rFonts w:cstheme="minorHAnsi"/>
                <w:sz w:val="20"/>
              </w:rPr>
              <w:t>Działanie 12.1</w:t>
            </w:r>
          </w:p>
        </w:tc>
        <w:tc>
          <w:tcPr>
            <w:tcW w:w="2773" w:type="dxa"/>
          </w:tcPr>
          <w:p w14:paraId="67556921" w14:textId="77777777" w:rsidR="00DA2E7D" w:rsidRPr="00E21307" w:rsidRDefault="00DA2E7D" w:rsidP="00DF64C7">
            <w:pPr>
              <w:jc w:val="left"/>
              <w:cnfStyle w:val="000000000000" w:firstRow="0" w:lastRow="0" w:firstColumn="0" w:lastColumn="0" w:oddVBand="0" w:evenVBand="0" w:oddHBand="0" w:evenHBand="0" w:firstRowFirstColumn="0" w:firstRowLastColumn="0" w:lastRowFirstColumn="0" w:lastRowLastColumn="0"/>
              <w:rPr>
                <w:rFonts w:cstheme="minorHAnsi"/>
                <w:sz w:val="20"/>
              </w:rPr>
            </w:pPr>
            <w:r w:rsidRPr="00E21307">
              <w:rPr>
                <w:rFonts w:cstheme="minorHAnsi"/>
                <w:sz w:val="20"/>
              </w:rPr>
              <w:t>Ogółem</w:t>
            </w:r>
          </w:p>
        </w:tc>
        <w:tc>
          <w:tcPr>
            <w:tcW w:w="3176" w:type="dxa"/>
          </w:tcPr>
          <w:p w14:paraId="52AF0B34" w14:textId="77777777" w:rsidR="00DA2E7D" w:rsidRPr="00E21307" w:rsidRDefault="00DA2E7D" w:rsidP="00111C87">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E21307">
              <w:rPr>
                <w:rFonts w:cstheme="minorHAnsi"/>
                <w:sz w:val="20"/>
              </w:rPr>
              <w:t>27 986 629 EUR</w:t>
            </w:r>
          </w:p>
        </w:tc>
      </w:tr>
      <w:tr w:rsidR="00DA2E7D" w:rsidRPr="00E21307" w14:paraId="72E09856" w14:textId="77777777" w:rsidTr="007B5F7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113" w:type="dxa"/>
            <w:vMerge/>
          </w:tcPr>
          <w:p w14:paraId="5BF9C0D7" w14:textId="77777777" w:rsidR="00DA2E7D" w:rsidRPr="00E21307" w:rsidRDefault="00DA2E7D" w:rsidP="00DF64C7">
            <w:pPr>
              <w:jc w:val="left"/>
              <w:rPr>
                <w:rFonts w:cstheme="minorHAnsi"/>
                <w:sz w:val="20"/>
              </w:rPr>
            </w:pPr>
          </w:p>
        </w:tc>
        <w:tc>
          <w:tcPr>
            <w:tcW w:w="2773" w:type="dxa"/>
          </w:tcPr>
          <w:p w14:paraId="1767D71E" w14:textId="77777777" w:rsidR="00DA2E7D" w:rsidRPr="00E21307" w:rsidRDefault="00DA2E7D" w:rsidP="00DF64C7">
            <w:pPr>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E21307">
              <w:rPr>
                <w:rFonts w:cstheme="minorHAnsi"/>
                <w:sz w:val="20"/>
              </w:rPr>
              <w:t>Poddziałanie 1</w:t>
            </w:r>
            <w:r w:rsidR="00DD3ACB">
              <w:rPr>
                <w:rFonts w:cstheme="minorHAnsi"/>
                <w:sz w:val="20"/>
              </w:rPr>
              <w:t>2</w:t>
            </w:r>
            <w:r w:rsidRPr="00E21307">
              <w:rPr>
                <w:rFonts w:cstheme="minorHAnsi"/>
                <w:sz w:val="20"/>
              </w:rPr>
              <w:t>.1.1</w:t>
            </w:r>
          </w:p>
        </w:tc>
        <w:tc>
          <w:tcPr>
            <w:tcW w:w="3176" w:type="dxa"/>
          </w:tcPr>
          <w:p w14:paraId="05B459AB" w14:textId="77777777" w:rsidR="00DA2E7D" w:rsidRPr="00E21307" w:rsidRDefault="00DA2E7D" w:rsidP="00111C87">
            <w:pPr>
              <w:jc w:val="right"/>
              <w:cnfStyle w:val="000000100000" w:firstRow="0" w:lastRow="0" w:firstColumn="0" w:lastColumn="0" w:oddVBand="0" w:evenVBand="0" w:oddHBand="1" w:evenHBand="0" w:firstRowFirstColumn="0" w:firstRowLastColumn="0" w:lastRowFirstColumn="0" w:lastRowLastColumn="0"/>
              <w:rPr>
                <w:sz w:val="20"/>
              </w:rPr>
            </w:pPr>
            <w:r w:rsidRPr="00E21307">
              <w:rPr>
                <w:rFonts w:cstheme="minorHAnsi"/>
                <w:sz w:val="20"/>
              </w:rPr>
              <w:t>14 167 342 EUR</w:t>
            </w:r>
          </w:p>
        </w:tc>
      </w:tr>
      <w:tr w:rsidR="00DA2E7D" w:rsidRPr="00E21307" w14:paraId="55235D6D" w14:textId="77777777" w:rsidTr="007B5F7E">
        <w:trPr>
          <w:trHeight w:val="57"/>
        </w:trPr>
        <w:tc>
          <w:tcPr>
            <w:cnfStyle w:val="001000000000" w:firstRow="0" w:lastRow="0" w:firstColumn="1" w:lastColumn="0" w:oddVBand="0" w:evenVBand="0" w:oddHBand="0" w:evenHBand="0" w:firstRowFirstColumn="0" w:firstRowLastColumn="0" w:lastRowFirstColumn="0" w:lastRowLastColumn="0"/>
            <w:tcW w:w="3113" w:type="dxa"/>
            <w:vMerge/>
          </w:tcPr>
          <w:p w14:paraId="2D410352" w14:textId="77777777" w:rsidR="00DA2E7D" w:rsidRPr="00E21307" w:rsidRDefault="00DA2E7D" w:rsidP="00DF64C7">
            <w:pPr>
              <w:jc w:val="left"/>
              <w:rPr>
                <w:rFonts w:cstheme="minorHAnsi"/>
                <w:sz w:val="20"/>
              </w:rPr>
            </w:pPr>
          </w:p>
        </w:tc>
        <w:tc>
          <w:tcPr>
            <w:tcW w:w="2773" w:type="dxa"/>
          </w:tcPr>
          <w:p w14:paraId="32291FCE" w14:textId="77777777" w:rsidR="00DA2E7D" w:rsidRPr="00E21307" w:rsidRDefault="00DA2E7D" w:rsidP="00DF64C7">
            <w:pPr>
              <w:jc w:val="left"/>
              <w:cnfStyle w:val="000000000000" w:firstRow="0" w:lastRow="0" w:firstColumn="0" w:lastColumn="0" w:oddVBand="0" w:evenVBand="0" w:oddHBand="0" w:evenHBand="0" w:firstRowFirstColumn="0" w:firstRowLastColumn="0" w:lastRowFirstColumn="0" w:lastRowLastColumn="0"/>
              <w:rPr>
                <w:rFonts w:cstheme="minorHAnsi"/>
                <w:sz w:val="20"/>
              </w:rPr>
            </w:pPr>
            <w:r w:rsidRPr="00E21307">
              <w:rPr>
                <w:rFonts w:cstheme="minorHAnsi"/>
                <w:sz w:val="20"/>
              </w:rPr>
              <w:t>Poddziałanie 1</w:t>
            </w:r>
            <w:r w:rsidR="00DD3ACB">
              <w:rPr>
                <w:rFonts w:cstheme="minorHAnsi"/>
                <w:sz w:val="20"/>
              </w:rPr>
              <w:t>2</w:t>
            </w:r>
            <w:r w:rsidRPr="00E21307">
              <w:rPr>
                <w:rFonts w:cstheme="minorHAnsi"/>
                <w:sz w:val="20"/>
              </w:rPr>
              <w:t>.1.2</w:t>
            </w:r>
          </w:p>
        </w:tc>
        <w:tc>
          <w:tcPr>
            <w:tcW w:w="3176" w:type="dxa"/>
          </w:tcPr>
          <w:p w14:paraId="6EB5F275" w14:textId="77777777" w:rsidR="00DA2E7D" w:rsidRPr="00E21307" w:rsidRDefault="00DA2E7D" w:rsidP="00111C87">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E21307">
              <w:rPr>
                <w:rFonts w:cstheme="minorHAnsi"/>
                <w:sz w:val="20"/>
              </w:rPr>
              <w:t>13 819 287 EUR</w:t>
            </w:r>
          </w:p>
        </w:tc>
      </w:tr>
      <w:tr w:rsidR="00DA2E7D" w:rsidRPr="00E21307" w14:paraId="37692AE0" w14:textId="77777777" w:rsidTr="007B5F7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113" w:type="dxa"/>
            <w:vMerge w:val="restart"/>
          </w:tcPr>
          <w:p w14:paraId="48C4003B" w14:textId="77777777" w:rsidR="00DA2E7D" w:rsidRPr="00E21307" w:rsidRDefault="00DA2E7D" w:rsidP="00DF64C7">
            <w:pPr>
              <w:jc w:val="left"/>
              <w:rPr>
                <w:rFonts w:cstheme="minorHAnsi"/>
                <w:sz w:val="20"/>
              </w:rPr>
            </w:pPr>
            <w:r w:rsidRPr="00E21307">
              <w:rPr>
                <w:rFonts w:cstheme="minorHAnsi"/>
                <w:sz w:val="20"/>
              </w:rPr>
              <w:t>Działanie 12.2</w:t>
            </w:r>
          </w:p>
        </w:tc>
        <w:tc>
          <w:tcPr>
            <w:tcW w:w="2773" w:type="dxa"/>
          </w:tcPr>
          <w:p w14:paraId="2249A4E9" w14:textId="77777777" w:rsidR="00DA2E7D" w:rsidRPr="00E21307" w:rsidRDefault="00DA2E7D" w:rsidP="00DF64C7">
            <w:pPr>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E21307">
              <w:rPr>
                <w:rFonts w:cstheme="minorHAnsi"/>
                <w:sz w:val="20"/>
              </w:rPr>
              <w:t>Ogółem</w:t>
            </w:r>
          </w:p>
        </w:tc>
        <w:tc>
          <w:tcPr>
            <w:tcW w:w="3176" w:type="dxa"/>
          </w:tcPr>
          <w:p w14:paraId="7E485170" w14:textId="77777777" w:rsidR="00DA2E7D" w:rsidRPr="00E21307"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E21307">
              <w:rPr>
                <w:rFonts w:cstheme="minorHAnsi"/>
                <w:sz w:val="20"/>
              </w:rPr>
              <w:t>32 113 864 EUR</w:t>
            </w:r>
          </w:p>
        </w:tc>
      </w:tr>
      <w:tr w:rsidR="00DA2E7D" w:rsidRPr="00E21307" w14:paraId="720C5E98" w14:textId="77777777" w:rsidTr="007B5F7E">
        <w:trPr>
          <w:trHeight w:val="57"/>
        </w:trPr>
        <w:tc>
          <w:tcPr>
            <w:cnfStyle w:val="001000000000" w:firstRow="0" w:lastRow="0" w:firstColumn="1" w:lastColumn="0" w:oddVBand="0" w:evenVBand="0" w:oddHBand="0" w:evenHBand="0" w:firstRowFirstColumn="0" w:firstRowLastColumn="0" w:lastRowFirstColumn="0" w:lastRowLastColumn="0"/>
            <w:tcW w:w="3113" w:type="dxa"/>
            <w:vMerge/>
          </w:tcPr>
          <w:p w14:paraId="589EB082" w14:textId="77777777" w:rsidR="00DA2E7D" w:rsidRPr="00E21307" w:rsidRDefault="00DA2E7D" w:rsidP="00DF64C7">
            <w:pPr>
              <w:jc w:val="left"/>
              <w:rPr>
                <w:rFonts w:cstheme="minorHAnsi"/>
                <w:sz w:val="20"/>
              </w:rPr>
            </w:pPr>
          </w:p>
        </w:tc>
        <w:tc>
          <w:tcPr>
            <w:tcW w:w="2773" w:type="dxa"/>
          </w:tcPr>
          <w:p w14:paraId="5AE662F6" w14:textId="77777777" w:rsidR="00DA2E7D" w:rsidRPr="00E21307" w:rsidRDefault="00DA2E7D" w:rsidP="00DF64C7">
            <w:pPr>
              <w:jc w:val="left"/>
              <w:cnfStyle w:val="000000000000" w:firstRow="0" w:lastRow="0" w:firstColumn="0" w:lastColumn="0" w:oddVBand="0" w:evenVBand="0" w:oddHBand="0" w:evenHBand="0" w:firstRowFirstColumn="0" w:firstRowLastColumn="0" w:lastRowFirstColumn="0" w:lastRowLastColumn="0"/>
              <w:rPr>
                <w:rFonts w:cstheme="minorHAnsi"/>
                <w:sz w:val="20"/>
              </w:rPr>
            </w:pPr>
            <w:r w:rsidRPr="00E21307">
              <w:rPr>
                <w:rFonts w:cstheme="minorHAnsi"/>
                <w:sz w:val="20"/>
              </w:rPr>
              <w:t>Poddziałanie 12.2.1</w:t>
            </w:r>
          </w:p>
        </w:tc>
        <w:tc>
          <w:tcPr>
            <w:tcW w:w="3176" w:type="dxa"/>
          </w:tcPr>
          <w:p w14:paraId="536F5B3F" w14:textId="77777777" w:rsidR="00DA2E7D" w:rsidRPr="00E21307" w:rsidRDefault="00DA2E7D" w:rsidP="00111C87">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E21307">
              <w:rPr>
                <w:rFonts w:cstheme="minorHAnsi"/>
                <w:sz w:val="20"/>
              </w:rPr>
              <w:t>19 298 111 EUR</w:t>
            </w:r>
          </w:p>
        </w:tc>
      </w:tr>
      <w:tr w:rsidR="00DA2E7D" w:rsidRPr="00E21307" w14:paraId="55E07E6C" w14:textId="77777777" w:rsidTr="007B5F7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113" w:type="dxa"/>
            <w:vMerge/>
          </w:tcPr>
          <w:p w14:paraId="5F95DDD6" w14:textId="77777777" w:rsidR="00DA2E7D" w:rsidRPr="00E21307" w:rsidRDefault="00DA2E7D" w:rsidP="00DF64C7">
            <w:pPr>
              <w:jc w:val="left"/>
              <w:rPr>
                <w:rFonts w:cstheme="minorHAnsi"/>
                <w:sz w:val="20"/>
              </w:rPr>
            </w:pPr>
          </w:p>
        </w:tc>
        <w:tc>
          <w:tcPr>
            <w:tcW w:w="2773" w:type="dxa"/>
          </w:tcPr>
          <w:p w14:paraId="136C34E2" w14:textId="77777777" w:rsidR="00DA2E7D" w:rsidRPr="00E21307" w:rsidRDefault="00DA2E7D" w:rsidP="00DF64C7">
            <w:pPr>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E21307">
              <w:rPr>
                <w:rFonts w:cstheme="minorHAnsi"/>
                <w:sz w:val="20"/>
              </w:rPr>
              <w:t>Poddziałanie 12.2.2</w:t>
            </w:r>
          </w:p>
        </w:tc>
        <w:tc>
          <w:tcPr>
            <w:tcW w:w="3176" w:type="dxa"/>
          </w:tcPr>
          <w:p w14:paraId="39358949" w14:textId="77777777" w:rsidR="00DA2E7D" w:rsidRPr="00E21307"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sz w:val="20"/>
              </w:rPr>
            </w:pPr>
            <w:r w:rsidRPr="00E21307">
              <w:rPr>
                <w:rFonts w:cstheme="minorHAnsi"/>
                <w:sz w:val="20"/>
              </w:rPr>
              <w:t>12 815 753 EUR</w:t>
            </w:r>
          </w:p>
        </w:tc>
      </w:tr>
      <w:tr w:rsidR="00DA2E7D" w:rsidRPr="00E21307" w14:paraId="75D93B90" w14:textId="77777777" w:rsidTr="007B5F7E">
        <w:trPr>
          <w:trHeight w:val="57"/>
        </w:trPr>
        <w:tc>
          <w:tcPr>
            <w:cnfStyle w:val="001000000000" w:firstRow="0" w:lastRow="0" w:firstColumn="1" w:lastColumn="0" w:oddVBand="0" w:evenVBand="0" w:oddHBand="0" w:evenHBand="0" w:firstRowFirstColumn="0" w:firstRowLastColumn="0" w:lastRowFirstColumn="0" w:lastRowLastColumn="0"/>
            <w:tcW w:w="3113" w:type="dxa"/>
          </w:tcPr>
          <w:p w14:paraId="205EEB53" w14:textId="77777777" w:rsidR="00DA2E7D" w:rsidRPr="00E21307" w:rsidRDefault="00DA2E7D" w:rsidP="00DF64C7">
            <w:pPr>
              <w:jc w:val="left"/>
              <w:rPr>
                <w:rFonts w:cstheme="minorHAnsi"/>
                <w:sz w:val="20"/>
              </w:rPr>
            </w:pPr>
            <w:r w:rsidRPr="00E21307">
              <w:rPr>
                <w:rFonts w:cstheme="minorHAnsi"/>
                <w:sz w:val="20"/>
              </w:rPr>
              <w:t>Działanie 1</w:t>
            </w:r>
            <w:r>
              <w:rPr>
                <w:rFonts w:cstheme="minorHAnsi"/>
                <w:sz w:val="20"/>
              </w:rPr>
              <w:t>2</w:t>
            </w:r>
            <w:r w:rsidRPr="00E21307">
              <w:rPr>
                <w:rFonts w:cstheme="minorHAnsi"/>
                <w:sz w:val="20"/>
              </w:rPr>
              <w:t>.3</w:t>
            </w:r>
          </w:p>
        </w:tc>
        <w:tc>
          <w:tcPr>
            <w:tcW w:w="2773" w:type="dxa"/>
          </w:tcPr>
          <w:p w14:paraId="74768CD1" w14:textId="77777777" w:rsidR="00DA2E7D" w:rsidRPr="00E21307" w:rsidRDefault="00DA2E7D" w:rsidP="00DF64C7">
            <w:pPr>
              <w:jc w:val="left"/>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w:t>
            </w:r>
          </w:p>
        </w:tc>
        <w:tc>
          <w:tcPr>
            <w:tcW w:w="3176" w:type="dxa"/>
          </w:tcPr>
          <w:p w14:paraId="03051A93" w14:textId="77777777" w:rsidR="00DA2E7D" w:rsidRPr="00E21307" w:rsidRDefault="00DA2E7D" w:rsidP="00111C87">
            <w:pPr>
              <w:jc w:val="right"/>
              <w:cnfStyle w:val="000000000000" w:firstRow="0" w:lastRow="0" w:firstColumn="0" w:lastColumn="0" w:oddVBand="0" w:evenVBand="0" w:oddHBand="0" w:evenHBand="0" w:firstRowFirstColumn="0" w:firstRowLastColumn="0" w:lastRowFirstColumn="0" w:lastRowLastColumn="0"/>
              <w:rPr>
                <w:rFonts w:cstheme="minorHAnsi"/>
                <w:sz w:val="20"/>
              </w:rPr>
            </w:pPr>
            <w:r w:rsidRPr="00E21307">
              <w:rPr>
                <w:rFonts w:cstheme="minorHAnsi"/>
                <w:sz w:val="20"/>
              </w:rPr>
              <w:t>21 000 000 EUR</w:t>
            </w:r>
          </w:p>
        </w:tc>
      </w:tr>
    </w:tbl>
    <w:p w14:paraId="29CEEC11" w14:textId="77777777" w:rsidR="00DA2E7D" w:rsidRDefault="00DA2E7D" w:rsidP="00DF64C7">
      <w:pPr>
        <w:pStyle w:val="podpisrdailustracji"/>
        <w:spacing w:line="271" w:lineRule="auto"/>
        <w:jc w:val="left"/>
      </w:pPr>
      <w:r>
        <w:t xml:space="preserve">Źródło: opracowanie własne na </w:t>
      </w:r>
      <w:r w:rsidR="00BA1559" w:rsidRPr="00BA1559">
        <w:t>podstawie SZOOP RPO WSL</w:t>
      </w:r>
      <w:r w:rsidR="003D579F">
        <w:t xml:space="preserve"> v 19.0</w:t>
      </w:r>
      <w:r w:rsidR="00BA1559" w:rsidRPr="00BA1559">
        <w:t>.</w:t>
      </w:r>
    </w:p>
    <w:p w14:paraId="02431030" w14:textId="77777777" w:rsidR="00DA2E7D" w:rsidRDefault="00DA2E7D" w:rsidP="00DF64C7">
      <w:pPr>
        <w:jc w:val="left"/>
        <w:rPr>
          <w:rFonts w:cstheme="minorHAnsi"/>
        </w:rPr>
      </w:pPr>
      <w:r>
        <w:rPr>
          <w:rFonts w:cstheme="minorHAnsi"/>
        </w:rPr>
        <w:t xml:space="preserve">Wartość docelowa wskaźnika finansowego na 2019 rok wynosi 29 940 772 EUR. Dane na 01.10.2019 r. wskazują, iż wartość wskaźnika na podstawie zatwierdzonych wniosków o płatność wyniosła 47 268 881 EUR, co stanowi 157,9% wartości docelowej na rok 2019 i 49,5% wartości docelowej na rok 2023. </w:t>
      </w:r>
    </w:p>
    <w:p w14:paraId="61D0A3E7" w14:textId="7C97C2A4" w:rsidR="00DA2E7D" w:rsidRDefault="00DA2E7D" w:rsidP="00DF64C7">
      <w:pPr>
        <w:pStyle w:val="Legenda"/>
        <w:spacing w:line="271" w:lineRule="auto"/>
        <w:jc w:val="left"/>
      </w:pPr>
      <w:bookmarkStart w:id="28" w:name="_Toc33457209"/>
      <w:r>
        <w:lastRenderedPageBreak/>
        <w:t xml:space="preserve">Tabela </w:t>
      </w:r>
      <w:r>
        <w:rPr>
          <w:noProof/>
        </w:rPr>
        <w:fldChar w:fldCharType="begin"/>
      </w:r>
      <w:r>
        <w:rPr>
          <w:noProof/>
        </w:rPr>
        <w:instrText xml:space="preserve"> SEQ Tabela \* ARABIC </w:instrText>
      </w:r>
      <w:r>
        <w:rPr>
          <w:noProof/>
        </w:rPr>
        <w:fldChar w:fldCharType="separate"/>
      </w:r>
      <w:r w:rsidR="00A8147E">
        <w:rPr>
          <w:noProof/>
        </w:rPr>
        <w:t>10</w:t>
      </w:r>
      <w:r>
        <w:rPr>
          <w:noProof/>
        </w:rPr>
        <w:fldChar w:fldCharType="end"/>
      </w:r>
      <w:r>
        <w:rPr>
          <w:noProof/>
        </w:rPr>
        <w:t>.</w:t>
      </w:r>
      <w:r>
        <w:t xml:space="preserve"> Postęp realizacji wskaźników finansowych OP XII (EUR) – stan na 01.10.2019</w:t>
      </w:r>
      <w:bookmarkEnd w:id="28"/>
    </w:p>
    <w:tbl>
      <w:tblPr>
        <w:tblStyle w:val="Jasnasiatkaakcent6"/>
        <w:tblW w:w="5000" w:type="pct"/>
        <w:tblLook w:val="04A0" w:firstRow="1" w:lastRow="0" w:firstColumn="1" w:lastColumn="0" w:noHBand="0" w:noVBand="1"/>
        <w:tblCaption w:val="Postęp realizacji wskaźników finansowych OP XII (EUR) – stan na 01.10.2019"/>
        <w:tblDescription w:val="Tabela przedstawia wartości docelowe wskaźników w roku 2019 i 2023, wartości wskaźnika na podstawie zatwierdzonych wnosków w opłatność w roku 2019, procentową wartość realizacji wskaźników na rok 2019 oraz 2023 oraz poziom realizacji wskaźnika."/>
      </w:tblPr>
      <w:tblGrid>
        <w:gridCol w:w="1203"/>
        <w:gridCol w:w="1235"/>
        <w:gridCol w:w="1741"/>
        <w:gridCol w:w="895"/>
        <w:gridCol w:w="797"/>
        <w:gridCol w:w="1493"/>
        <w:gridCol w:w="895"/>
        <w:gridCol w:w="791"/>
      </w:tblGrid>
      <w:tr w:rsidR="00DA2E7D" w:rsidRPr="0088335B" w14:paraId="2A8681C7" w14:textId="77777777" w:rsidTr="00F04F9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69" w:type="pct"/>
            <w:vAlign w:val="center"/>
          </w:tcPr>
          <w:p w14:paraId="1C2CC40B" w14:textId="77777777" w:rsidR="00DA2E7D" w:rsidRPr="0088335B" w:rsidRDefault="00DA2E7D" w:rsidP="00DF64C7">
            <w:pPr>
              <w:jc w:val="left"/>
              <w:rPr>
                <w:rFonts w:cstheme="minorHAnsi"/>
                <w:sz w:val="20"/>
                <w:szCs w:val="20"/>
              </w:rPr>
            </w:pPr>
            <w:r w:rsidRPr="0088335B">
              <w:rPr>
                <w:rFonts w:cstheme="minorHAnsi"/>
                <w:sz w:val="20"/>
                <w:szCs w:val="20"/>
              </w:rPr>
              <w:t>Wartość docelowa 2019</w:t>
            </w:r>
          </w:p>
        </w:tc>
        <w:tc>
          <w:tcPr>
            <w:tcW w:w="687" w:type="pct"/>
            <w:vAlign w:val="center"/>
          </w:tcPr>
          <w:p w14:paraId="7C698C6B"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Wartość docelowa 2023</w:t>
            </w:r>
          </w:p>
        </w:tc>
        <w:tc>
          <w:tcPr>
            <w:tcW w:w="966" w:type="pct"/>
            <w:vAlign w:val="center"/>
          </w:tcPr>
          <w:p w14:paraId="783CEE70"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Wartość wskaźnika na podstawie zatwierdzonych wniosków o płatność</w:t>
            </w:r>
          </w:p>
        </w:tc>
        <w:tc>
          <w:tcPr>
            <w:tcW w:w="482" w:type="pct"/>
            <w:vAlign w:val="center"/>
          </w:tcPr>
          <w:p w14:paraId="54942B68"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2019 (%)</w:t>
            </w:r>
          </w:p>
        </w:tc>
        <w:tc>
          <w:tcPr>
            <w:tcW w:w="444" w:type="pct"/>
            <w:vAlign w:val="center"/>
          </w:tcPr>
          <w:p w14:paraId="53522433"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2023 (%)</w:t>
            </w:r>
          </w:p>
        </w:tc>
        <w:tc>
          <w:tcPr>
            <w:tcW w:w="829" w:type="pct"/>
            <w:vAlign w:val="center"/>
          </w:tcPr>
          <w:p w14:paraId="11439631"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Realizacja wskaźnika (certyfikacja)</w:t>
            </w:r>
          </w:p>
        </w:tc>
        <w:tc>
          <w:tcPr>
            <w:tcW w:w="482" w:type="pct"/>
            <w:vAlign w:val="center"/>
          </w:tcPr>
          <w:p w14:paraId="68E58B39"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2019 (%)</w:t>
            </w:r>
          </w:p>
        </w:tc>
        <w:tc>
          <w:tcPr>
            <w:tcW w:w="441" w:type="pct"/>
            <w:vAlign w:val="center"/>
          </w:tcPr>
          <w:p w14:paraId="491AF71A" w14:textId="77777777" w:rsidR="00DA2E7D" w:rsidRPr="0088335B" w:rsidRDefault="00DA2E7D" w:rsidP="00DF64C7">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8335B">
              <w:rPr>
                <w:rFonts w:cstheme="minorHAnsi"/>
                <w:sz w:val="20"/>
                <w:szCs w:val="20"/>
              </w:rPr>
              <w:t>2023 (%)</w:t>
            </w:r>
          </w:p>
        </w:tc>
      </w:tr>
      <w:tr w:rsidR="00DA2E7D" w:rsidRPr="0007778D" w14:paraId="7368ABC0" w14:textId="77777777" w:rsidTr="00F04F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tcPr>
          <w:p w14:paraId="052D8743" w14:textId="77777777" w:rsidR="00DA2E7D" w:rsidRPr="0007778D" w:rsidRDefault="00DA2E7D" w:rsidP="00111C87">
            <w:pPr>
              <w:jc w:val="right"/>
              <w:rPr>
                <w:rFonts w:cstheme="minorHAnsi"/>
                <w:color w:val="000000" w:themeColor="text1"/>
                <w:sz w:val="20"/>
                <w:szCs w:val="20"/>
              </w:rPr>
            </w:pPr>
            <w:r w:rsidRPr="0007778D">
              <w:rPr>
                <w:rFonts w:cstheme="minorHAnsi"/>
                <w:color w:val="000000" w:themeColor="text1"/>
                <w:sz w:val="20"/>
                <w:szCs w:val="20"/>
              </w:rPr>
              <w:t>29 940 772</w:t>
            </w:r>
          </w:p>
        </w:tc>
        <w:tc>
          <w:tcPr>
            <w:tcW w:w="687" w:type="pct"/>
          </w:tcPr>
          <w:p w14:paraId="3EAAD242" w14:textId="77777777" w:rsidR="00DA2E7D" w:rsidRPr="0007778D"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7778D">
              <w:rPr>
                <w:rFonts w:cstheme="minorHAnsi"/>
                <w:color w:val="000000" w:themeColor="text1"/>
                <w:sz w:val="20"/>
                <w:szCs w:val="20"/>
              </w:rPr>
              <w:t>95 412 345</w:t>
            </w:r>
          </w:p>
        </w:tc>
        <w:tc>
          <w:tcPr>
            <w:tcW w:w="966" w:type="pct"/>
          </w:tcPr>
          <w:p w14:paraId="3A50FB4E" w14:textId="77777777" w:rsidR="00DA2E7D" w:rsidRPr="0007778D"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7778D">
              <w:rPr>
                <w:rFonts w:cstheme="minorHAnsi"/>
                <w:color w:val="000000" w:themeColor="text1"/>
                <w:sz w:val="20"/>
                <w:szCs w:val="20"/>
              </w:rPr>
              <w:t>47 268 881</w:t>
            </w:r>
          </w:p>
        </w:tc>
        <w:tc>
          <w:tcPr>
            <w:tcW w:w="482" w:type="pct"/>
          </w:tcPr>
          <w:p w14:paraId="4FC5A432" w14:textId="77777777" w:rsidR="00DA2E7D" w:rsidRPr="0007778D"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7778D">
              <w:rPr>
                <w:rFonts w:cstheme="minorHAnsi"/>
                <w:color w:val="000000" w:themeColor="text1"/>
                <w:sz w:val="20"/>
                <w:szCs w:val="20"/>
              </w:rPr>
              <w:t>157,9%</w:t>
            </w:r>
          </w:p>
        </w:tc>
        <w:tc>
          <w:tcPr>
            <w:tcW w:w="444" w:type="pct"/>
          </w:tcPr>
          <w:p w14:paraId="6C38E93A" w14:textId="77777777" w:rsidR="00DA2E7D" w:rsidRPr="0007778D"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7778D">
              <w:rPr>
                <w:rFonts w:cstheme="minorHAnsi"/>
                <w:color w:val="000000" w:themeColor="text1"/>
                <w:sz w:val="20"/>
                <w:szCs w:val="20"/>
              </w:rPr>
              <w:t>49,5%</w:t>
            </w:r>
          </w:p>
        </w:tc>
        <w:tc>
          <w:tcPr>
            <w:tcW w:w="829" w:type="pct"/>
          </w:tcPr>
          <w:p w14:paraId="5E5858D2" w14:textId="77777777" w:rsidR="00DA2E7D" w:rsidRPr="0007778D"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bCs/>
                <w:color w:val="000000" w:themeColor="text1"/>
                <w:sz w:val="20"/>
                <w:szCs w:val="20"/>
              </w:rPr>
              <w:t xml:space="preserve"> </w:t>
            </w:r>
            <w:r w:rsidRPr="0007778D">
              <w:rPr>
                <w:rFonts w:cstheme="minorHAnsi"/>
                <w:bCs/>
                <w:color w:val="000000" w:themeColor="text1"/>
                <w:sz w:val="20"/>
                <w:szCs w:val="20"/>
              </w:rPr>
              <w:t>44 873 148</w:t>
            </w:r>
            <w:r>
              <w:rPr>
                <w:rFonts w:cstheme="minorHAnsi"/>
                <w:bCs/>
                <w:color w:val="000000" w:themeColor="text1"/>
                <w:sz w:val="20"/>
                <w:szCs w:val="20"/>
              </w:rPr>
              <w:t xml:space="preserve"> </w:t>
            </w:r>
          </w:p>
        </w:tc>
        <w:tc>
          <w:tcPr>
            <w:tcW w:w="482" w:type="pct"/>
          </w:tcPr>
          <w:p w14:paraId="7E5448C7" w14:textId="77777777" w:rsidR="00DA2E7D" w:rsidRPr="0007778D"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7778D">
              <w:rPr>
                <w:rFonts w:cstheme="minorHAnsi"/>
                <w:color w:val="000000" w:themeColor="text1"/>
                <w:sz w:val="20"/>
                <w:szCs w:val="20"/>
              </w:rPr>
              <w:t>149,9%</w:t>
            </w:r>
          </w:p>
        </w:tc>
        <w:tc>
          <w:tcPr>
            <w:tcW w:w="441" w:type="pct"/>
          </w:tcPr>
          <w:p w14:paraId="0278E7FE" w14:textId="77777777" w:rsidR="00DA2E7D" w:rsidRPr="0007778D" w:rsidRDefault="00DA2E7D" w:rsidP="00111C87">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7778D">
              <w:rPr>
                <w:rFonts w:cstheme="minorHAnsi"/>
                <w:color w:val="000000" w:themeColor="text1"/>
                <w:sz w:val="20"/>
                <w:szCs w:val="20"/>
              </w:rPr>
              <w:t>47,0%</w:t>
            </w:r>
          </w:p>
        </w:tc>
      </w:tr>
    </w:tbl>
    <w:p w14:paraId="1191D29A" w14:textId="77777777" w:rsidR="00846F83" w:rsidRDefault="00DA2E7D" w:rsidP="00DF64C7">
      <w:pPr>
        <w:pStyle w:val="podpisrdailustracji"/>
        <w:spacing w:line="271" w:lineRule="auto"/>
        <w:jc w:val="left"/>
      </w:pPr>
      <w:r>
        <w:t xml:space="preserve">Źródło: opracowanie własne na podstawie danych </w:t>
      </w:r>
      <w:r w:rsidR="003D579F">
        <w:t>SL</w:t>
      </w:r>
      <w:r>
        <w:t>2014</w:t>
      </w:r>
      <w:r w:rsidR="00AB5D0E">
        <w:t xml:space="preserve"> </w:t>
      </w:r>
      <w:r w:rsidR="00AB5D0E" w:rsidRPr="00AB5D0E">
        <w:t xml:space="preserve">(data dostępu: </w:t>
      </w:r>
      <w:r w:rsidR="003D579F">
        <w:t>1</w:t>
      </w:r>
      <w:r w:rsidR="00AB5D0E" w:rsidRPr="00AB5D0E">
        <w:t>.</w:t>
      </w:r>
      <w:r w:rsidR="003D579F">
        <w:t>10</w:t>
      </w:r>
      <w:r w:rsidR="00AB5D0E" w:rsidRPr="00AB5D0E">
        <w:t>.2019 r.).</w:t>
      </w:r>
    </w:p>
    <w:p w14:paraId="22490D14" w14:textId="77777777" w:rsidR="000F3F66" w:rsidRPr="00BB204E" w:rsidRDefault="000F3F66" w:rsidP="00DF64C7">
      <w:pPr>
        <w:jc w:val="left"/>
      </w:pPr>
      <w:r>
        <w:t>Poniższe tabele przedstawiają wskaźniki produktu, rezultatu oraz rezultatu długoterminowego określone dla działań realizowanych w ramach OP XI. Wskaźniki te pozwalają określić poziom realizacji poszczególnych wskaźników wg stanu na 30.09.2019 r. Już w tym (wskazanym) momencie osiągnięta została (a w niektórych przypadkach wielokrotnie przekroczona) wartość docelowa planowana do osiągnięcia na 2023 r.). Co prawda odnotowano dwa wskaźniki, których wartość na 2019 r. wynosiła 0, lecz sytuacja dotyczy tylko tych przypadków, w których nie podpisano jeszcze umów o dofinansowanie (nabór przeprowadzono w kwietniu 2019 r.). W przypadku wskaźnika rezultatu długoterminowego, ze względu na jego charakter, ocena stopnia realizacji możliwa będzie dopiero w kolejnych latach.</w:t>
      </w:r>
    </w:p>
    <w:p w14:paraId="67877568" w14:textId="5210CFD3" w:rsidR="000F3F66" w:rsidRPr="008B40B8" w:rsidRDefault="003350B7" w:rsidP="00DF64C7">
      <w:pPr>
        <w:pStyle w:val="Legenda"/>
        <w:jc w:val="left"/>
      </w:pPr>
      <w:r>
        <w:t xml:space="preserve">Tabela </w:t>
      </w:r>
      <w:r w:rsidR="00FA7B35">
        <w:rPr>
          <w:noProof/>
        </w:rPr>
        <w:fldChar w:fldCharType="begin"/>
      </w:r>
      <w:r w:rsidR="00FA7B35">
        <w:rPr>
          <w:noProof/>
        </w:rPr>
        <w:instrText xml:space="preserve"> SEQ Tabela \* ARABIC </w:instrText>
      </w:r>
      <w:r w:rsidR="00FA7B35">
        <w:rPr>
          <w:noProof/>
        </w:rPr>
        <w:fldChar w:fldCharType="separate"/>
      </w:r>
      <w:r w:rsidR="00A8147E">
        <w:rPr>
          <w:noProof/>
        </w:rPr>
        <w:t>11</w:t>
      </w:r>
      <w:r w:rsidR="00FA7B35">
        <w:rPr>
          <w:noProof/>
        </w:rPr>
        <w:fldChar w:fldCharType="end"/>
      </w:r>
      <w:r>
        <w:t xml:space="preserve">. </w:t>
      </w:r>
      <w:r w:rsidR="000F3F66">
        <w:t>Wskaźnik rezultatu długoterminowego</w:t>
      </w:r>
      <w:r w:rsidR="000F3F66" w:rsidRPr="008B40B8">
        <w:t xml:space="preserve"> </w:t>
      </w:r>
      <w:r w:rsidR="000F3F66" w:rsidRPr="004919C7">
        <w:t xml:space="preserve">w ramach OP </w:t>
      </w:r>
      <w:r w:rsidR="000F3F66">
        <w:t>XI</w:t>
      </w:r>
      <w:r w:rsidR="000F3F66" w:rsidRPr="004919C7">
        <w:t xml:space="preserve"> RPO WS</w:t>
      </w:r>
      <w:r w:rsidR="000F3F66">
        <w:t>L</w:t>
      </w:r>
      <w:r w:rsidR="000F3F66" w:rsidRPr="004919C7">
        <w:t xml:space="preserve"> 2014-2020</w:t>
      </w:r>
      <w:r w:rsidR="000F3F66">
        <w:t xml:space="preserve"> [w sztukach]</w:t>
      </w:r>
    </w:p>
    <w:tbl>
      <w:tblPr>
        <w:tblStyle w:val="redniasiatka3akcent6"/>
        <w:tblW w:w="5000" w:type="pct"/>
        <w:tblLook w:val="04A0" w:firstRow="1" w:lastRow="0" w:firstColumn="1" w:lastColumn="0" w:noHBand="0" w:noVBand="1"/>
        <w:tblCaption w:val="Wskaźnik rezultatu długoterminowego w ramach OP XI RPO WSL 2014-2020"/>
        <w:tblDescription w:val="Tabela przedstawia liczbę miejsc wychowania przedszkolnego, które funkcjonują 2 lata po uzyskaniu dofinansowania ze środków EFS."/>
      </w:tblPr>
      <w:tblGrid>
        <w:gridCol w:w="4527"/>
        <w:gridCol w:w="1104"/>
        <w:gridCol w:w="690"/>
        <w:gridCol w:w="691"/>
        <w:gridCol w:w="690"/>
        <w:gridCol w:w="691"/>
        <w:gridCol w:w="657"/>
      </w:tblGrid>
      <w:tr w:rsidR="000F3F66" w:rsidRPr="00233BF6" w14:paraId="72A2C9C6" w14:textId="77777777" w:rsidTr="0076099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00" w:type="pct"/>
          </w:tcPr>
          <w:p w14:paraId="52AFF903" w14:textId="77777777" w:rsidR="000F3F66" w:rsidRPr="00233BF6" w:rsidRDefault="000F3F66" w:rsidP="00DF64C7">
            <w:pPr>
              <w:keepNext/>
              <w:jc w:val="left"/>
              <w:rPr>
                <w:rFonts w:cs="Arial"/>
                <w:sz w:val="19"/>
                <w:szCs w:val="19"/>
              </w:rPr>
            </w:pPr>
            <w:r w:rsidRPr="00233BF6">
              <w:rPr>
                <w:rFonts w:cs="Arial"/>
                <w:sz w:val="19"/>
                <w:szCs w:val="19"/>
              </w:rPr>
              <w:t>Wskaźnik rezultatu</w:t>
            </w:r>
          </w:p>
        </w:tc>
        <w:tc>
          <w:tcPr>
            <w:tcW w:w="610" w:type="pct"/>
          </w:tcPr>
          <w:p w14:paraId="43F0C6F3"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Wartość docelowa</w:t>
            </w:r>
          </w:p>
          <w:p w14:paraId="070D3079"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(2023 r.)</w:t>
            </w:r>
          </w:p>
        </w:tc>
        <w:tc>
          <w:tcPr>
            <w:tcW w:w="381" w:type="pct"/>
          </w:tcPr>
          <w:p w14:paraId="20093D6B"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2014</w:t>
            </w:r>
          </w:p>
        </w:tc>
        <w:tc>
          <w:tcPr>
            <w:tcW w:w="382" w:type="pct"/>
          </w:tcPr>
          <w:p w14:paraId="1D85F2D6"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2015</w:t>
            </w:r>
          </w:p>
        </w:tc>
        <w:tc>
          <w:tcPr>
            <w:tcW w:w="381" w:type="pct"/>
          </w:tcPr>
          <w:p w14:paraId="36C1C1BA"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2016</w:t>
            </w:r>
          </w:p>
        </w:tc>
        <w:tc>
          <w:tcPr>
            <w:tcW w:w="382" w:type="pct"/>
          </w:tcPr>
          <w:p w14:paraId="4231C913"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2017</w:t>
            </w:r>
          </w:p>
        </w:tc>
        <w:tc>
          <w:tcPr>
            <w:tcW w:w="363" w:type="pct"/>
          </w:tcPr>
          <w:p w14:paraId="0AFBA2D7"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2018</w:t>
            </w:r>
          </w:p>
        </w:tc>
      </w:tr>
      <w:tr w:rsidR="000F3F66" w:rsidRPr="00233BF6" w14:paraId="4D3606A3" w14:textId="77777777" w:rsidTr="007609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00" w:type="pct"/>
          </w:tcPr>
          <w:p w14:paraId="6A23AF8E" w14:textId="77777777" w:rsidR="000F3F66" w:rsidRPr="00233BF6" w:rsidRDefault="000F3F66" w:rsidP="00DF64C7">
            <w:pPr>
              <w:pStyle w:val="Default"/>
              <w:spacing w:after="0" w:line="271" w:lineRule="auto"/>
              <w:rPr>
                <w:b w:val="0"/>
                <w:sz w:val="19"/>
                <w:szCs w:val="19"/>
              </w:rPr>
            </w:pPr>
            <w:r w:rsidRPr="00233BF6">
              <w:rPr>
                <w:b w:val="0"/>
                <w:color w:val="FFFFFF" w:themeColor="background1"/>
                <w:sz w:val="19"/>
                <w:szCs w:val="19"/>
              </w:rPr>
              <w:t>Liczba miejsc wychowania przedszkolnego, które funkcjonują 2 lata po uzyskaniu dofinansowania ze środków EFS</w:t>
            </w:r>
            <w:r w:rsidRPr="00233BF6">
              <w:rPr>
                <w:rStyle w:val="Odwoanieprzypisudolnego"/>
                <w:b w:val="0"/>
                <w:color w:val="FFFFFF" w:themeColor="background1"/>
                <w:sz w:val="19"/>
                <w:szCs w:val="19"/>
              </w:rPr>
              <w:footnoteReference w:id="16"/>
            </w:r>
          </w:p>
        </w:tc>
        <w:tc>
          <w:tcPr>
            <w:tcW w:w="610" w:type="pct"/>
          </w:tcPr>
          <w:p w14:paraId="7612D9E3"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2563</w:t>
            </w:r>
          </w:p>
        </w:tc>
        <w:tc>
          <w:tcPr>
            <w:tcW w:w="381" w:type="pct"/>
          </w:tcPr>
          <w:p w14:paraId="4C3DCA9B" w14:textId="77777777" w:rsidR="000F3F66" w:rsidRPr="00233BF6"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b.d.</w:t>
            </w:r>
          </w:p>
        </w:tc>
        <w:tc>
          <w:tcPr>
            <w:tcW w:w="382" w:type="pct"/>
          </w:tcPr>
          <w:p w14:paraId="799280EF" w14:textId="77777777" w:rsidR="000F3F66" w:rsidRPr="00233BF6"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b.d.</w:t>
            </w:r>
          </w:p>
        </w:tc>
        <w:tc>
          <w:tcPr>
            <w:tcW w:w="381" w:type="pct"/>
          </w:tcPr>
          <w:p w14:paraId="04694EDC" w14:textId="77777777" w:rsidR="000F3F66" w:rsidRPr="00233BF6"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b.d.</w:t>
            </w:r>
          </w:p>
        </w:tc>
        <w:tc>
          <w:tcPr>
            <w:tcW w:w="382" w:type="pct"/>
          </w:tcPr>
          <w:p w14:paraId="5702EF1D" w14:textId="77777777" w:rsidR="000F3F66" w:rsidRPr="00233BF6"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b.d.</w:t>
            </w:r>
          </w:p>
        </w:tc>
        <w:tc>
          <w:tcPr>
            <w:tcW w:w="363" w:type="pct"/>
          </w:tcPr>
          <w:p w14:paraId="269C1749"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15</w:t>
            </w:r>
          </w:p>
        </w:tc>
      </w:tr>
    </w:tbl>
    <w:p w14:paraId="2CA9811E" w14:textId="77777777" w:rsidR="000F3F66" w:rsidRPr="006374B9" w:rsidRDefault="000F3F66" w:rsidP="00DF64C7">
      <w:pPr>
        <w:pStyle w:val="podpisrdailustracji"/>
        <w:spacing w:line="271" w:lineRule="auto"/>
        <w:jc w:val="left"/>
        <w:rPr>
          <w:i/>
        </w:rPr>
      </w:pPr>
      <w:r>
        <w:t xml:space="preserve">Źródło: opracowanie własne na podstawie </w:t>
      </w:r>
      <w:r w:rsidRPr="006374B9">
        <w:rPr>
          <w:i/>
        </w:rPr>
        <w:t xml:space="preserve">Ewaluacja uzyskanych wartości wskaźników rezultatu długoterminowego EFS i wskaźnika rezultatu EFRR oraz oszacowanie wartości wskaźnika produktu w ramach RPO WSL na lata 2014-2020 </w:t>
      </w:r>
    </w:p>
    <w:p w14:paraId="7DCB36EF" w14:textId="69388C57" w:rsidR="000F3F66" w:rsidRPr="004919C7" w:rsidRDefault="000F3F66" w:rsidP="00DF64C7">
      <w:pPr>
        <w:pStyle w:val="Legenda"/>
        <w:spacing w:line="271" w:lineRule="auto"/>
        <w:jc w:val="left"/>
      </w:pPr>
      <w:r w:rsidRPr="004919C7">
        <w:t xml:space="preserve">Tabela </w:t>
      </w:r>
      <w:r>
        <w:rPr>
          <w:noProof/>
        </w:rPr>
        <w:fldChar w:fldCharType="begin"/>
      </w:r>
      <w:r>
        <w:rPr>
          <w:noProof/>
        </w:rPr>
        <w:instrText xml:space="preserve"> SEQ Tabela \* ARABIC </w:instrText>
      </w:r>
      <w:r>
        <w:rPr>
          <w:noProof/>
        </w:rPr>
        <w:fldChar w:fldCharType="separate"/>
      </w:r>
      <w:r w:rsidR="00A8147E">
        <w:rPr>
          <w:noProof/>
        </w:rPr>
        <w:t>12</w:t>
      </w:r>
      <w:r>
        <w:rPr>
          <w:noProof/>
        </w:rPr>
        <w:fldChar w:fldCharType="end"/>
      </w:r>
      <w:r>
        <w:rPr>
          <w:noProof/>
        </w:rPr>
        <w:t>.</w:t>
      </w:r>
      <w:r w:rsidRPr="004919C7">
        <w:t xml:space="preserve"> Wartość wskaźników </w:t>
      </w:r>
      <w:r>
        <w:t xml:space="preserve">produktu </w:t>
      </w:r>
      <w:r w:rsidRPr="004919C7">
        <w:t xml:space="preserve">w ramach OP </w:t>
      </w:r>
      <w:r>
        <w:t>XI</w:t>
      </w:r>
      <w:r w:rsidRPr="004919C7">
        <w:t xml:space="preserve"> RPO WS</w:t>
      </w:r>
      <w:r>
        <w:t>L</w:t>
      </w:r>
      <w:r w:rsidRPr="004919C7">
        <w:t xml:space="preserve"> 2014-2020</w:t>
      </w:r>
    </w:p>
    <w:tbl>
      <w:tblPr>
        <w:tblStyle w:val="redniasiatka3akcent6"/>
        <w:tblW w:w="5000" w:type="pct"/>
        <w:tblLook w:val="04A0" w:firstRow="1" w:lastRow="0" w:firstColumn="1" w:lastColumn="0" w:noHBand="0" w:noVBand="1"/>
        <w:tblCaption w:val="Wartość wskaźników produktu w ramach OP XI RPO WSL 2014-2020"/>
        <w:tblDescription w:val="Tabela przedstawia wartość docelową wskaźników produktu w ramach OP XI RPO WSL 2014-2020 na rok 2023 oraz wartość tych wskaźników na rok 2019 (w tym procentowy poziom realizacji założonych wartości)."/>
      </w:tblPr>
      <w:tblGrid>
        <w:gridCol w:w="1057"/>
        <w:gridCol w:w="4297"/>
        <w:gridCol w:w="1243"/>
        <w:gridCol w:w="1106"/>
        <w:gridCol w:w="811"/>
        <w:gridCol w:w="536"/>
      </w:tblGrid>
      <w:tr w:rsidR="000F3F66" w:rsidRPr="00233BF6" w14:paraId="56422844" w14:textId="77777777" w:rsidTr="0076099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84" w:type="pct"/>
          </w:tcPr>
          <w:p w14:paraId="78076342" w14:textId="77777777" w:rsidR="000F3F66" w:rsidRPr="00233BF6" w:rsidRDefault="000F3F66" w:rsidP="00DF64C7">
            <w:pPr>
              <w:keepNext/>
              <w:jc w:val="left"/>
              <w:rPr>
                <w:rFonts w:cs="Arial"/>
                <w:sz w:val="19"/>
                <w:szCs w:val="19"/>
              </w:rPr>
            </w:pPr>
            <w:r w:rsidRPr="00233BF6">
              <w:rPr>
                <w:rFonts w:cs="Arial"/>
                <w:sz w:val="19"/>
                <w:szCs w:val="19"/>
              </w:rPr>
              <w:t>Działanie</w:t>
            </w:r>
          </w:p>
        </w:tc>
        <w:tc>
          <w:tcPr>
            <w:tcW w:w="2374" w:type="pct"/>
          </w:tcPr>
          <w:p w14:paraId="4E77E5AB"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19"/>
                <w:szCs w:val="19"/>
              </w:rPr>
            </w:pPr>
            <w:r w:rsidRPr="00233BF6">
              <w:rPr>
                <w:rFonts w:cs="Arial"/>
                <w:sz w:val="19"/>
                <w:szCs w:val="19"/>
              </w:rPr>
              <w:t>Wskaźnik produktu</w:t>
            </w:r>
          </w:p>
        </w:tc>
        <w:tc>
          <w:tcPr>
            <w:tcW w:w="687" w:type="pct"/>
          </w:tcPr>
          <w:p w14:paraId="68B2B35A"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Jednostka miary</w:t>
            </w:r>
          </w:p>
        </w:tc>
        <w:tc>
          <w:tcPr>
            <w:tcW w:w="611" w:type="pct"/>
          </w:tcPr>
          <w:p w14:paraId="2A97628E"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Wartość docelowa</w:t>
            </w:r>
          </w:p>
          <w:p w14:paraId="0CACB9C8"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(2023 r.)</w:t>
            </w:r>
          </w:p>
        </w:tc>
        <w:tc>
          <w:tcPr>
            <w:tcW w:w="448" w:type="pct"/>
          </w:tcPr>
          <w:p w14:paraId="595FD91D"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2019</w:t>
            </w:r>
          </w:p>
        </w:tc>
        <w:tc>
          <w:tcPr>
            <w:tcW w:w="296" w:type="pct"/>
          </w:tcPr>
          <w:p w14:paraId="4D1914DC" w14:textId="77777777" w:rsidR="000F3F66" w:rsidRPr="00233BF6"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w:t>
            </w:r>
          </w:p>
        </w:tc>
      </w:tr>
      <w:tr w:rsidR="000F3F66" w:rsidRPr="00233BF6" w14:paraId="1F63B421" w14:textId="77777777" w:rsidTr="00760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4" w:type="pct"/>
            <w:vMerge w:val="restart"/>
          </w:tcPr>
          <w:p w14:paraId="430FAB91" w14:textId="77777777" w:rsidR="000F3F66" w:rsidRPr="00233BF6" w:rsidRDefault="000F3F66" w:rsidP="00DF64C7">
            <w:pPr>
              <w:pStyle w:val="Default"/>
              <w:spacing w:after="0" w:line="271" w:lineRule="auto"/>
              <w:rPr>
                <w:b w:val="0"/>
                <w:bCs w:val="0"/>
                <w:color w:val="FFFFFF" w:themeColor="background1"/>
                <w:sz w:val="19"/>
                <w:szCs w:val="19"/>
              </w:rPr>
            </w:pPr>
            <w:r w:rsidRPr="00233BF6">
              <w:rPr>
                <w:color w:val="FFFFFF" w:themeColor="background1"/>
                <w:sz w:val="19"/>
                <w:szCs w:val="19"/>
              </w:rPr>
              <w:t>11.1</w:t>
            </w:r>
          </w:p>
          <w:p w14:paraId="4B35C4F9"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68D2627D" w14:textId="77777777" w:rsidR="000F3F66" w:rsidRPr="00233BF6" w:rsidRDefault="000F3F66"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b/>
                <w:sz w:val="19"/>
                <w:szCs w:val="19"/>
              </w:rPr>
            </w:pPr>
            <w:r w:rsidRPr="00233BF6">
              <w:rPr>
                <w:sz w:val="19"/>
                <w:szCs w:val="19"/>
              </w:rPr>
              <w:t>Liczba miejsc wychowania przedszkolnego dofinansowanych w programie</w:t>
            </w:r>
          </w:p>
        </w:tc>
        <w:tc>
          <w:tcPr>
            <w:tcW w:w="687" w:type="pct"/>
          </w:tcPr>
          <w:p w14:paraId="6A195409" w14:textId="77777777" w:rsidR="000F3F66" w:rsidRPr="00233BF6"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Szt.</w:t>
            </w:r>
          </w:p>
        </w:tc>
        <w:tc>
          <w:tcPr>
            <w:tcW w:w="611" w:type="pct"/>
          </w:tcPr>
          <w:p w14:paraId="68B9DC6C"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3 081</w:t>
            </w:r>
          </w:p>
        </w:tc>
        <w:tc>
          <w:tcPr>
            <w:tcW w:w="448" w:type="pct"/>
          </w:tcPr>
          <w:p w14:paraId="3D49FE71"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4 309</w:t>
            </w:r>
          </w:p>
        </w:tc>
        <w:tc>
          <w:tcPr>
            <w:tcW w:w="296" w:type="pct"/>
          </w:tcPr>
          <w:p w14:paraId="5AB2FB68"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140</w:t>
            </w:r>
          </w:p>
        </w:tc>
      </w:tr>
      <w:tr w:rsidR="000F3F66" w:rsidRPr="00233BF6" w14:paraId="18221E62" w14:textId="77777777" w:rsidTr="0076099D">
        <w:trPr>
          <w:trHeight w:val="20"/>
        </w:trPr>
        <w:tc>
          <w:tcPr>
            <w:cnfStyle w:val="001000000000" w:firstRow="0" w:lastRow="0" w:firstColumn="1" w:lastColumn="0" w:oddVBand="0" w:evenVBand="0" w:oddHBand="0" w:evenHBand="0" w:firstRowFirstColumn="0" w:firstRowLastColumn="0" w:lastRowFirstColumn="0" w:lastRowLastColumn="0"/>
            <w:tcW w:w="584" w:type="pct"/>
            <w:vMerge/>
          </w:tcPr>
          <w:p w14:paraId="4F020651"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1BB93156" w14:textId="77777777" w:rsidR="000F3F66" w:rsidRPr="00233BF6" w:rsidRDefault="000F3F66"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19"/>
                <w:szCs w:val="19"/>
              </w:rPr>
            </w:pPr>
            <w:r w:rsidRPr="00233BF6">
              <w:rPr>
                <w:sz w:val="19"/>
                <w:szCs w:val="19"/>
              </w:rPr>
              <w:t>Liczba dzieci objętych w ramach programu dodatkowymi zajęciami zwiększającymi ich szanse edukacyjne w edukacji przedszkolnej</w:t>
            </w:r>
          </w:p>
        </w:tc>
        <w:tc>
          <w:tcPr>
            <w:tcW w:w="687" w:type="pct"/>
          </w:tcPr>
          <w:p w14:paraId="2AA676E7" w14:textId="77777777" w:rsidR="000F3F66" w:rsidRPr="00233BF6" w:rsidRDefault="000F3F66" w:rsidP="00DF64C7">
            <w:pPr>
              <w:keepNext/>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Os.</w:t>
            </w:r>
          </w:p>
        </w:tc>
        <w:tc>
          <w:tcPr>
            <w:tcW w:w="611" w:type="pct"/>
          </w:tcPr>
          <w:p w14:paraId="4F2C3A68"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13 984</w:t>
            </w:r>
          </w:p>
        </w:tc>
        <w:tc>
          <w:tcPr>
            <w:tcW w:w="448" w:type="pct"/>
          </w:tcPr>
          <w:p w14:paraId="6EC9945A"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11 181</w:t>
            </w:r>
          </w:p>
        </w:tc>
        <w:tc>
          <w:tcPr>
            <w:tcW w:w="296" w:type="pct"/>
          </w:tcPr>
          <w:p w14:paraId="464D221A"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80</w:t>
            </w:r>
          </w:p>
        </w:tc>
      </w:tr>
      <w:tr w:rsidR="000F3F66" w:rsidRPr="00233BF6" w14:paraId="26D76D68" w14:textId="77777777" w:rsidTr="00760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4" w:type="pct"/>
            <w:vMerge/>
          </w:tcPr>
          <w:p w14:paraId="6FF44E65"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0A706CC2" w14:textId="77777777" w:rsidR="000F3F66" w:rsidRPr="00233BF6" w:rsidRDefault="000F3F66"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sz w:val="19"/>
                <w:szCs w:val="19"/>
              </w:rPr>
            </w:pPr>
            <w:r w:rsidRPr="00233BF6">
              <w:rPr>
                <w:sz w:val="19"/>
                <w:szCs w:val="19"/>
              </w:rPr>
              <w:t>Liczba uczniów objętych wsparciem w zakresie rozwijania kompetencji kluczowych lub umiejętności uniwersalnych niezbędnych na rynku pracy w programie</w:t>
            </w:r>
          </w:p>
        </w:tc>
        <w:tc>
          <w:tcPr>
            <w:tcW w:w="687" w:type="pct"/>
          </w:tcPr>
          <w:p w14:paraId="16090FE4" w14:textId="77777777" w:rsidR="000F3F66" w:rsidRPr="00233BF6"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Os.</w:t>
            </w:r>
          </w:p>
        </w:tc>
        <w:tc>
          <w:tcPr>
            <w:tcW w:w="611" w:type="pct"/>
          </w:tcPr>
          <w:p w14:paraId="74B36741" w14:textId="77777777" w:rsidR="000F3F66" w:rsidRPr="00233BF6" w:rsidRDefault="000F3F66" w:rsidP="00111C87">
            <w:pPr>
              <w:jc w:val="right"/>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233BF6">
              <w:rPr>
                <w:rFonts w:cs="Arial"/>
                <w:color w:val="000000"/>
                <w:sz w:val="19"/>
                <w:szCs w:val="19"/>
              </w:rPr>
              <w:t>46 366</w:t>
            </w:r>
          </w:p>
        </w:tc>
        <w:tc>
          <w:tcPr>
            <w:tcW w:w="448" w:type="pct"/>
          </w:tcPr>
          <w:p w14:paraId="218D291E"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85 446</w:t>
            </w:r>
          </w:p>
        </w:tc>
        <w:tc>
          <w:tcPr>
            <w:tcW w:w="296" w:type="pct"/>
          </w:tcPr>
          <w:p w14:paraId="3F6F2B28"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184</w:t>
            </w:r>
          </w:p>
        </w:tc>
      </w:tr>
      <w:tr w:rsidR="000F3F66" w:rsidRPr="00233BF6" w14:paraId="6ECE726C" w14:textId="77777777" w:rsidTr="0076099D">
        <w:trPr>
          <w:trHeight w:val="20"/>
        </w:trPr>
        <w:tc>
          <w:tcPr>
            <w:cnfStyle w:val="001000000000" w:firstRow="0" w:lastRow="0" w:firstColumn="1" w:lastColumn="0" w:oddVBand="0" w:evenVBand="0" w:oddHBand="0" w:evenHBand="0" w:firstRowFirstColumn="0" w:firstRowLastColumn="0" w:lastRowFirstColumn="0" w:lastRowLastColumn="0"/>
            <w:tcW w:w="584" w:type="pct"/>
            <w:vMerge/>
          </w:tcPr>
          <w:p w14:paraId="318CFA63"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086E6602" w14:textId="77777777" w:rsidR="000F3F66" w:rsidRPr="00233BF6" w:rsidRDefault="000F3F66" w:rsidP="00DF64C7">
            <w:pPr>
              <w:jc w:val="left"/>
              <w:cnfStyle w:val="000000000000" w:firstRow="0" w:lastRow="0" w:firstColumn="0" w:lastColumn="0" w:oddVBand="0" w:evenVBand="0" w:oddHBand="0" w:evenHBand="0" w:firstRowFirstColumn="0" w:firstRowLastColumn="0" w:lastRowFirstColumn="0" w:lastRowLastColumn="0"/>
              <w:rPr>
                <w:rFonts w:cs="Arial"/>
                <w:bCs/>
                <w:color w:val="000000"/>
                <w:sz w:val="19"/>
                <w:szCs w:val="19"/>
              </w:rPr>
            </w:pPr>
            <w:r w:rsidRPr="00233BF6">
              <w:rPr>
                <w:rFonts w:cs="Arial"/>
                <w:bCs/>
                <w:color w:val="000000"/>
                <w:sz w:val="19"/>
                <w:szCs w:val="19"/>
              </w:rPr>
              <w:t>Liczba szkół, których pracownie przedmiotowe zostały doposażone w programie</w:t>
            </w:r>
          </w:p>
        </w:tc>
        <w:tc>
          <w:tcPr>
            <w:tcW w:w="687" w:type="pct"/>
          </w:tcPr>
          <w:p w14:paraId="0E4C1D7E" w14:textId="77777777" w:rsidR="000F3F66" w:rsidRPr="00233BF6" w:rsidRDefault="000F3F66" w:rsidP="00DF64C7">
            <w:pPr>
              <w:keepNext/>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Szt.</w:t>
            </w:r>
          </w:p>
        </w:tc>
        <w:tc>
          <w:tcPr>
            <w:tcW w:w="611" w:type="pct"/>
          </w:tcPr>
          <w:p w14:paraId="1914182F"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148</w:t>
            </w:r>
          </w:p>
        </w:tc>
        <w:tc>
          <w:tcPr>
            <w:tcW w:w="448" w:type="pct"/>
          </w:tcPr>
          <w:p w14:paraId="32F07966"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465</w:t>
            </w:r>
          </w:p>
        </w:tc>
        <w:tc>
          <w:tcPr>
            <w:tcW w:w="296" w:type="pct"/>
          </w:tcPr>
          <w:p w14:paraId="4E6E0BFB"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314</w:t>
            </w:r>
          </w:p>
        </w:tc>
      </w:tr>
      <w:tr w:rsidR="000F3F66" w:rsidRPr="00233BF6" w14:paraId="16C3BE6E" w14:textId="77777777" w:rsidTr="00760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4" w:type="pct"/>
            <w:vMerge/>
          </w:tcPr>
          <w:p w14:paraId="01089C10"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4257CAFC" w14:textId="77777777" w:rsidR="000F3F66" w:rsidRPr="00233BF6" w:rsidRDefault="000F3F66"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sz w:val="19"/>
                <w:szCs w:val="19"/>
              </w:rPr>
            </w:pPr>
            <w:r w:rsidRPr="00233BF6">
              <w:rPr>
                <w:bCs/>
                <w:sz w:val="19"/>
                <w:szCs w:val="19"/>
              </w:rPr>
              <w:t>Liczba szkół i placówek systemu oświaty wyposażonych w ramach programu w sprzęt TIK do prowadzenia zajęć edukacyjnych</w:t>
            </w:r>
          </w:p>
        </w:tc>
        <w:tc>
          <w:tcPr>
            <w:tcW w:w="687" w:type="pct"/>
          </w:tcPr>
          <w:p w14:paraId="3D12EFBA" w14:textId="77777777" w:rsidR="000F3F66" w:rsidRPr="00233BF6"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Szt.</w:t>
            </w:r>
          </w:p>
        </w:tc>
        <w:tc>
          <w:tcPr>
            <w:tcW w:w="611" w:type="pct"/>
          </w:tcPr>
          <w:p w14:paraId="1A839122"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155</w:t>
            </w:r>
          </w:p>
        </w:tc>
        <w:tc>
          <w:tcPr>
            <w:tcW w:w="448" w:type="pct"/>
          </w:tcPr>
          <w:p w14:paraId="446381AB"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537</w:t>
            </w:r>
          </w:p>
        </w:tc>
        <w:tc>
          <w:tcPr>
            <w:tcW w:w="296" w:type="pct"/>
          </w:tcPr>
          <w:p w14:paraId="38725F6E"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346</w:t>
            </w:r>
          </w:p>
        </w:tc>
      </w:tr>
      <w:tr w:rsidR="000F3F66" w:rsidRPr="00233BF6" w14:paraId="7FB336C9" w14:textId="77777777" w:rsidTr="0076099D">
        <w:trPr>
          <w:trHeight w:val="20"/>
        </w:trPr>
        <w:tc>
          <w:tcPr>
            <w:cnfStyle w:val="001000000000" w:firstRow="0" w:lastRow="0" w:firstColumn="1" w:lastColumn="0" w:oddVBand="0" w:evenVBand="0" w:oddHBand="0" w:evenHBand="0" w:firstRowFirstColumn="0" w:firstRowLastColumn="0" w:lastRowFirstColumn="0" w:lastRowLastColumn="0"/>
            <w:tcW w:w="584" w:type="pct"/>
            <w:vMerge w:val="restart"/>
          </w:tcPr>
          <w:p w14:paraId="6E6D2FAA" w14:textId="77777777" w:rsidR="000F3F66" w:rsidRPr="00233BF6" w:rsidRDefault="000F3F66" w:rsidP="00DF64C7">
            <w:pPr>
              <w:pStyle w:val="Default"/>
              <w:spacing w:after="0" w:line="271" w:lineRule="auto"/>
              <w:rPr>
                <w:b w:val="0"/>
                <w:bCs w:val="0"/>
                <w:color w:val="FFFFFF" w:themeColor="background1"/>
                <w:sz w:val="19"/>
                <w:szCs w:val="19"/>
              </w:rPr>
            </w:pPr>
            <w:r w:rsidRPr="00233BF6">
              <w:rPr>
                <w:color w:val="FFFFFF" w:themeColor="background1"/>
                <w:sz w:val="19"/>
                <w:szCs w:val="19"/>
              </w:rPr>
              <w:t>11.2</w:t>
            </w:r>
          </w:p>
          <w:p w14:paraId="6DCA8551"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0D69584F" w14:textId="77777777" w:rsidR="000F3F66" w:rsidRPr="00233BF6" w:rsidRDefault="000F3F66" w:rsidP="00DF64C7">
            <w:pPr>
              <w:jc w:val="left"/>
              <w:cnfStyle w:val="000000000000" w:firstRow="0" w:lastRow="0" w:firstColumn="0" w:lastColumn="0" w:oddVBand="0" w:evenVBand="0" w:oddHBand="0" w:evenHBand="0" w:firstRowFirstColumn="0" w:firstRowLastColumn="0" w:lastRowFirstColumn="0" w:lastRowLastColumn="0"/>
              <w:rPr>
                <w:rFonts w:cs="Arial"/>
                <w:bCs/>
                <w:color w:val="000000" w:themeColor="text1"/>
                <w:sz w:val="19"/>
                <w:szCs w:val="19"/>
              </w:rPr>
            </w:pPr>
            <w:r w:rsidRPr="00233BF6">
              <w:rPr>
                <w:rFonts w:cs="Arial"/>
                <w:bCs/>
                <w:color w:val="000000" w:themeColor="text1"/>
                <w:sz w:val="19"/>
                <w:szCs w:val="19"/>
              </w:rPr>
              <w:t>Liczba uczniów szkół i placówek kształcenia zawodowego uczestniczących w stażach i praktykach u pracodawcy</w:t>
            </w:r>
          </w:p>
        </w:tc>
        <w:tc>
          <w:tcPr>
            <w:tcW w:w="687" w:type="pct"/>
          </w:tcPr>
          <w:p w14:paraId="1D6D871F" w14:textId="77777777" w:rsidR="000F3F66" w:rsidRPr="00233BF6" w:rsidRDefault="000F3F66" w:rsidP="00DF64C7">
            <w:pPr>
              <w:keepNext/>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Os.</w:t>
            </w:r>
          </w:p>
        </w:tc>
        <w:tc>
          <w:tcPr>
            <w:tcW w:w="611" w:type="pct"/>
          </w:tcPr>
          <w:p w14:paraId="0DE5817D"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6 066</w:t>
            </w:r>
          </w:p>
        </w:tc>
        <w:tc>
          <w:tcPr>
            <w:tcW w:w="448" w:type="pct"/>
          </w:tcPr>
          <w:p w14:paraId="38A547FE"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4 058</w:t>
            </w:r>
          </w:p>
        </w:tc>
        <w:tc>
          <w:tcPr>
            <w:tcW w:w="296" w:type="pct"/>
          </w:tcPr>
          <w:p w14:paraId="37C79BDD"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67</w:t>
            </w:r>
          </w:p>
        </w:tc>
      </w:tr>
      <w:tr w:rsidR="000F3F66" w:rsidRPr="00233BF6" w14:paraId="6B3EA1CB" w14:textId="77777777" w:rsidTr="00760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4" w:type="pct"/>
            <w:vMerge/>
          </w:tcPr>
          <w:p w14:paraId="1949C47E"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3E03D8D6" w14:textId="77777777" w:rsidR="000F3F66" w:rsidRPr="00233BF6" w:rsidRDefault="000F3F66"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233BF6">
              <w:rPr>
                <w:bCs/>
                <w:color w:val="000000" w:themeColor="text1"/>
                <w:sz w:val="19"/>
                <w:szCs w:val="19"/>
              </w:rPr>
              <w:t>Liczba nauczycieli kształcenia zawodowego oraz instruktorów praktycznej nauki zawodu objętych wsparciem w programie</w:t>
            </w:r>
          </w:p>
        </w:tc>
        <w:tc>
          <w:tcPr>
            <w:tcW w:w="687" w:type="pct"/>
          </w:tcPr>
          <w:p w14:paraId="34A25306" w14:textId="77777777" w:rsidR="000F3F66" w:rsidRPr="00233BF6"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Os.</w:t>
            </w:r>
          </w:p>
        </w:tc>
        <w:tc>
          <w:tcPr>
            <w:tcW w:w="611" w:type="pct"/>
          </w:tcPr>
          <w:p w14:paraId="5257D962"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269</w:t>
            </w:r>
          </w:p>
        </w:tc>
        <w:tc>
          <w:tcPr>
            <w:tcW w:w="448" w:type="pct"/>
          </w:tcPr>
          <w:p w14:paraId="0F3B5407"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599</w:t>
            </w:r>
          </w:p>
        </w:tc>
        <w:tc>
          <w:tcPr>
            <w:tcW w:w="296" w:type="pct"/>
          </w:tcPr>
          <w:p w14:paraId="721358B2"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223</w:t>
            </w:r>
          </w:p>
        </w:tc>
      </w:tr>
      <w:tr w:rsidR="000F3F66" w:rsidRPr="00233BF6" w14:paraId="25E05148" w14:textId="77777777" w:rsidTr="0076099D">
        <w:trPr>
          <w:trHeight w:val="20"/>
        </w:trPr>
        <w:tc>
          <w:tcPr>
            <w:cnfStyle w:val="001000000000" w:firstRow="0" w:lastRow="0" w:firstColumn="1" w:lastColumn="0" w:oddVBand="0" w:evenVBand="0" w:oddHBand="0" w:evenHBand="0" w:firstRowFirstColumn="0" w:firstRowLastColumn="0" w:lastRowFirstColumn="0" w:lastRowLastColumn="0"/>
            <w:tcW w:w="584" w:type="pct"/>
            <w:vMerge/>
          </w:tcPr>
          <w:p w14:paraId="5CD1CFC5"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781CAF79" w14:textId="77777777" w:rsidR="000F3F66" w:rsidRPr="00233BF6" w:rsidRDefault="000F3F66"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233BF6">
              <w:rPr>
                <w:bCs/>
                <w:color w:val="000000" w:themeColor="text1"/>
                <w:sz w:val="19"/>
                <w:szCs w:val="19"/>
              </w:rPr>
              <w:t>Liczba szkół i placówek kształcenia zawodowego doposażonych w programie w sprzęt i materiały dydaktyczne niezbędne do realizacji kształcenia zawodowego</w:t>
            </w:r>
          </w:p>
        </w:tc>
        <w:tc>
          <w:tcPr>
            <w:tcW w:w="687" w:type="pct"/>
          </w:tcPr>
          <w:p w14:paraId="7F84BF45" w14:textId="77777777" w:rsidR="000F3F66" w:rsidRPr="00233BF6" w:rsidRDefault="000F3F66" w:rsidP="00DF64C7">
            <w:pPr>
              <w:keepNext/>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Szt.</w:t>
            </w:r>
          </w:p>
        </w:tc>
        <w:tc>
          <w:tcPr>
            <w:tcW w:w="611" w:type="pct"/>
          </w:tcPr>
          <w:p w14:paraId="22AAC642"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67</w:t>
            </w:r>
          </w:p>
        </w:tc>
        <w:tc>
          <w:tcPr>
            <w:tcW w:w="448" w:type="pct"/>
          </w:tcPr>
          <w:p w14:paraId="0C84A620"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199</w:t>
            </w:r>
          </w:p>
        </w:tc>
        <w:tc>
          <w:tcPr>
            <w:tcW w:w="296" w:type="pct"/>
          </w:tcPr>
          <w:p w14:paraId="57E5CC6D"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297</w:t>
            </w:r>
          </w:p>
        </w:tc>
      </w:tr>
      <w:tr w:rsidR="000F3F66" w:rsidRPr="00233BF6" w14:paraId="33649D99" w14:textId="77777777" w:rsidTr="00760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4" w:type="pct"/>
            <w:vMerge/>
          </w:tcPr>
          <w:p w14:paraId="299B0F46"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3CA5BB49" w14:textId="77777777" w:rsidR="000F3F66" w:rsidRPr="00233BF6" w:rsidRDefault="000F3F66"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233BF6">
              <w:rPr>
                <w:bCs/>
                <w:color w:val="000000" w:themeColor="text1"/>
                <w:sz w:val="19"/>
                <w:szCs w:val="19"/>
              </w:rPr>
              <w:t>Liczba uczniów objętych wsparciem w zakresie rozwijania kompetencji kluczowych lub umiejętności uniwersalnych niezbędnych na rynku pracy w programie</w:t>
            </w:r>
          </w:p>
        </w:tc>
        <w:tc>
          <w:tcPr>
            <w:tcW w:w="687" w:type="pct"/>
          </w:tcPr>
          <w:p w14:paraId="3D0EA49B" w14:textId="77777777" w:rsidR="000F3F66" w:rsidRPr="00233BF6"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Os.</w:t>
            </w:r>
          </w:p>
        </w:tc>
        <w:tc>
          <w:tcPr>
            <w:tcW w:w="611" w:type="pct"/>
          </w:tcPr>
          <w:p w14:paraId="75CD93EA"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1 897</w:t>
            </w:r>
          </w:p>
        </w:tc>
        <w:tc>
          <w:tcPr>
            <w:tcW w:w="448" w:type="pct"/>
          </w:tcPr>
          <w:p w14:paraId="6AB06E64"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0</w:t>
            </w:r>
            <w:r w:rsidRPr="00233BF6">
              <w:rPr>
                <w:rStyle w:val="Odwoanieprzypisudolnego"/>
                <w:sz w:val="19"/>
                <w:szCs w:val="19"/>
              </w:rPr>
              <w:footnoteReference w:id="17"/>
            </w:r>
          </w:p>
        </w:tc>
        <w:tc>
          <w:tcPr>
            <w:tcW w:w="296" w:type="pct"/>
          </w:tcPr>
          <w:p w14:paraId="0D87F23C"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0</w:t>
            </w:r>
          </w:p>
        </w:tc>
      </w:tr>
      <w:tr w:rsidR="000F3F66" w:rsidRPr="00233BF6" w14:paraId="7A2FB911" w14:textId="77777777" w:rsidTr="0076099D">
        <w:trPr>
          <w:trHeight w:val="20"/>
        </w:trPr>
        <w:tc>
          <w:tcPr>
            <w:cnfStyle w:val="001000000000" w:firstRow="0" w:lastRow="0" w:firstColumn="1" w:lastColumn="0" w:oddVBand="0" w:evenVBand="0" w:oddHBand="0" w:evenHBand="0" w:firstRowFirstColumn="0" w:firstRowLastColumn="0" w:lastRowFirstColumn="0" w:lastRowLastColumn="0"/>
            <w:tcW w:w="584" w:type="pct"/>
            <w:vMerge w:val="restart"/>
          </w:tcPr>
          <w:p w14:paraId="35FEBA18" w14:textId="77777777" w:rsidR="000F3F66" w:rsidRPr="00233BF6" w:rsidRDefault="000F3F66" w:rsidP="00DF64C7">
            <w:pPr>
              <w:pStyle w:val="Default"/>
              <w:spacing w:after="0" w:line="271" w:lineRule="auto"/>
              <w:rPr>
                <w:b w:val="0"/>
                <w:bCs w:val="0"/>
                <w:color w:val="FFFFFF" w:themeColor="background1"/>
                <w:sz w:val="19"/>
                <w:szCs w:val="19"/>
              </w:rPr>
            </w:pPr>
            <w:r w:rsidRPr="00233BF6">
              <w:rPr>
                <w:color w:val="FFFFFF" w:themeColor="background1"/>
                <w:sz w:val="19"/>
                <w:szCs w:val="19"/>
              </w:rPr>
              <w:t>11.3</w:t>
            </w:r>
          </w:p>
          <w:p w14:paraId="0835F773"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1962AA41" w14:textId="77777777" w:rsidR="000F3F66" w:rsidRPr="00233BF6" w:rsidRDefault="000F3F66" w:rsidP="00DF64C7">
            <w:pPr>
              <w:jc w:val="left"/>
              <w:cnfStyle w:val="000000000000" w:firstRow="0" w:lastRow="0" w:firstColumn="0" w:lastColumn="0" w:oddVBand="0" w:evenVBand="0" w:oddHBand="0" w:evenHBand="0" w:firstRowFirstColumn="0" w:firstRowLastColumn="0" w:lastRowFirstColumn="0" w:lastRowLastColumn="0"/>
              <w:rPr>
                <w:rFonts w:cs="Arial"/>
                <w:bCs/>
                <w:color w:val="000000"/>
                <w:sz w:val="19"/>
                <w:szCs w:val="19"/>
              </w:rPr>
            </w:pPr>
            <w:r w:rsidRPr="00233BF6">
              <w:rPr>
                <w:rFonts w:cs="Arial"/>
                <w:bCs/>
                <w:color w:val="000000"/>
                <w:sz w:val="19"/>
                <w:szCs w:val="19"/>
              </w:rPr>
              <w:t>Liczba osób uczestniczących w pozaszkolnych formach kształcenia w programie</w:t>
            </w:r>
          </w:p>
        </w:tc>
        <w:tc>
          <w:tcPr>
            <w:tcW w:w="687" w:type="pct"/>
          </w:tcPr>
          <w:p w14:paraId="792A5148" w14:textId="77777777" w:rsidR="000F3F66" w:rsidRPr="00233BF6" w:rsidRDefault="000F3F66" w:rsidP="00DF64C7">
            <w:pPr>
              <w:keepNext/>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Os.</w:t>
            </w:r>
          </w:p>
        </w:tc>
        <w:tc>
          <w:tcPr>
            <w:tcW w:w="611" w:type="pct"/>
          </w:tcPr>
          <w:p w14:paraId="677D36E8"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4 729</w:t>
            </w:r>
          </w:p>
        </w:tc>
        <w:tc>
          <w:tcPr>
            <w:tcW w:w="448" w:type="pct"/>
          </w:tcPr>
          <w:p w14:paraId="49B056F2"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26 815</w:t>
            </w:r>
          </w:p>
        </w:tc>
        <w:tc>
          <w:tcPr>
            <w:tcW w:w="296" w:type="pct"/>
          </w:tcPr>
          <w:p w14:paraId="0D0454A3"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567</w:t>
            </w:r>
          </w:p>
        </w:tc>
      </w:tr>
      <w:tr w:rsidR="000F3F66" w:rsidRPr="00233BF6" w14:paraId="0B8179FE" w14:textId="77777777" w:rsidTr="00760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4" w:type="pct"/>
            <w:vMerge/>
          </w:tcPr>
          <w:p w14:paraId="13DBC8CD"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71B30B41" w14:textId="77777777" w:rsidR="000F3F66" w:rsidRPr="00233BF6" w:rsidRDefault="000F3F66"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sz w:val="19"/>
                <w:szCs w:val="19"/>
              </w:rPr>
            </w:pPr>
            <w:r w:rsidRPr="00233BF6">
              <w:rPr>
                <w:bCs/>
                <w:sz w:val="19"/>
                <w:szCs w:val="19"/>
              </w:rPr>
              <w:t>Liczba podmiotów realizujących zadania centrum kształcenia zawodowego i ustawicznego objętych wsparciem w programie</w:t>
            </w:r>
          </w:p>
        </w:tc>
        <w:tc>
          <w:tcPr>
            <w:tcW w:w="687" w:type="pct"/>
          </w:tcPr>
          <w:p w14:paraId="7CC3B1F3" w14:textId="77777777" w:rsidR="000F3F66" w:rsidRPr="00233BF6"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Szt.</w:t>
            </w:r>
          </w:p>
        </w:tc>
        <w:tc>
          <w:tcPr>
            <w:tcW w:w="611" w:type="pct"/>
          </w:tcPr>
          <w:p w14:paraId="7A8EA27F"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Pr>
                <w:rFonts w:cs="Arial"/>
                <w:sz w:val="19"/>
                <w:szCs w:val="19"/>
              </w:rPr>
              <w:t>2</w:t>
            </w:r>
          </w:p>
        </w:tc>
        <w:tc>
          <w:tcPr>
            <w:tcW w:w="448" w:type="pct"/>
          </w:tcPr>
          <w:p w14:paraId="4CFCDFA4"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2</w:t>
            </w:r>
          </w:p>
        </w:tc>
        <w:tc>
          <w:tcPr>
            <w:tcW w:w="296" w:type="pct"/>
          </w:tcPr>
          <w:p w14:paraId="1C1C7A03"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Pr>
                <w:rFonts w:cs="Arial"/>
                <w:sz w:val="19"/>
                <w:szCs w:val="19"/>
              </w:rPr>
              <w:t>100</w:t>
            </w:r>
          </w:p>
        </w:tc>
      </w:tr>
      <w:tr w:rsidR="000F3F66" w:rsidRPr="00233BF6" w14:paraId="52A23544" w14:textId="77777777" w:rsidTr="0076099D">
        <w:trPr>
          <w:trHeight w:val="20"/>
        </w:trPr>
        <w:tc>
          <w:tcPr>
            <w:cnfStyle w:val="001000000000" w:firstRow="0" w:lastRow="0" w:firstColumn="1" w:lastColumn="0" w:oddVBand="0" w:evenVBand="0" w:oddHBand="0" w:evenHBand="0" w:firstRowFirstColumn="0" w:firstRowLastColumn="0" w:lastRowFirstColumn="0" w:lastRowLastColumn="0"/>
            <w:tcW w:w="584" w:type="pct"/>
            <w:vMerge/>
          </w:tcPr>
          <w:p w14:paraId="0131C1E5"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6CE81FA4" w14:textId="77777777" w:rsidR="000F3F66" w:rsidRPr="00233BF6" w:rsidRDefault="000F3F66"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19"/>
                <w:szCs w:val="19"/>
              </w:rPr>
            </w:pPr>
            <w:r w:rsidRPr="00233BF6">
              <w:rPr>
                <w:bCs/>
                <w:sz w:val="19"/>
                <w:szCs w:val="19"/>
              </w:rPr>
              <w:t>Liczba osób uczestniczących w szkolnych formach kształcenia w programie</w:t>
            </w:r>
          </w:p>
        </w:tc>
        <w:tc>
          <w:tcPr>
            <w:tcW w:w="687" w:type="pct"/>
          </w:tcPr>
          <w:p w14:paraId="2012D24A" w14:textId="77777777" w:rsidR="000F3F66" w:rsidRPr="00233BF6" w:rsidRDefault="000F3F66" w:rsidP="00DF64C7">
            <w:pPr>
              <w:keepNext/>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Os.</w:t>
            </w:r>
          </w:p>
        </w:tc>
        <w:tc>
          <w:tcPr>
            <w:tcW w:w="611" w:type="pct"/>
          </w:tcPr>
          <w:p w14:paraId="0D1A1BB4"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1 804</w:t>
            </w:r>
          </w:p>
        </w:tc>
        <w:tc>
          <w:tcPr>
            <w:tcW w:w="448" w:type="pct"/>
          </w:tcPr>
          <w:p w14:paraId="3DA5926C"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619</w:t>
            </w:r>
          </w:p>
        </w:tc>
        <w:tc>
          <w:tcPr>
            <w:tcW w:w="296" w:type="pct"/>
          </w:tcPr>
          <w:p w14:paraId="13EEFE65"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34</w:t>
            </w:r>
          </w:p>
        </w:tc>
      </w:tr>
      <w:tr w:rsidR="000F3F66" w:rsidRPr="00233BF6" w14:paraId="0F4679D1" w14:textId="77777777" w:rsidTr="00760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4" w:type="pct"/>
            <w:vMerge w:val="restart"/>
          </w:tcPr>
          <w:p w14:paraId="33E263F8" w14:textId="77777777" w:rsidR="000F3F66" w:rsidRPr="00233BF6" w:rsidRDefault="000F3F66" w:rsidP="00DF64C7">
            <w:pPr>
              <w:pStyle w:val="Default"/>
              <w:spacing w:after="0" w:line="271" w:lineRule="auto"/>
              <w:rPr>
                <w:b w:val="0"/>
                <w:bCs w:val="0"/>
                <w:color w:val="FFFFFF" w:themeColor="background1"/>
                <w:sz w:val="19"/>
                <w:szCs w:val="19"/>
              </w:rPr>
            </w:pPr>
            <w:r w:rsidRPr="00233BF6">
              <w:rPr>
                <w:color w:val="FFFFFF" w:themeColor="background1"/>
                <w:sz w:val="19"/>
                <w:szCs w:val="19"/>
              </w:rPr>
              <w:t>11.4</w:t>
            </w:r>
          </w:p>
          <w:p w14:paraId="0F21FB03" w14:textId="77777777" w:rsidR="000F3F66" w:rsidRPr="00233BF6" w:rsidRDefault="000F3F66" w:rsidP="00DF64C7">
            <w:pPr>
              <w:pStyle w:val="Default"/>
              <w:spacing w:after="0" w:line="271" w:lineRule="auto"/>
              <w:rPr>
                <w:color w:val="FFFFFF" w:themeColor="background1"/>
                <w:sz w:val="19"/>
                <w:szCs w:val="19"/>
              </w:rPr>
            </w:pPr>
          </w:p>
        </w:tc>
        <w:tc>
          <w:tcPr>
            <w:tcW w:w="2374" w:type="pct"/>
          </w:tcPr>
          <w:p w14:paraId="25A7545E" w14:textId="77777777" w:rsidR="000F3F66" w:rsidRPr="00233BF6" w:rsidRDefault="000F3F66" w:rsidP="00DF64C7">
            <w:pPr>
              <w:jc w:val="left"/>
              <w:cnfStyle w:val="000000100000" w:firstRow="0" w:lastRow="0" w:firstColumn="0" w:lastColumn="0" w:oddVBand="0" w:evenVBand="0" w:oddHBand="1" w:evenHBand="0" w:firstRowFirstColumn="0" w:firstRowLastColumn="0" w:lastRowFirstColumn="0" w:lastRowLastColumn="0"/>
              <w:rPr>
                <w:rFonts w:cs="Arial"/>
                <w:bCs/>
                <w:color w:val="000000"/>
                <w:sz w:val="19"/>
                <w:szCs w:val="19"/>
              </w:rPr>
            </w:pPr>
            <w:r w:rsidRPr="00233BF6">
              <w:rPr>
                <w:rFonts w:cs="Arial"/>
                <w:bCs/>
                <w:color w:val="000000"/>
                <w:sz w:val="19"/>
                <w:szCs w:val="19"/>
              </w:rPr>
              <w:t>Liczba osób o niskich kwalifikacjach objętych wsparciem w programie</w:t>
            </w:r>
          </w:p>
        </w:tc>
        <w:tc>
          <w:tcPr>
            <w:tcW w:w="687" w:type="pct"/>
          </w:tcPr>
          <w:p w14:paraId="1F5C6F6B" w14:textId="77777777" w:rsidR="000F3F66" w:rsidRPr="00233BF6"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Os.</w:t>
            </w:r>
          </w:p>
        </w:tc>
        <w:tc>
          <w:tcPr>
            <w:tcW w:w="611" w:type="pct"/>
          </w:tcPr>
          <w:p w14:paraId="382B2A79"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15 412</w:t>
            </w:r>
          </w:p>
        </w:tc>
        <w:tc>
          <w:tcPr>
            <w:tcW w:w="448" w:type="pct"/>
          </w:tcPr>
          <w:p w14:paraId="6B092C30"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4 571</w:t>
            </w:r>
          </w:p>
        </w:tc>
        <w:tc>
          <w:tcPr>
            <w:tcW w:w="296" w:type="pct"/>
          </w:tcPr>
          <w:p w14:paraId="59F10B2C"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30</w:t>
            </w:r>
          </w:p>
        </w:tc>
      </w:tr>
      <w:tr w:rsidR="000F3F66" w:rsidRPr="00233BF6" w14:paraId="3B619A90" w14:textId="77777777" w:rsidTr="0076099D">
        <w:trPr>
          <w:trHeight w:val="20"/>
        </w:trPr>
        <w:tc>
          <w:tcPr>
            <w:cnfStyle w:val="001000000000" w:firstRow="0" w:lastRow="0" w:firstColumn="1" w:lastColumn="0" w:oddVBand="0" w:evenVBand="0" w:oddHBand="0" w:evenHBand="0" w:firstRowFirstColumn="0" w:firstRowLastColumn="0" w:lastRowFirstColumn="0" w:lastRowLastColumn="0"/>
            <w:tcW w:w="584" w:type="pct"/>
            <w:vMerge/>
          </w:tcPr>
          <w:p w14:paraId="1DBC10CF" w14:textId="77777777" w:rsidR="000F3F66" w:rsidRPr="00233BF6" w:rsidRDefault="000F3F66" w:rsidP="00DF64C7">
            <w:pPr>
              <w:pStyle w:val="Default"/>
              <w:spacing w:after="0" w:line="271" w:lineRule="auto"/>
              <w:rPr>
                <w:sz w:val="19"/>
                <w:szCs w:val="19"/>
              </w:rPr>
            </w:pPr>
          </w:p>
        </w:tc>
        <w:tc>
          <w:tcPr>
            <w:tcW w:w="2374" w:type="pct"/>
          </w:tcPr>
          <w:p w14:paraId="52DD8C6C" w14:textId="77777777" w:rsidR="000F3F66" w:rsidRPr="00233BF6" w:rsidRDefault="000F3F66" w:rsidP="00DF64C7">
            <w:pPr>
              <w:jc w:val="left"/>
              <w:cnfStyle w:val="000000000000" w:firstRow="0" w:lastRow="0" w:firstColumn="0" w:lastColumn="0" w:oddVBand="0" w:evenVBand="0" w:oddHBand="0" w:evenHBand="0" w:firstRowFirstColumn="0" w:firstRowLastColumn="0" w:lastRowFirstColumn="0" w:lastRowLastColumn="0"/>
              <w:rPr>
                <w:rFonts w:cs="Arial"/>
                <w:bCs/>
                <w:color w:val="000000"/>
                <w:sz w:val="19"/>
                <w:szCs w:val="19"/>
              </w:rPr>
            </w:pPr>
            <w:r w:rsidRPr="00233BF6">
              <w:rPr>
                <w:rFonts w:cs="Arial"/>
                <w:bCs/>
                <w:color w:val="000000"/>
                <w:sz w:val="19"/>
                <w:szCs w:val="19"/>
              </w:rPr>
              <w:t>Liczba osób w wieku 50 lat i więcej objętych wsparciem w programie</w:t>
            </w:r>
          </w:p>
        </w:tc>
        <w:tc>
          <w:tcPr>
            <w:tcW w:w="687" w:type="pct"/>
          </w:tcPr>
          <w:p w14:paraId="1860E00E" w14:textId="77777777" w:rsidR="000F3F66" w:rsidRPr="00233BF6" w:rsidRDefault="000F3F66" w:rsidP="00DF64C7">
            <w:pPr>
              <w:keepNext/>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Os.</w:t>
            </w:r>
          </w:p>
        </w:tc>
        <w:tc>
          <w:tcPr>
            <w:tcW w:w="611" w:type="pct"/>
          </w:tcPr>
          <w:p w14:paraId="5780443D"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3 626</w:t>
            </w:r>
          </w:p>
        </w:tc>
        <w:tc>
          <w:tcPr>
            <w:tcW w:w="448" w:type="pct"/>
          </w:tcPr>
          <w:p w14:paraId="6EC6B91D"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1 774</w:t>
            </w:r>
          </w:p>
        </w:tc>
        <w:tc>
          <w:tcPr>
            <w:tcW w:w="296" w:type="pct"/>
          </w:tcPr>
          <w:p w14:paraId="58B88F62" w14:textId="77777777" w:rsidR="000F3F66" w:rsidRPr="00233BF6"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19"/>
                <w:szCs w:val="19"/>
              </w:rPr>
            </w:pPr>
            <w:r w:rsidRPr="00233BF6">
              <w:rPr>
                <w:rFonts w:cs="Arial"/>
                <w:sz w:val="19"/>
                <w:szCs w:val="19"/>
              </w:rPr>
              <w:t>49</w:t>
            </w:r>
          </w:p>
        </w:tc>
      </w:tr>
      <w:tr w:rsidR="000F3F66" w:rsidRPr="00233BF6" w14:paraId="7E73CCC2" w14:textId="77777777" w:rsidTr="007609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4" w:type="pct"/>
            <w:vMerge/>
          </w:tcPr>
          <w:p w14:paraId="2A7358BC" w14:textId="77777777" w:rsidR="000F3F66" w:rsidRPr="00233BF6" w:rsidRDefault="000F3F66" w:rsidP="00DF64C7">
            <w:pPr>
              <w:pStyle w:val="Default"/>
              <w:spacing w:after="0" w:line="271" w:lineRule="auto"/>
              <w:rPr>
                <w:sz w:val="19"/>
                <w:szCs w:val="19"/>
              </w:rPr>
            </w:pPr>
          </w:p>
        </w:tc>
        <w:tc>
          <w:tcPr>
            <w:tcW w:w="2374" w:type="pct"/>
          </w:tcPr>
          <w:p w14:paraId="261FF6A5" w14:textId="77777777" w:rsidR="000F3F66" w:rsidRPr="00233BF6" w:rsidRDefault="000F3F66" w:rsidP="00DF64C7">
            <w:pPr>
              <w:jc w:val="left"/>
              <w:cnfStyle w:val="000000100000" w:firstRow="0" w:lastRow="0" w:firstColumn="0" w:lastColumn="0" w:oddVBand="0" w:evenVBand="0" w:oddHBand="1" w:evenHBand="0" w:firstRowFirstColumn="0" w:firstRowLastColumn="0" w:lastRowFirstColumn="0" w:lastRowLastColumn="0"/>
              <w:rPr>
                <w:rFonts w:cs="Arial"/>
                <w:bCs/>
                <w:color w:val="000000"/>
                <w:sz w:val="19"/>
                <w:szCs w:val="19"/>
              </w:rPr>
            </w:pPr>
            <w:r w:rsidRPr="00233BF6">
              <w:rPr>
                <w:rFonts w:cs="Arial"/>
                <w:bCs/>
                <w:color w:val="000000"/>
                <w:sz w:val="19"/>
                <w:szCs w:val="19"/>
              </w:rPr>
              <w:t>Liczba osób w wieku 25 lat i więcej objętych wsparciem w programie</w:t>
            </w:r>
          </w:p>
        </w:tc>
        <w:tc>
          <w:tcPr>
            <w:tcW w:w="687" w:type="pct"/>
          </w:tcPr>
          <w:p w14:paraId="3345E352" w14:textId="77777777" w:rsidR="000F3F66" w:rsidRPr="00233BF6"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Os.</w:t>
            </w:r>
          </w:p>
        </w:tc>
        <w:tc>
          <w:tcPr>
            <w:tcW w:w="611" w:type="pct"/>
          </w:tcPr>
          <w:p w14:paraId="1B2E904A"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14 506</w:t>
            </w:r>
          </w:p>
        </w:tc>
        <w:tc>
          <w:tcPr>
            <w:tcW w:w="448" w:type="pct"/>
          </w:tcPr>
          <w:p w14:paraId="64623601"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8 599</w:t>
            </w:r>
          </w:p>
        </w:tc>
        <w:tc>
          <w:tcPr>
            <w:tcW w:w="296" w:type="pct"/>
          </w:tcPr>
          <w:p w14:paraId="26BEBD60" w14:textId="77777777" w:rsidR="000F3F66" w:rsidRPr="00233BF6"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19"/>
                <w:szCs w:val="19"/>
              </w:rPr>
            </w:pPr>
            <w:r w:rsidRPr="00233BF6">
              <w:rPr>
                <w:rFonts w:cs="Arial"/>
                <w:sz w:val="19"/>
                <w:szCs w:val="19"/>
              </w:rPr>
              <w:t>59</w:t>
            </w:r>
          </w:p>
        </w:tc>
      </w:tr>
    </w:tbl>
    <w:p w14:paraId="3B833A38" w14:textId="77777777" w:rsidR="000F3F66" w:rsidRDefault="000F3F66" w:rsidP="00DF64C7">
      <w:pPr>
        <w:pStyle w:val="podpisrdailustracji"/>
        <w:spacing w:line="271" w:lineRule="auto"/>
        <w:jc w:val="left"/>
      </w:pPr>
      <w:r>
        <w:t xml:space="preserve">Źródło: opracowanie własne na podstawie danych </w:t>
      </w:r>
      <w:r w:rsidRPr="00FB28BE">
        <w:rPr>
          <w:rFonts w:cs="Arial"/>
        </w:rPr>
        <w:t>SL2014</w:t>
      </w:r>
      <w:r>
        <w:rPr>
          <w:rFonts w:cs="Arial"/>
        </w:rPr>
        <w:t xml:space="preserve"> </w:t>
      </w:r>
      <w:r>
        <w:t>(data dostępu: 30.09.2019 r.)</w:t>
      </w:r>
      <w:r w:rsidRPr="00FB28BE">
        <w:rPr>
          <w:rFonts w:cs="Arial"/>
        </w:rPr>
        <w:t xml:space="preserve"> </w:t>
      </w:r>
    </w:p>
    <w:p w14:paraId="345D470B" w14:textId="615D150C" w:rsidR="000F3F66" w:rsidRPr="004919C7" w:rsidRDefault="000F3F66" w:rsidP="00DF64C7">
      <w:pPr>
        <w:pStyle w:val="Legenda"/>
        <w:spacing w:line="271" w:lineRule="auto"/>
        <w:jc w:val="left"/>
      </w:pPr>
      <w:r>
        <w:t xml:space="preserve">Tabela </w:t>
      </w:r>
      <w:r>
        <w:rPr>
          <w:noProof/>
        </w:rPr>
        <w:fldChar w:fldCharType="begin"/>
      </w:r>
      <w:r>
        <w:rPr>
          <w:noProof/>
        </w:rPr>
        <w:instrText xml:space="preserve"> SEQ Tabela \* ARABIC </w:instrText>
      </w:r>
      <w:r>
        <w:rPr>
          <w:noProof/>
        </w:rPr>
        <w:fldChar w:fldCharType="separate"/>
      </w:r>
      <w:r w:rsidR="00A8147E">
        <w:rPr>
          <w:noProof/>
        </w:rPr>
        <w:t>13</w:t>
      </w:r>
      <w:r>
        <w:rPr>
          <w:noProof/>
        </w:rPr>
        <w:fldChar w:fldCharType="end"/>
      </w:r>
      <w:r>
        <w:t xml:space="preserve">. </w:t>
      </w:r>
      <w:r w:rsidRPr="004919C7">
        <w:t xml:space="preserve">Wartość wskaźników </w:t>
      </w:r>
      <w:r>
        <w:t xml:space="preserve">rezultatu </w:t>
      </w:r>
      <w:r w:rsidRPr="004919C7">
        <w:t xml:space="preserve">w ramach OP </w:t>
      </w:r>
      <w:r>
        <w:t>XI</w:t>
      </w:r>
      <w:r w:rsidRPr="004919C7">
        <w:t xml:space="preserve"> RPO WS</w:t>
      </w:r>
      <w:r>
        <w:t>L</w:t>
      </w:r>
      <w:r w:rsidRPr="004919C7">
        <w:t xml:space="preserve"> 2014-2020</w:t>
      </w:r>
    </w:p>
    <w:tbl>
      <w:tblPr>
        <w:tblStyle w:val="redniasiatka3akcent6"/>
        <w:tblW w:w="5000" w:type="pct"/>
        <w:tblLook w:val="04A0" w:firstRow="1" w:lastRow="0" w:firstColumn="1" w:lastColumn="0" w:noHBand="0" w:noVBand="1"/>
        <w:tblCaption w:val="Wartość wskaźników rezultatu w ramach OP XI RPO WSL 2014-2020"/>
        <w:tblDescription w:val="Tabela przedstawia wartość wskaźników rezultatu w ramach OP XI RPO WSL 2014-2020 na rok 2023 oraz wartość tych wskaźników na rok 2019 (w tym procentowy poziom realizacji założonych wartości)."/>
      </w:tblPr>
      <w:tblGrid>
        <w:gridCol w:w="1083"/>
        <w:gridCol w:w="4048"/>
        <w:gridCol w:w="1206"/>
        <w:gridCol w:w="1128"/>
        <w:gridCol w:w="846"/>
        <w:gridCol w:w="739"/>
      </w:tblGrid>
      <w:tr w:rsidR="000F3F66" w:rsidRPr="00457B63" w14:paraId="5C7239F5" w14:textId="77777777" w:rsidTr="0076099D">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584" w:type="pct"/>
          </w:tcPr>
          <w:p w14:paraId="797B3C85" w14:textId="77777777" w:rsidR="000F3F66" w:rsidRPr="00457B63" w:rsidRDefault="000F3F66" w:rsidP="00DF64C7">
            <w:pPr>
              <w:keepNext/>
              <w:jc w:val="left"/>
              <w:rPr>
                <w:rFonts w:cs="Arial"/>
                <w:sz w:val="20"/>
                <w:szCs w:val="20"/>
              </w:rPr>
            </w:pPr>
            <w:r w:rsidRPr="00457B63">
              <w:rPr>
                <w:rFonts w:cs="Arial"/>
                <w:sz w:val="20"/>
                <w:szCs w:val="20"/>
              </w:rPr>
              <w:t>Działanie</w:t>
            </w:r>
          </w:p>
        </w:tc>
        <w:tc>
          <w:tcPr>
            <w:tcW w:w="2252" w:type="pct"/>
          </w:tcPr>
          <w:p w14:paraId="07CDBE1E" w14:textId="77777777" w:rsidR="000F3F66" w:rsidRPr="00457B63"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Wskaźnik rezultatu</w:t>
            </w:r>
          </w:p>
        </w:tc>
        <w:tc>
          <w:tcPr>
            <w:tcW w:w="649" w:type="pct"/>
          </w:tcPr>
          <w:p w14:paraId="7B034BDA" w14:textId="77777777" w:rsidR="000F3F66" w:rsidRPr="00457B63"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Jednostka miary</w:t>
            </w:r>
          </w:p>
        </w:tc>
        <w:tc>
          <w:tcPr>
            <w:tcW w:w="609" w:type="pct"/>
          </w:tcPr>
          <w:p w14:paraId="4881EAEC" w14:textId="77777777" w:rsidR="000F3F66" w:rsidRPr="00457B63"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Wartość docelowa</w:t>
            </w:r>
          </w:p>
          <w:p w14:paraId="3B1E3BF9" w14:textId="77777777" w:rsidR="000F3F66" w:rsidRPr="00CE2A50"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CE2A50">
              <w:rPr>
                <w:rFonts w:cs="Arial"/>
                <w:sz w:val="20"/>
                <w:szCs w:val="20"/>
              </w:rPr>
              <w:t>(2023 r.)</w:t>
            </w:r>
          </w:p>
        </w:tc>
        <w:tc>
          <w:tcPr>
            <w:tcW w:w="483" w:type="pct"/>
          </w:tcPr>
          <w:p w14:paraId="11EF89F0" w14:textId="77777777" w:rsidR="000F3F66" w:rsidRPr="00457B63"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2019</w:t>
            </w:r>
          </w:p>
        </w:tc>
        <w:tc>
          <w:tcPr>
            <w:tcW w:w="423" w:type="pct"/>
          </w:tcPr>
          <w:p w14:paraId="2D8B84CB" w14:textId="77777777" w:rsidR="000F3F66" w:rsidRPr="00457B63" w:rsidRDefault="000F3F66"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w:t>
            </w:r>
          </w:p>
        </w:tc>
      </w:tr>
      <w:tr w:rsidR="000F3F66" w:rsidRPr="00457B63" w14:paraId="1B73C87E" w14:textId="77777777" w:rsidTr="007609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84" w:type="pct"/>
            <w:vMerge w:val="restart"/>
          </w:tcPr>
          <w:p w14:paraId="25266085" w14:textId="77777777" w:rsidR="000F3F66" w:rsidRPr="00372426" w:rsidRDefault="000F3F66" w:rsidP="00DF64C7">
            <w:pPr>
              <w:pStyle w:val="Default"/>
              <w:spacing w:after="0" w:line="271" w:lineRule="auto"/>
              <w:rPr>
                <w:b w:val="0"/>
                <w:bCs w:val="0"/>
                <w:color w:val="FFFFFF" w:themeColor="background1"/>
                <w:sz w:val="20"/>
                <w:szCs w:val="20"/>
              </w:rPr>
            </w:pPr>
            <w:r w:rsidRPr="00372426">
              <w:rPr>
                <w:color w:val="FFFFFF" w:themeColor="background1"/>
                <w:sz w:val="20"/>
                <w:szCs w:val="20"/>
              </w:rPr>
              <w:t>11.1</w:t>
            </w:r>
          </w:p>
          <w:p w14:paraId="4C51931A" w14:textId="77777777" w:rsidR="000F3F66" w:rsidRPr="00372426" w:rsidRDefault="000F3F66" w:rsidP="00DF64C7">
            <w:pPr>
              <w:pStyle w:val="Default"/>
              <w:spacing w:after="0" w:line="271" w:lineRule="auto"/>
              <w:rPr>
                <w:color w:val="FFFFFF" w:themeColor="background1"/>
                <w:sz w:val="20"/>
                <w:szCs w:val="20"/>
              </w:rPr>
            </w:pPr>
          </w:p>
        </w:tc>
        <w:tc>
          <w:tcPr>
            <w:tcW w:w="2252" w:type="pct"/>
          </w:tcPr>
          <w:p w14:paraId="70851C8B" w14:textId="77777777" w:rsidR="000F3F66" w:rsidRPr="00457B63" w:rsidRDefault="000F3F66"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b/>
                <w:sz w:val="20"/>
                <w:szCs w:val="20"/>
              </w:rPr>
            </w:pPr>
            <w:r w:rsidRPr="00457B63">
              <w:rPr>
                <w:bCs/>
                <w:sz w:val="20"/>
                <w:szCs w:val="20"/>
              </w:rPr>
              <w:t>Liczba szkół i placówek systemu oświaty wykorzystujących sprzęt TIK do prowadzenia zajęć edukacyjnych</w:t>
            </w:r>
          </w:p>
        </w:tc>
        <w:tc>
          <w:tcPr>
            <w:tcW w:w="649" w:type="pct"/>
          </w:tcPr>
          <w:p w14:paraId="3DA4E101" w14:textId="77777777" w:rsidR="000F3F66" w:rsidRPr="00457B63"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Szt.</w:t>
            </w:r>
          </w:p>
        </w:tc>
        <w:tc>
          <w:tcPr>
            <w:tcW w:w="609" w:type="pct"/>
          </w:tcPr>
          <w:p w14:paraId="7958BB67"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155</w:t>
            </w:r>
          </w:p>
        </w:tc>
        <w:tc>
          <w:tcPr>
            <w:tcW w:w="483" w:type="pct"/>
          </w:tcPr>
          <w:p w14:paraId="5C1A48AA"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339</w:t>
            </w:r>
          </w:p>
        </w:tc>
        <w:tc>
          <w:tcPr>
            <w:tcW w:w="423" w:type="pct"/>
          </w:tcPr>
          <w:p w14:paraId="77629179"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219</w:t>
            </w:r>
          </w:p>
        </w:tc>
      </w:tr>
      <w:tr w:rsidR="000F3F66" w:rsidRPr="00457B63" w14:paraId="5A943512" w14:textId="77777777" w:rsidTr="0076099D">
        <w:trPr>
          <w:trHeight w:val="170"/>
        </w:trPr>
        <w:tc>
          <w:tcPr>
            <w:cnfStyle w:val="001000000000" w:firstRow="0" w:lastRow="0" w:firstColumn="1" w:lastColumn="0" w:oddVBand="0" w:evenVBand="0" w:oddHBand="0" w:evenHBand="0" w:firstRowFirstColumn="0" w:firstRowLastColumn="0" w:lastRowFirstColumn="0" w:lastRowLastColumn="0"/>
            <w:tcW w:w="584" w:type="pct"/>
            <w:vMerge/>
          </w:tcPr>
          <w:p w14:paraId="43DF553A" w14:textId="77777777" w:rsidR="000F3F66" w:rsidRPr="00372426" w:rsidRDefault="000F3F66" w:rsidP="00DF64C7">
            <w:pPr>
              <w:pStyle w:val="Default"/>
              <w:spacing w:after="0" w:line="271" w:lineRule="auto"/>
              <w:rPr>
                <w:color w:val="FFFFFF" w:themeColor="background1"/>
                <w:sz w:val="20"/>
                <w:szCs w:val="20"/>
              </w:rPr>
            </w:pPr>
          </w:p>
        </w:tc>
        <w:tc>
          <w:tcPr>
            <w:tcW w:w="2252" w:type="pct"/>
          </w:tcPr>
          <w:p w14:paraId="69D56889" w14:textId="77777777" w:rsidR="000F3F66" w:rsidRPr="00457B63" w:rsidRDefault="000F3F66"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20"/>
                <w:szCs w:val="20"/>
              </w:rPr>
            </w:pPr>
            <w:r w:rsidRPr="00457B63">
              <w:rPr>
                <w:bCs/>
                <w:sz w:val="20"/>
                <w:szCs w:val="20"/>
              </w:rPr>
              <w:t>Liczba uczniów, którzy nabyli kompetencje kluczowe lub umiejętności uniwersalne niezbędne na rynku pracy po opuszczeniu programu</w:t>
            </w:r>
          </w:p>
        </w:tc>
        <w:tc>
          <w:tcPr>
            <w:tcW w:w="649" w:type="pct"/>
          </w:tcPr>
          <w:p w14:paraId="3B184123" w14:textId="77777777" w:rsidR="000F3F66" w:rsidRPr="00457B63" w:rsidRDefault="000F3F66" w:rsidP="00DF64C7">
            <w:pPr>
              <w:keepNext/>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Os.</w:t>
            </w:r>
          </w:p>
        </w:tc>
        <w:tc>
          <w:tcPr>
            <w:tcW w:w="609" w:type="pct"/>
          </w:tcPr>
          <w:p w14:paraId="2C87AEBD"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27 819</w:t>
            </w:r>
          </w:p>
        </w:tc>
        <w:tc>
          <w:tcPr>
            <w:tcW w:w="483" w:type="pct"/>
          </w:tcPr>
          <w:p w14:paraId="6C474606"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36 639</w:t>
            </w:r>
          </w:p>
        </w:tc>
        <w:tc>
          <w:tcPr>
            <w:tcW w:w="423" w:type="pct"/>
          </w:tcPr>
          <w:p w14:paraId="05564B52"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132</w:t>
            </w:r>
          </w:p>
        </w:tc>
      </w:tr>
      <w:tr w:rsidR="000F3F66" w:rsidRPr="00457B63" w14:paraId="5B55709D" w14:textId="77777777" w:rsidTr="007609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84" w:type="pct"/>
            <w:vMerge/>
          </w:tcPr>
          <w:p w14:paraId="02C4DACB" w14:textId="77777777" w:rsidR="000F3F66" w:rsidRPr="00372426" w:rsidRDefault="000F3F66" w:rsidP="00DF64C7">
            <w:pPr>
              <w:pStyle w:val="Default"/>
              <w:spacing w:after="0" w:line="271" w:lineRule="auto"/>
              <w:rPr>
                <w:color w:val="FFFFFF" w:themeColor="background1"/>
                <w:sz w:val="20"/>
                <w:szCs w:val="20"/>
              </w:rPr>
            </w:pPr>
          </w:p>
        </w:tc>
        <w:tc>
          <w:tcPr>
            <w:tcW w:w="2252" w:type="pct"/>
          </w:tcPr>
          <w:p w14:paraId="550A5CC3" w14:textId="77777777" w:rsidR="000F3F66" w:rsidRPr="00457B63" w:rsidRDefault="000F3F66"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sz w:val="20"/>
                <w:szCs w:val="20"/>
              </w:rPr>
            </w:pPr>
            <w:r w:rsidRPr="00457B63">
              <w:rPr>
                <w:bCs/>
                <w:sz w:val="20"/>
                <w:szCs w:val="20"/>
              </w:rPr>
              <w:t>Liczba szkół, w których pracowanie przedmiotowe wykorzystują doposażenie do prowadzenia zajęć edukacyjnych</w:t>
            </w:r>
          </w:p>
        </w:tc>
        <w:tc>
          <w:tcPr>
            <w:tcW w:w="649" w:type="pct"/>
          </w:tcPr>
          <w:p w14:paraId="09957578" w14:textId="77777777" w:rsidR="000F3F66" w:rsidRPr="00457B63"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Szt.</w:t>
            </w:r>
          </w:p>
        </w:tc>
        <w:tc>
          <w:tcPr>
            <w:tcW w:w="609" w:type="pct"/>
          </w:tcPr>
          <w:p w14:paraId="45C831CB" w14:textId="77777777" w:rsidR="000F3F66" w:rsidRPr="00457B63" w:rsidRDefault="000F3F66" w:rsidP="00111C87">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457B63">
              <w:rPr>
                <w:rFonts w:cs="Arial"/>
                <w:sz w:val="20"/>
                <w:szCs w:val="20"/>
              </w:rPr>
              <w:t>148</w:t>
            </w:r>
          </w:p>
        </w:tc>
        <w:tc>
          <w:tcPr>
            <w:tcW w:w="483" w:type="pct"/>
          </w:tcPr>
          <w:p w14:paraId="2C2B113D"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314</w:t>
            </w:r>
          </w:p>
        </w:tc>
        <w:tc>
          <w:tcPr>
            <w:tcW w:w="423" w:type="pct"/>
          </w:tcPr>
          <w:p w14:paraId="0B41187F"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212</w:t>
            </w:r>
          </w:p>
        </w:tc>
      </w:tr>
      <w:tr w:rsidR="000F3F66" w:rsidRPr="00457B63" w14:paraId="764DEEBA" w14:textId="77777777" w:rsidTr="0076099D">
        <w:trPr>
          <w:trHeight w:val="170"/>
        </w:trPr>
        <w:tc>
          <w:tcPr>
            <w:cnfStyle w:val="001000000000" w:firstRow="0" w:lastRow="0" w:firstColumn="1" w:lastColumn="0" w:oddVBand="0" w:evenVBand="0" w:oddHBand="0" w:evenHBand="0" w:firstRowFirstColumn="0" w:firstRowLastColumn="0" w:lastRowFirstColumn="0" w:lastRowLastColumn="0"/>
            <w:tcW w:w="584" w:type="pct"/>
            <w:vMerge w:val="restart"/>
          </w:tcPr>
          <w:p w14:paraId="77CE24E0" w14:textId="77777777" w:rsidR="000F3F66" w:rsidRPr="00372426" w:rsidRDefault="000F3F66" w:rsidP="00DF64C7">
            <w:pPr>
              <w:pStyle w:val="Default"/>
              <w:spacing w:after="0" w:line="271" w:lineRule="auto"/>
              <w:rPr>
                <w:b w:val="0"/>
                <w:bCs w:val="0"/>
                <w:color w:val="FFFFFF" w:themeColor="background1"/>
                <w:sz w:val="20"/>
                <w:szCs w:val="20"/>
              </w:rPr>
            </w:pPr>
            <w:r w:rsidRPr="00372426">
              <w:rPr>
                <w:color w:val="FFFFFF" w:themeColor="background1"/>
                <w:sz w:val="20"/>
                <w:szCs w:val="20"/>
              </w:rPr>
              <w:t>11.2</w:t>
            </w:r>
          </w:p>
        </w:tc>
        <w:tc>
          <w:tcPr>
            <w:tcW w:w="2252" w:type="pct"/>
          </w:tcPr>
          <w:p w14:paraId="3A69B084" w14:textId="77777777" w:rsidR="000F3F66" w:rsidRPr="00457B63" w:rsidRDefault="000F3F66" w:rsidP="00DF64C7">
            <w:pPr>
              <w:jc w:val="left"/>
              <w:cnfStyle w:val="000000000000" w:firstRow="0" w:lastRow="0" w:firstColumn="0" w:lastColumn="0" w:oddVBand="0" w:evenVBand="0" w:oddHBand="0" w:evenHBand="0" w:firstRowFirstColumn="0" w:firstRowLastColumn="0" w:lastRowFirstColumn="0" w:lastRowLastColumn="0"/>
              <w:rPr>
                <w:rFonts w:cs="Arial"/>
                <w:bCs/>
                <w:color w:val="000000"/>
                <w:sz w:val="20"/>
                <w:szCs w:val="20"/>
              </w:rPr>
            </w:pPr>
            <w:r w:rsidRPr="00457B63">
              <w:rPr>
                <w:rFonts w:cs="Arial"/>
                <w:bCs/>
                <w:color w:val="000000" w:themeColor="text1"/>
                <w:sz w:val="20"/>
                <w:szCs w:val="20"/>
              </w:rPr>
              <w:t>Liczba uczniów, którzy nabyli kompetencje kluczowe lub umiejętności uniwersalne niezbędne na rynku pracy po opuszczeniu programu</w:t>
            </w:r>
          </w:p>
        </w:tc>
        <w:tc>
          <w:tcPr>
            <w:tcW w:w="649" w:type="pct"/>
          </w:tcPr>
          <w:p w14:paraId="03A59DA3" w14:textId="77777777" w:rsidR="000F3F66" w:rsidRPr="00457B63" w:rsidRDefault="000F3F66" w:rsidP="00DF64C7">
            <w:pPr>
              <w:keepNext/>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Os.</w:t>
            </w:r>
          </w:p>
        </w:tc>
        <w:tc>
          <w:tcPr>
            <w:tcW w:w="609" w:type="pct"/>
          </w:tcPr>
          <w:p w14:paraId="039D15FD"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1 043</w:t>
            </w:r>
          </w:p>
        </w:tc>
        <w:tc>
          <w:tcPr>
            <w:tcW w:w="483" w:type="pct"/>
          </w:tcPr>
          <w:p w14:paraId="3C613EFC"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0</w:t>
            </w:r>
            <w:r w:rsidRPr="00457B63">
              <w:rPr>
                <w:rStyle w:val="Odwoanieprzypisudolnego"/>
                <w:sz w:val="20"/>
                <w:szCs w:val="20"/>
              </w:rPr>
              <w:footnoteReference w:id="18"/>
            </w:r>
          </w:p>
        </w:tc>
        <w:tc>
          <w:tcPr>
            <w:tcW w:w="423" w:type="pct"/>
          </w:tcPr>
          <w:p w14:paraId="79BA2C99"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0</w:t>
            </w:r>
          </w:p>
        </w:tc>
      </w:tr>
      <w:tr w:rsidR="000F3F66" w:rsidRPr="00457B63" w14:paraId="4C7EF9E1" w14:textId="77777777" w:rsidTr="007609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84" w:type="pct"/>
            <w:vMerge/>
          </w:tcPr>
          <w:p w14:paraId="26CC4D3C" w14:textId="77777777" w:rsidR="000F3F66" w:rsidRPr="00372426" w:rsidRDefault="000F3F66" w:rsidP="00DF64C7">
            <w:pPr>
              <w:pStyle w:val="Default"/>
              <w:spacing w:after="0" w:line="271" w:lineRule="auto"/>
              <w:rPr>
                <w:color w:val="FFFFFF" w:themeColor="background1"/>
                <w:sz w:val="20"/>
                <w:szCs w:val="20"/>
              </w:rPr>
            </w:pPr>
          </w:p>
        </w:tc>
        <w:tc>
          <w:tcPr>
            <w:tcW w:w="2252" w:type="pct"/>
          </w:tcPr>
          <w:p w14:paraId="06BBAD6C" w14:textId="77777777" w:rsidR="000F3F66" w:rsidRPr="00457B63" w:rsidRDefault="000F3F66"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sz w:val="20"/>
                <w:szCs w:val="20"/>
              </w:rPr>
            </w:pPr>
            <w:r w:rsidRPr="00457B63">
              <w:rPr>
                <w:bCs/>
                <w:sz w:val="20"/>
                <w:szCs w:val="20"/>
              </w:rPr>
              <w:t>Liczba szkół i placówek kształcenia zawodowego wykorzystujących doposażenie zakupione dzięki EFS</w:t>
            </w:r>
          </w:p>
        </w:tc>
        <w:tc>
          <w:tcPr>
            <w:tcW w:w="649" w:type="pct"/>
          </w:tcPr>
          <w:p w14:paraId="68F8CBAB" w14:textId="77777777" w:rsidR="000F3F66" w:rsidRPr="00457B63"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Szt.</w:t>
            </w:r>
          </w:p>
        </w:tc>
        <w:tc>
          <w:tcPr>
            <w:tcW w:w="609" w:type="pct"/>
          </w:tcPr>
          <w:p w14:paraId="2BAA4B3F"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67</w:t>
            </w:r>
          </w:p>
        </w:tc>
        <w:tc>
          <w:tcPr>
            <w:tcW w:w="483" w:type="pct"/>
          </w:tcPr>
          <w:p w14:paraId="3F15677C"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100</w:t>
            </w:r>
          </w:p>
        </w:tc>
        <w:tc>
          <w:tcPr>
            <w:tcW w:w="423" w:type="pct"/>
          </w:tcPr>
          <w:p w14:paraId="332FD158"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149</w:t>
            </w:r>
          </w:p>
        </w:tc>
      </w:tr>
      <w:tr w:rsidR="000F3F66" w:rsidRPr="00457B63" w14:paraId="65D34F6F" w14:textId="77777777" w:rsidTr="0076099D">
        <w:trPr>
          <w:trHeight w:val="170"/>
        </w:trPr>
        <w:tc>
          <w:tcPr>
            <w:cnfStyle w:val="001000000000" w:firstRow="0" w:lastRow="0" w:firstColumn="1" w:lastColumn="0" w:oddVBand="0" w:evenVBand="0" w:oddHBand="0" w:evenHBand="0" w:firstRowFirstColumn="0" w:firstRowLastColumn="0" w:lastRowFirstColumn="0" w:lastRowLastColumn="0"/>
            <w:tcW w:w="584" w:type="pct"/>
            <w:vMerge/>
          </w:tcPr>
          <w:p w14:paraId="3E450F92" w14:textId="77777777" w:rsidR="000F3F66" w:rsidRPr="00372426" w:rsidRDefault="000F3F66" w:rsidP="00DF64C7">
            <w:pPr>
              <w:pStyle w:val="Default"/>
              <w:spacing w:after="0" w:line="271" w:lineRule="auto"/>
              <w:rPr>
                <w:color w:val="FFFFFF" w:themeColor="background1"/>
                <w:sz w:val="20"/>
                <w:szCs w:val="20"/>
              </w:rPr>
            </w:pPr>
          </w:p>
        </w:tc>
        <w:tc>
          <w:tcPr>
            <w:tcW w:w="2252" w:type="pct"/>
          </w:tcPr>
          <w:p w14:paraId="7A731DEA" w14:textId="77777777" w:rsidR="000F3F66" w:rsidRPr="00457B63" w:rsidRDefault="000F3F66" w:rsidP="00DF64C7">
            <w:pPr>
              <w:jc w:val="left"/>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457B63">
              <w:rPr>
                <w:rFonts w:cs="Arial"/>
                <w:bCs/>
                <w:sz w:val="20"/>
                <w:szCs w:val="20"/>
              </w:rPr>
              <w:t>Liczba nauczycieli kształcenia zawodowego oraz instruktorów praktycznej nauki zawodu, którzy uzyskali kwalifikacje lub nabyli kompetencje po opuszczeniu programu</w:t>
            </w:r>
          </w:p>
        </w:tc>
        <w:tc>
          <w:tcPr>
            <w:tcW w:w="649" w:type="pct"/>
          </w:tcPr>
          <w:p w14:paraId="2D4F9DF5" w14:textId="77777777" w:rsidR="000F3F66" w:rsidRPr="00457B63" w:rsidRDefault="000F3F66" w:rsidP="00DF64C7">
            <w:pPr>
              <w:keepNext/>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Os.</w:t>
            </w:r>
          </w:p>
        </w:tc>
        <w:tc>
          <w:tcPr>
            <w:tcW w:w="609" w:type="pct"/>
          </w:tcPr>
          <w:p w14:paraId="626B94E5"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215</w:t>
            </w:r>
          </w:p>
        </w:tc>
        <w:tc>
          <w:tcPr>
            <w:tcW w:w="483" w:type="pct"/>
          </w:tcPr>
          <w:p w14:paraId="543C0DAD"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272</w:t>
            </w:r>
          </w:p>
        </w:tc>
        <w:tc>
          <w:tcPr>
            <w:tcW w:w="423" w:type="pct"/>
          </w:tcPr>
          <w:p w14:paraId="1EE582B0"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127</w:t>
            </w:r>
          </w:p>
        </w:tc>
      </w:tr>
      <w:tr w:rsidR="000F3F66" w:rsidRPr="00457B63" w14:paraId="02D07A07" w14:textId="77777777" w:rsidTr="007609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84" w:type="pct"/>
          </w:tcPr>
          <w:p w14:paraId="769B49AF" w14:textId="77777777" w:rsidR="000F3F66" w:rsidRPr="00372426" w:rsidRDefault="000F3F66" w:rsidP="00DF64C7">
            <w:pPr>
              <w:pStyle w:val="Default"/>
              <w:spacing w:after="0" w:line="271" w:lineRule="auto"/>
              <w:rPr>
                <w:color w:val="FFFFFF" w:themeColor="background1"/>
                <w:sz w:val="20"/>
                <w:szCs w:val="20"/>
              </w:rPr>
            </w:pPr>
            <w:r w:rsidRPr="00372426">
              <w:rPr>
                <w:color w:val="FFFFFF" w:themeColor="background1"/>
                <w:sz w:val="20"/>
                <w:szCs w:val="20"/>
              </w:rPr>
              <w:t>11.3</w:t>
            </w:r>
          </w:p>
        </w:tc>
        <w:tc>
          <w:tcPr>
            <w:tcW w:w="2252" w:type="pct"/>
          </w:tcPr>
          <w:p w14:paraId="3E66C226" w14:textId="77777777" w:rsidR="000F3F66" w:rsidRPr="00457B63" w:rsidRDefault="000F3F66"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57B63">
              <w:rPr>
                <w:bCs/>
                <w:sz w:val="20"/>
                <w:szCs w:val="20"/>
              </w:rPr>
              <w:t>Liczba osób, które uzyskały kwalifikacje w ramach pozaszkolnych form kształcenia</w:t>
            </w:r>
          </w:p>
        </w:tc>
        <w:tc>
          <w:tcPr>
            <w:tcW w:w="649" w:type="pct"/>
          </w:tcPr>
          <w:p w14:paraId="07330426" w14:textId="77777777" w:rsidR="000F3F66" w:rsidRPr="00457B63"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Os.</w:t>
            </w:r>
          </w:p>
        </w:tc>
        <w:tc>
          <w:tcPr>
            <w:tcW w:w="609" w:type="pct"/>
          </w:tcPr>
          <w:p w14:paraId="4B32DF33"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709</w:t>
            </w:r>
          </w:p>
        </w:tc>
        <w:tc>
          <w:tcPr>
            <w:tcW w:w="483" w:type="pct"/>
          </w:tcPr>
          <w:p w14:paraId="79A9869C"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17 724</w:t>
            </w:r>
          </w:p>
        </w:tc>
        <w:tc>
          <w:tcPr>
            <w:tcW w:w="423" w:type="pct"/>
          </w:tcPr>
          <w:p w14:paraId="779DFBC4"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2500</w:t>
            </w:r>
          </w:p>
        </w:tc>
      </w:tr>
      <w:tr w:rsidR="000F3F66" w:rsidRPr="00457B63" w14:paraId="1FBA5234" w14:textId="77777777" w:rsidTr="0076099D">
        <w:trPr>
          <w:trHeight w:val="170"/>
        </w:trPr>
        <w:tc>
          <w:tcPr>
            <w:cnfStyle w:val="001000000000" w:firstRow="0" w:lastRow="0" w:firstColumn="1" w:lastColumn="0" w:oddVBand="0" w:evenVBand="0" w:oddHBand="0" w:evenHBand="0" w:firstRowFirstColumn="0" w:firstRowLastColumn="0" w:lastRowFirstColumn="0" w:lastRowLastColumn="0"/>
            <w:tcW w:w="584" w:type="pct"/>
            <w:vMerge w:val="restart"/>
          </w:tcPr>
          <w:p w14:paraId="12E620B5" w14:textId="77777777" w:rsidR="000F3F66" w:rsidRPr="00372426" w:rsidRDefault="000F3F66" w:rsidP="00DF64C7">
            <w:pPr>
              <w:pStyle w:val="Default"/>
              <w:spacing w:after="0" w:line="271" w:lineRule="auto"/>
              <w:rPr>
                <w:b w:val="0"/>
                <w:bCs w:val="0"/>
                <w:color w:val="FFFFFF" w:themeColor="background1"/>
                <w:sz w:val="20"/>
                <w:szCs w:val="20"/>
              </w:rPr>
            </w:pPr>
            <w:r w:rsidRPr="00372426">
              <w:rPr>
                <w:color w:val="FFFFFF" w:themeColor="background1"/>
                <w:sz w:val="20"/>
                <w:szCs w:val="20"/>
              </w:rPr>
              <w:t>11.4</w:t>
            </w:r>
          </w:p>
          <w:p w14:paraId="21818225" w14:textId="77777777" w:rsidR="000F3F66" w:rsidRPr="00372426" w:rsidRDefault="000F3F66" w:rsidP="00DF64C7">
            <w:pPr>
              <w:pStyle w:val="Default"/>
              <w:spacing w:after="0" w:line="271" w:lineRule="auto"/>
              <w:rPr>
                <w:color w:val="FFFFFF" w:themeColor="background1"/>
                <w:sz w:val="20"/>
                <w:szCs w:val="20"/>
              </w:rPr>
            </w:pPr>
          </w:p>
        </w:tc>
        <w:tc>
          <w:tcPr>
            <w:tcW w:w="2252" w:type="pct"/>
          </w:tcPr>
          <w:p w14:paraId="006A8D60" w14:textId="77777777" w:rsidR="000F3F66" w:rsidRPr="00457B63" w:rsidRDefault="000F3F66"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7B63">
              <w:rPr>
                <w:bCs/>
                <w:sz w:val="20"/>
                <w:szCs w:val="20"/>
              </w:rPr>
              <w:t>Liczba osób o niskich kwalifikacjach, które uzyskały lub nabyły kompetencje po opuszczeniu programu</w:t>
            </w:r>
          </w:p>
        </w:tc>
        <w:tc>
          <w:tcPr>
            <w:tcW w:w="649" w:type="pct"/>
          </w:tcPr>
          <w:p w14:paraId="12BE5DBD" w14:textId="77777777" w:rsidR="000F3F66" w:rsidRPr="00457B63" w:rsidRDefault="000F3F66" w:rsidP="00DF64C7">
            <w:pPr>
              <w:keepNext/>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Os.</w:t>
            </w:r>
          </w:p>
        </w:tc>
        <w:tc>
          <w:tcPr>
            <w:tcW w:w="609" w:type="pct"/>
          </w:tcPr>
          <w:p w14:paraId="2C1EE88A"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9 247</w:t>
            </w:r>
          </w:p>
        </w:tc>
        <w:tc>
          <w:tcPr>
            <w:tcW w:w="483" w:type="pct"/>
          </w:tcPr>
          <w:p w14:paraId="38CBC30C"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2 283</w:t>
            </w:r>
          </w:p>
        </w:tc>
        <w:tc>
          <w:tcPr>
            <w:tcW w:w="423" w:type="pct"/>
          </w:tcPr>
          <w:p w14:paraId="7C067B6F"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25</w:t>
            </w:r>
          </w:p>
        </w:tc>
      </w:tr>
      <w:tr w:rsidR="000F3F66" w:rsidRPr="00457B63" w14:paraId="796E9AC9" w14:textId="77777777" w:rsidTr="007609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84" w:type="pct"/>
            <w:vMerge/>
          </w:tcPr>
          <w:p w14:paraId="49F0588D" w14:textId="77777777" w:rsidR="000F3F66" w:rsidRPr="00457B63" w:rsidRDefault="000F3F66" w:rsidP="00DF64C7">
            <w:pPr>
              <w:pStyle w:val="Default"/>
              <w:spacing w:after="0" w:line="271" w:lineRule="auto"/>
              <w:rPr>
                <w:sz w:val="20"/>
                <w:szCs w:val="20"/>
              </w:rPr>
            </w:pPr>
          </w:p>
        </w:tc>
        <w:tc>
          <w:tcPr>
            <w:tcW w:w="2252" w:type="pct"/>
          </w:tcPr>
          <w:p w14:paraId="2481F3E3" w14:textId="77777777" w:rsidR="000F3F66" w:rsidRPr="00457B63" w:rsidRDefault="000F3F66"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57B63">
              <w:rPr>
                <w:bCs/>
                <w:sz w:val="20"/>
                <w:szCs w:val="20"/>
              </w:rPr>
              <w:t>Liczba osób w wieku 50 lat i więcej, które uzyskały kwalifikacje lub nabyły kompetencje po opuszczeniu programu</w:t>
            </w:r>
          </w:p>
        </w:tc>
        <w:tc>
          <w:tcPr>
            <w:tcW w:w="649" w:type="pct"/>
          </w:tcPr>
          <w:p w14:paraId="28761D10" w14:textId="77777777" w:rsidR="000F3F66" w:rsidRPr="00457B63" w:rsidRDefault="000F3F66"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Os.</w:t>
            </w:r>
          </w:p>
        </w:tc>
        <w:tc>
          <w:tcPr>
            <w:tcW w:w="609" w:type="pct"/>
          </w:tcPr>
          <w:p w14:paraId="5645C13C"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2 176</w:t>
            </w:r>
          </w:p>
        </w:tc>
        <w:tc>
          <w:tcPr>
            <w:tcW w:w="483" w:type="pct"/>
          </w:tcPr>
          <w:p w14:paraId="4D12ED25"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758</w:t>
            </w:r>
          </w:p>
        </w:tc>
        <w:tc>
          <w:tcPr>
            <w:tcW w:w="423" w:type="pct"/>
          </w:tcPr>
          <w:p w14:paraId="6A206FD1" w14:textId="77777777" w:rsidR="000F3F66" w:rsidRPr="00457B63" w:rsidRDefault="000F3F66"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35</w:t>
            </w:r>
          </w:p>
        </w:tc>
      </w:tr>
      <w:tr w:rsidR="000F3F66" w:rsidRPr="00457B63" w14:paraId="5805C7BA" w14:textId="77777777" w:rsidTr="0076099D">
        <w:trPr>
          <w:trHeight w:val="170"/>
        </w:trPr>
        <w:tc>
          <w:tcPr>
            <w:cnfStyle w:val="001000000000" w:firstRow="0" w:lastRow="0" w:firstColumn="1" w:lastColumn="0" w:oddVBand="0" w:evenVBand="0" w:oddHBand="0" w:evenHBand="0" w:firstRowFirstColumn="0" w:firstRowLastColumn="0" w:lastRowFirstColumn="0" w:lastRowLastColumn="0"/>
            <w:tcW w:w="584" w:type="pct"/>
            <w:vMerge/>
          </w:tcPr>
          <w:p w14:paraId="23350682" w14:textId="77777777" w:rsidR="000F3F66" w:rsidRPr="00457B63" w:rsidRDefault="000F3F66" w:rsidP="00DF64C7">
            <w:pPr>
              <w:pStyle w:val="Default"/>
              <w:spacing w:after="0" w:line="271" w:lineRule="auto"/>
              <w:rPr>
                <w:sz w:val="20"/>
                <w:szCs w:val="20"/>
              </w:rPr>
            </w:pPr>
          </w:p>
        </w:tc>
        <w:tc>
          <w:tcPr>
            <w:tcW w:w="2252" w:type="pct"/>
          </w:tcPr>
          <w:p w14:paraId="44477BDF" w14:textId="77777777" w:rsidR="000F3F66" w:rsidRPr="00457B63" w:rsidRDefault="000F3F66" w:rsidP="00DF64C7">
            <w:pPr>
              <w:jc w:val="left"/>
              <w:cnfStyle w:val="000000000000" w:firstRow="0" w:lastRow="0" w:firstColumn="0" w:lastColumn="0" w:oddVBand="0" w:evenVBand="0" w:oddHBand="0" w:evenHBand="0" w:firstRowFirstColumn="0" w:firstRowLastColumn="0" w:lastRowFirstColumn="0" w:lastRowLastColumn="0"/>
              <w:rPr>
                <w:rFonts w:cs="Arial"/>
                <w:bCs/>
                <w:color w:val="000000"/>
                <w:sz w:val="20"/>
                <w:szCs w:val="20"/>
              </w:rPr>
            </w:pPr>
            <w:r w:rsidRPr="00457B63">
              <w:rPr>
                <w:rFonts w:cs="Arial"/>
                <w:bCs/>
                <w:sz w:val="20"/>
                <w:szCs w:val="20"/>
              </w:rPr>
              <w:t>Liczba osób w wieku 25 lat i więcej, które uzyskały kwalifikacje lub nabyły kompetencje po opuszczeniu programu</w:t>
            </w:r>
          </w:p>
        </w:tc>
        <w:tc>
          <w:tcPr>
            <w:tcW w:w="649" w:type="pct"/>
          </w:tcPr>
          <w:p w14:paraId="05680144" w14:textId="77777777" w:rsidR="000F3F66" w:rsidRPr="00457B63" w:rsidRDefault="000F3F66" w:rsidP="00DF64C7">
            <w:pPr>
              <w:keepNext/>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Os.</w:t>
            </w:r>
          </w:p>
        </w:tc>
        <w:tc>
          <w:tcPr>
            <w:tcW w:w="609" w:type="pct"/>
          </w:tcPr>
          <w:p w14:paraId="02054CB9"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8 704</w:t>
            </w:r>
          </w:p>
        </w:tc>
        <w:tc>
          <w:tcPr>
            <w:tcW w:w="483" w:type="pct"/>
          </w:tcPr>
          <w:p w14:paraId="205CFF78"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4 206</w:t>
            </w:r>
          </w:p>
        </w:tc>
        <w:tc>
          <w:tcPr>
            <w:tcW w:w="423" w:type="pct"/>
          </w:tcPr>
          <w:p w14:paraId="2AC16328" w14:textId="77777777" w:rsidR="000F3F66" w:rsidRPr="00457B63" w:rsidRDefault="000F3F66"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48</w:t>
            </w:r>
          </w:p>
        </w:tc>
      </w:tr>
    </w:tbl>
    <w:p w14:paraId="70CC0E5F" w14:textId="77777777" w:rsidR="000F3F66" w:rsidRDefault="000F3F66" w:rsidP="00DF64C7">
      <w:pPr>
        <w:pStyle w:val="podpisrdailustracji"/>
        <w:spacing w:line="271" w:lineRule="auto"/>
        <w:jc w:val="left"/>
      </w:pPr>
      <w:r>
        <w:t>Źródło: opracowanie własne na podstawie danych SL2014 (data dostępu: 30.09.2019 r.).</w:t>
      </w:r>
    </w:p>
    <w:p w14:paraId="5F50509D" w14:textId="77777777" w:rsidR="000F3F66" w:rsidRDefault="000F3F66" w:rsidP="00DF64C7">
      <w:pPr>
        <w:jc w:val="left"/>
      </w:pPr>
    </w:p>
    <w:p w14:paraId="27318BDA" w14:textId="77777777" w:rsidR="00846F83" w:rsidRDefault="00846F83" w:rsidP="00DF64C7">
      <w:pPr>
        <w:jc w:val="left"/>
      </w:pPr>
      <w:r>
        <w:t>Poniższe tabele przedstawiają wskaźniki produktu oraz rezultatu strategicznego określone dla działań realizowanych w ramach OP XII.</w:t>
      </w:r>
    </w:p>
    <w:p w14:paraId="32CEE47E" w14:textId="2F1FAE12" w:rsidR="00846F83" w:rsidRDefault="00846F83" w:rsidP="00DF64C7">
      <w:pPr>
        <w:pStyle w:val="Legenda"/>
        <w:spacing w:line="271" w:lineRule="auto"/>
        <w:jc w:val="left"/>
      </w:pPr>
      <w:r>
        <w:t xml:space="preserve">Tabela </w:t>
      </w:r>
      <w:r>
        <w:rPr>
          <w:noProof/>
        </w:rPr>
        <w:fldChar w:fldCharType="begin"/>
      </w:r>
      <w:r>
        <w:rPr>
          <w:noProof/>
        </w:rPr>
        <w:instrText xml:space="preserve"> SEQ Tabela \* ARABIC </w:instrText>
      </w:r>
      <w:r>
        <w:rPr>
          <w:noProof/>
        </w:rPr>
        <w:fldChar w:fldCharType="separate"/>
      </w:r>
      <w:r w:rsidR="00A8147E">
        <w:rPr>
          <w:noProof/>
        </w:rPr>
        <w:t>14</w:t>
      </w:r>
      <w:r>
        <w:rPr>
          <w:noProof/>
        </w:rPr>
        <w:fldChar w:fldCharType="end"/>
      </w:r>
      <w:r>
        <w:rPr>
          <w:noProof/>
        </w:rPr>
        <w:t>.</w:t>
      </w:r>
      <w:r>
        <w:t xml:space="preserve"> Wskaźnik rezultatu strategicznego </w:t>
      </w:r>
      <w:r w:rsidRPr="004919C7">
        <w:t xml:space="preserve">w ramach OP </w:t>
      </w:r>
      <w:r>
        <w:t>XII</w:t>
      </w:r>
      <w:r w:rsidRPr="004919C7">
        <w:t xml:space="preserve"> RPO WS</w:t>
      </w:r>
      <w:r>
        <w:t>L</w:t>
      </w:r>
      <w:r w:rsidRPr="004919C7">
        <w:t xml:space="preserve"> 2014-2020</w:t>
      </w:r>
    </w:p>
    <w:tbl>
      <w:tblPr>
        <w:tblStyle w:val="redniasiatka3akcent6"/>
        <w:tblW w:w="5000" w:type="pct"/>
        <w:tblLook w:val="04A0" w:firstRow="1" w:lastRow="0" w:firstColumn="1" w:lastColumn="0" w:noHBand="0" w:noVBand="1"/>
        <w:tblDescription w:val="W tabeli przedstawiono odsetek dzieci w wieku 3-5 lat objętych wychowaniem przedszkolnym w woj. śląskim w latach 2016-2018. Wskazano w niej również wartość bazową z roku 2015 oraz wartość docelową na rok 2023."/>
      </w:tblPr>
      <w:tblGrid>
        <w:gridCol w:w="2240"/>
        <w:gridCol w:w="1479"/>
        <w:gridCol w:w="1278"/>
        <w:gridCol w:w="1434"/>
        <w:gridCol w:w="874"/>
        <w:gridCol w:w="874"/>
        <w:gridCol w:w="871"/>
      </w:tblGrid>
      <w:tr w:rsidR="00846F83" w:rsidRPr="00457B63" w14:paraId="114CDDC3" w14:textId="77777777" w:rsidTr="007B5F7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238" w:type="pct"/>
          </w:tcPr>
          <w:p w14:paraId="46207563" w14:textId="77777777" w:rsidR="00846F83" w:rsidRPr="00457B63" w:rsidRDefault="00846F83" w:rsidP="00DF64C7">
            <w:pPr>
              <w:keepNext/>
              <w:jc w:val="left"/>
              <w:rPr>
                <w:rFonts w:cs="Arial"/>
                <w:b w:val="0"/>
                <w:sz w:val="20"/>
                <w:szCs w:val="20"/>
              </w:rPr>
            </w:pPr>
            <w:r w:rsidRPr="00457B63">
              <w:rPr>
                <w:rFonts w:cs="Arial"/>
                <w:sz w:val="20"/>
                <w:szCs w:val="20"/>
              </w:rPr>
              <w:t>Wskaźnik</w:t>
            </w:r>
          </w:p>
        </w:tc>
        <w:tc>
          <w:tcPr>
            <w:tcW w:w="817" w:type="pct"/>
          </w:tcPr>
          <w:p w14:paraId="664438F8" w14:textId="77777777" w:rsidR="00846F83" w:rsidRPr="00457B63"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Jednostka miary</w:t>
            </w:r>
          </w:p>
        </w:tc>
        <w:tc>
          <w:tcPr>
            <w:tcW w:w="706" w:type="pct"/>
          </w:tcPr>
          <w:p w14:paraId="624A7269" w14:textId="77777777" w:rsidR="00846F83" w:rsidRPr="00457B63"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Wartość bazowa</w:t>
            </w:r>
          </w:p>
          <w:p w14:paraId="5D140AB2" w14:textId="77777777" w:rsidR="00846F83" w:rsidRPr="00457B63"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(2015 r.)</w:t>
            </w:r>
          </w:p>
        </w:tc>
        <w:tc>
          <w:tcPr>
            <w:tcW w:w="792" w:type="pct"/>
          </w:tcPr>
          <w:p w14:paraId="64EB45B9" w14:textId="77777777" w:rsidR="00846F83" w:rsidRPr="00457B63"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Wartość docelowa</w:t>
            </w:r>
          </w:p>
          <w:p w14:paraId="30DEBC19" w14:textId="77777777" w:rsidR="00846F83" w:rsidRPr="00CE2A50"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CE2A50">
              <w:rPr>
                <w:rFonts w:cs="Arial"/>
                <w:sz w:val="20"/>
                <w:szCs w:val="20"/>
              </w:rPr>
              <w:t>(2023 r.)</w:t>
            </w:r>
          </w:p>
        </w:tc>
        <w:tc>
          <w:tcPr>
            <w:tcW w:w="483" w:type="pct"/>
          </w:tcPr>
          <w:p w14:paraId="6BE2E884" w14:textId="77777777" w:rsidR="00846F83" w:rsidRPr="00457B63"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2016</w:t>
            </w:r>
          </w:p>
        </w:tc>
        <w:tc>
          <w:tcPr>
            <w:tcW w:w="483" w:type="pct"/>
          </w:tcPr>
          <w:p w14:paraId="7AFEFD32" w14:textId="77777777" w:rsidR="00846F83" w:rsidRPr="00457B63"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2017</w:t>
            </w:r>
          </w:p>
        </w:tc>
        <w:tc>
          <w:tcPr>
            <w:tcW w:w="483" w:type="pct"/>
          </w:tcPr>
          <w:p w14:paraId="23446113" w14:textId="77777777" w:rsidR="00846F83" w:rsidRPr="00457B63"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2018</w:t>
            </w:r>
          </w:p>
        </w:tc>
      </w:tr>
      <w:tr w:rsidR="00846F83" w:rsidRPr="00457B63" w14:paraId="3DAC6B70" w14:textId="77777777" w:rsidTr="001B2A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38" w:type="pct"/>
          </w:tcPr>
          <w:p w14:paraId="4CE43CBC" w14:textId="77777777" w:rsidR="00846F83" w:rsidRPr="00457B63" w:rsidRDefault="00846F83" w:rsidP="00DF64C7">
            <w:pPr>
              <w:pStyle w:val="Default"/>
              <w:spacing w:after="0" w:line="271" w:lineRule="auto"/>
              <w:rPr>
                <w:b w:val="0"/>
                <w:sz w:val="20"/>
                <w:szCs w:val="20"/>
              </w:rPr>
            </w:pPr>
            <w:r w:rsidRPr="007E37EA">
              <w:rPr>
                <w:b w:val="0"/>
                <w:color w:val="FFFFFF" w:themeColor="background1"/>
                <w:sz w:val="20"/>
                <w:szCs w:val="20"/>
              </w:rPr>
              <w:t>Odsetek dzieci w wieku 3-5 lat objętych wychowaniem przedszkolnym</w:t>
            </w:r>
          </w:p>
        </w:tc>
        <w:tc>
          <w:tcPr>
            <w:tcW w:w="817" w:type="pct"/>
          </w:tcPr>
          <w:p w14:paraId="6AFAC94B" w14:textId="77777777" w:rsidR="00846F83" w:rsidRPr="00457B63" w:rsidRDefault="00846F83"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w:t>
            </w:r>
          </w:p>
        </w:tc>
        <w:tc>
          <w:tcPr>
            <w:tcW w:w="706" w:type="pct"/>
          </w:tcPr>
          <w:p w14:paraId="320929A6"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87,90</w:t>
            </w:r>
          </w:p>
        </w:tc>
        <w:tc>
          <w:tcPr>
            <w:tcW w:w="792" w:type="pct"/>
          </w:tcPr>
          <w:p w14:paraId="248F9242"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96,30</w:t>
            </w:r>
          </w:p>
        </w:tc>
        <w:tc>
          <w:tcPr>
            <w:tcW w:w="483" w:type="pct"/>
          </w:tcPr>
          <w:p w14:paraId="32EAB65C"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82,8</w:t>
            </w:r>
          </w:p>
        </w:tc>
        <w:tc>
          <w:tcPr>
            <w:tcW w:w="483" w:type="pct"/>
          </w:tcPr>
          <w:p w14:paraId="7162ACBA"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86,4</w:t>
            </w:r>
          </w:p>
        </w:tc>
        <w:tc>
          <w:tcPr>
            <w:tcW w:w="483" w:type="pct"/>
          </w:tcPr>
          <w:p w14:paraId="71895C72"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89,0</w:t>
            </w:r>
          </w:p>
        </w:tc>
      </w:tr>
      <w:tr w:rsidR="00846F83" w:rsidRPr="00457B63" w14:paraId="1679918F" w14:textId="77777777" w:rsidTr="001B2A0E">
        <w:trPr>
          <w:trHeight w:val="397"/>
        </w:trPr>
        <w:tc>
          <w:tcPr>
            <w:cnfStyle w:val="001000000000" w:firstRow="0" w:lastRow="0" w:firstColumn="1" w:lastColumn="0" w:oddVBand="0" w:evenVBand="0" w:oddHBand="0" w:evenHBand="0" w:firstRowFirstColumn="0" w:firstRowLastColumn="0" w:lastRowFirstColumn="0" w:lastRowLastColumn="0"/>
            <w:tcW w:w="1238" w:type="pct"/>
            <w:tcBorders>
              <w:bottom w:val="single" w:sz="8" w:space="0" w:color="FFFFFF" w:themeColor="background1"/>
            </w:tcBorders>
          </w:tcPr>
          <w:p w14:paraId="1AA2826E" w14:textId="77777777" w:rsidR="00846F83" w:rsidRPr="007E37EA" w:rsidRDefault="00846F83" w:rsidP="00DF64C7">
            <w:pPr>
              <w:pStyle w:val="Default"/>
              <w:spacing w:after="0" w:line="271" w:lineRule="auto"/>
              <w:rPr>
                <w:b w:val="0"/>
                <w:color w:val="FFFFFF" w:themeColor="background1"/>
                <w:sz w:val="20"/>
                <w:szCs w:val="20"/>
              </w:rPr>
            </w:pPr>
            <w:r w:rsidRPr="00846F83">
              <w:rPr>
                <w:b w:val="0"/>
                <w:color w:val="FFFFFF" w:themeColor="background1"/>
                <w:sz w:val="20"/>
                <w:szCs w:val="20"/>
              </w:rPr>
              <w:t>Zdawalność egzaminów zawodowych w województwie śląskim</w:t>
            </w:r>
          </w:p>
        </w:tc>
        <w:tc>
          <w:tcPr>
            <w:tcW w:w="81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14:paraId="67726829" w14:textId="77777777" w:rsidR="00846F83" w:rsidRPr="00457B63" w:rsidRDefault="00846F83" w:rsidP="00DF64C7">
            <w:pPr>
              <w:keepNext/>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c>
          <w:tcPr>
            <w:tcW w:w="70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14:paraId="2B12E18F" w14:textId="77777777" w:rsidR="00846F83" w:rsidRPr="00457B63" w:rsidRDefault="00846F83"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77,06</w:t>
            </w:r>
          </w:p>
        </w:tc>
        <w:tc>
          <w:tcPr>
            <w:tcW w:w="79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14:paraId="0E63FDAC" w14:textId="77777777" w:rsidR="00846F83" w:rsidRPr="00457B63" w:rsidRDefault="00846F83"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85,04</w:t>
            </w:r>
          </w:p>
        </w:tc>
        <w:tc>
          <w:tcPr>
            <w:tcW w:w="4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14:paraId="2D077758" w14:textId="77777777" w:rsidR="00846F83" w:rsidRPr="00457B63" w:rsidRDefault="00846F83"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75,26</w:t>
            </w:r>
          </w:p>
        </w:tc>
        <w:tc>
          <w:tcPr>
            <w:tcW w:w="4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14:paraId="127A25DE" w14:textId="77777777" w:rsidR="00846F83" w:rsidRPr="00457B63" w:rsidRDefault="00846F83"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77,33</w:t>
            </w:r>
          </w:p>
        </w:tc>
        <w:tc>
          <w:tcPr>
            <w:tcW w:w="4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14:paraId="730B6048" w14:textId="77777777" w:rsidR="00846F83" w:rsidRPr="00457B63" w:rsidRDefault="00846F83" w:rsidP="00111C87">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76,12</w:t>
            </w:r>
          </w:p>
        </w:tc>
      </w:tr>
      <w:tr w:rsidR="00846F83" w:rsidRPr="00457B63" w14:paraId="0471D319" w14:textId="77777777" w:rsidTr="001B2A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38" w:type="pct"/>
          </w:tcPr>
          <w:p w14:paraId="50D1E7E6" w14:textId="77777777" w:rsidR="00846F83" w:rsidRPr="007E37EA" w:rsidRDefault="00846F83" w:rsidP="00DF64C7">
            <w:pPr>
              <w:pStyle w:val="Default"/>
              <w:spacing w:after="0" w:line="271" w:lineRule="auto"/>
              <w:rPr>
                <w:b w:val="0"/>
                <w:color w:val="FFFFFF" w:themeColor="background1"/>
                <w:sz w:val="20"/>
                <w:szCs w:val="20"/>
              </w:rPr>
            </w:pPr>
            <w:r w:rsidRPr="00846F83">
              <w:rPr>
                <w:b w:val="0"/>
                <w:color w:val="FFFFFF" w:themeColor="background1"/>
                <w:sz w:val="20"/>
                <w:szCs w:val="20"/>
              </w:rPr>
              <w:t xml:space="preserve">Liczba  osób odwiedzających  instytucje  paramuzealne,  w  </w:t>
            </w:r>
            <w:r w:rsidR="005243B5" w:rsidRPr="00846F83">
              <w:rPr>
                <w:b w:val="0"/>
                <w:color w:val="FFFFFF" w:themeColor="background1"/>
                <w:sz w:val="20"/>
                <w:szCs w:val="20"/>
              </w:rPr>
              <w:t>tym młodzież</w:t>
            </w:r>
            <w:r w:rsidRPr="00846F83">
              <w:rPr>
                <w:b w:val="0"/>
                <w:color w:val="FFFFFF" w:themeColor="background1"/>
                <w:sz w:val="20"/>
                <w:szCs w:val="20"/>
              </w:rPr>
              <w:t xml:space="preserve">  szko</w:t>
            </w:r>
            <w:r>
              <w:rPr>
                <w:b w:val="0"/>
                <w:color w:val="FFFFFF" w:themeColor="background1"/>
                <w:sz w:val="20"/>
                <w:szCs w:val="20"/>
              </w:rPr>
              <w:t>lna  w  zorganizowanych grupach</w:t>
            </w:r>
          </w:p>
        </w:tc>
        <w:tc>
          <w:tcPr>
            <w:tcW w:w="817" w:type="pct"/>
          </w:tcPr>
          <w:p w14:paraId="1FBA514D" w14:textId="77777777" w:rsidR="00846F83" w:rsidRPr="00457B63" w:rsidRDefault="00846F83"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tys. osób</w:t>
            </w:r>
          </w:p>
        </w:tc>
        <w:tc>
          <w:tcPr>
            <w:tcW w:w="706" w:type="pct"/>
          </w:tcPr>
          <w:p w14:paraId="49CDBC48"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346,20</w:t>
            </w:r>
          </w:p>
        </w:tc>
        <w:tc>
          <w:tcPr>
            <w:tcW w:w="792" w:type="pct"/>
          </w:tcPr>
          <w:p w14:paraId="74BCF0AB"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587,70</w:t>
            </w:r>
          </w:p>
        </w:tc>
        <w:tc>
          <w:tcPr>
            <w:tcW w:w="483" w:type="pct"/>
          </w:tcPr>
          <w:p w14:paraId="0F69BA26"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195,20</w:t>
            </w:r>
          </w:p>
        </w:tc>
        <w:tc>
          <w:tcPr>
            <w:tcW w:w="483" w:type="pct"/>
          </w:tcPr>
          <w:p w14:paraId="6616F82D" w14:textId="77777777" w:rsidR="00846F83" w:rsidRPr="00457B63" w:rsidRDefault="00846F83"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Brak danych</w:t>
            </w:r>
          </w:p>
        </w:tc>
        <w:tc>
          <w:tcPr>
            <w:tcW w:w="483" w:type="pct"/>
          </w:tcPr>
          <w:p w14:paraId="1A3BD547" w14:textId="77777777" w:rsidR="00846F83" w:rsidRPr="00457B63" w:rsidRDefault="00846F83"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Brak danych</w:t>
            </w:r>
          </w:p>
        </w:tc>
      </w:tr>
    </w:tbl>
    <w:p w14:paraId="1DBC1271" w14:textId="77777777" w:rsidR="00846F83" w:rsidRPr="00383E5F" w:rsidRDefault="00846F83" w:rsidP="00DF64C7">
      <w:pPr>
        <w:pStyle w:val="podpisrdailustracji"/>
        <w:spacing w:line="271" w:lineRule="auto"/>
        <w:jc w:val="left"/>
      </w:pPr>
      <w:r>
        <w:t>Źródło: opracowanie własne na podstawie danych BDL GUS oraz Sprawozdań rocznych z wdrażania w ramach celu "Inwestycje na rzecz wzrostu gospodarczego i zatrudnienia”</w:t>
      </w:r>
    </w:p>
    <w:p w14:paraId="531C40E8" w14:textId="6606FABD" w:rsidR="00846F83" w:rsidRDefault="00846F83" w:rsidP="00DF64C7">
      <w:pPr>
        <w:pStyle w:val="Legenda"/>
        <w:spacing w:line="271" w:lineRule="auto"/>
        <w:jc w:val="left"/>
      </w:pPr>
      <w:r w:rsidRPr="004919C7">
        <w:t xml:space="preserve">Tabela </w:t>
      </w:r>
      <w:r>
        <w:rPr>
          <w:noProof/>
        </w:rPr>
        <w:fldChar w:fldCharType="begin"/>
      </w:r>
      <w:r>
        <w:rPr>
          <w:noProof/>
        </w:rPr>
        <w:instrText xml:space="preserve"> SEQ Tabela \* ARABIC </w:instrText>
      </w:r>
      <w:r>
        <w:rPr>
          <w:noProof/>
        </w:rPr>
        <w:fldChar w:fldCharType="separate"/>
      </w:r>
      <w:r w:rsidR="00A8147E">
        <w:rPr>
          <w:noProof/>
        </w:rPr>
        <w:t>15</w:t>
      </w:r>
      <w:r>
        <w:rPr>
          <w:noProof/>
        </w:rPr>
        <w:fldChar w:fldCharType="end"/>
      </w:r>
      <w:r>
        <w:rPr>
          <w:noProof/>
        </w:rPr>
        <w:t>.</w:t>
      </w:r>
      <w:r w:rsidRPr="004919C7">
        <w:t xml:space="preserve"> Wartość wskaźników </w:t>
      </w:r>
      <w:r>
        <w:t xml:space="preserve">produktu </w:t>
      </w:r>
      <w:r w:rsidRPr="004919C7">
        <w:t xml:space="preserve">w ramach OP </w:t>
      </w:r>
      <w:r>
        <w:t>XII</w:t>
      </w:r>
      <w:r w:rsidRPr="004919C7">
        <w:t xml:space="preserve"> RPO WS</w:t>
      </w:r>
      <w:r>
        <w:t>L</w:t>
      </w:r>
      <w:r w:rsidRPr="004919C7">
        <w:t xml:space="preserve"> 2014-2020</w:t>
      </w:r>
    </w:p>
    <w:tbl>
      <w:tblPr>
        <w:tblStyle w:val="redniasiatka3akcent6"/>
        <w:tblW w:w="5000" w:type="pct"/>
        <w:tblLook w:val="04A0" w:firstRow="1" w:lastRow="0" w:firstColumn="1" w:lastColumn="0" w:noHBand="0" w:noVBand="1"/>
        <w:tblCaption w:val="Wartość wskaźników produktu w ramach OP XII RPO WSL 2014-2020"/>
        <w:tblDescription w:val="Tabela przedstawia wartość wskaźników produktu w ramach OP XII RPO WSL 2014-2020, w tym wartość docelową na rok 2023 i wartość na rok 2019 (w tym udział procentowy)."/>
      </w:tblPr>
      <w:tblGrid>
        <w:gridCol w:w="1083"/>
        <w:gridCol w:w="3158"/>
        <w:gridCol w:w="1333"/>
        <w:gridCol w:w="1820"/>
        <w:gridCol w:w="882"/>
        <w:gridCol w:w="774"/>
      </w:tblGrid>
      <w:tr w:rsidR="00846F83" w:rsidRPr="00457B63" w14:paraId="5F736283" w14:textId="77777777" w:rsidTr="007B5F7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45" w:type="pct"/>
          </w:tcPr>
          <w:p w14:paraId="7DF2E589" w14:textId="77777777" w:rsidR="00846F83" w:rsidRPr="00457B63" w:rsidRDefault="00846F83" w:rsidP="00DF64C7">
            <w:pPr>
              <w:keepNext/>
              <w:jc w:val="left"/>
              <w:rPr>
                <w:rFonts w:cs="Arial"/>
                <w:sz w:val="20"/>
                <w:szCs w:val="20"/>
              </w:rPr>
            </w:pPr>
            <w:r w:rsidRPr="00457B63">
              <w:rPr>
                <w:rFonts w:cs="Arial"/>
                <w:sz w:val="20"/>
                <w:szCs w:val="20"/>
              </w:rPr>
              <w:t>Działanie</w:t>
            </w:r>
          </w:p>
        </w:tc>
        <w:tc>
          <w:tcPr>
            <w:tcW w:w="1756" w:type="pct"/>
          </w:tcPr>
          <w:p w14:paraId="6A5CB021" w14:textId="77777777" w:rsidR="00846F83" w:rsidRPr="00457B63"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Wskaźnik</w:t>
            </w:r>
            <w:r>
              <w:rPr>
                <w:rFonts w:cs="Arial"/>
                <w:sz w:val="20"/>
                <w:szCs w:val="20"/>
              </w:rPr>
              <w:t xml:space="preserve"> produkt</w:t>
            </w:r>
            <w:r w:rsidRPr="00457B63">
              <w:rPr>
                <w:rFonts w:cs="Arial"/>
                <w:sz w:val="20"/>
                <w:szCs w:val="20"/>
              </w:rPr>
              <w:t>u</w:t>
            </w:r>
          </w:p>
        </w:tc>
        <w:tc>
          <w:tcPr>
            <w:tcW w:w="747" w:type="pct"/>
          </w:tcPr>
          <w:p w14:paraId="00DDC978" w14:textId="77777777" w:rsidR="00846F83" w:rsidRPr="00457B63"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Jednostka miary</w:t>
            </w:r>
          </w:p>
        </w:tc>
        <w:tc>
          <w:tcPr>
            <w:tcW w:w="1016" w:type="pct"/>
          </w:tcPr>
          <w:p w14:paraId="5786AE26" w14:textId="77777777" w:rsidR="00846F83" w:rsidRPr="00457B63"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Wartość docelowa</w:t>
            </w:r>
          </w:p>
          <w:p w14:paraId="64D3D26D" w14:textId="77777777" w:rsidR="00846F83" w:rsidRPr="00CE2A50"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CE2A50">
              <w:rPr>
                <w:rFonts w:cs="Arial"/>
                <w:sz w:val="20"/>
                <w:szCs w:val="20"/>
              </w:rPr>
              <w:t>(2023 r.)</w:t>
            </w:r>
          </w:p>
        </w:tc>
        <w:tc>
          <w:tcPr>
            <w:tcW w:w="498" w:type="pct"/>
          </w:tcPr>
          <w:p w14:paraId="2D3C971C" w14:textId="77777777" w:rsidR="00846F83" w:rsidRPr="00457B63"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2019</w:t>
            </w:r>
          </w:p>
        </w:tc>
        <w:tc>
          <w:tcPr>
            <w:tcW w:w="438" w:type="pct"/>
          </w:tcPr>
          <w:p w14:paraId="087DDC26" w14:textId="77777777" w:rsidR="00846F83" w:rsidRPr="00457B63" w:rsidRDefault="00846F83"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w:t>
            </w:r>
          </w:p>
        </w:tc>
      </w:tr>
      <w:tr w:rsidR="00846F83" w:rsidRPr="00457B63" w14:paraId="1FA6F814" w14:textId="77777777" w:rsidTr="001B2A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5" w:type="pct"/>
          </w:tcPr>
          <w:p w14:paraId="68972B15" w14:textId="77777777" w:rsidR="00846F83" w:rsidRPr="007E37EA" w:rsidRDefault="00846F83" w:rsidP="00DF64C7">
            <w:pPr>
              <w:pStyle w:val="Default"/>
              <w:spacing w:after="0" w:line="271" w:lineRule="auto"/>
              <w:rPr>
                <w:color w:val="FFFFFF" w:themeColor="background1"/>
                <w:sz w:val="20"/>
                <w:szCs w:val="20"/>
              </w:rPr>
            </w:pPr>
            <w:r w:rsidRPr="007E37EA">
              <w:rPr>
                <w:color w:val="FFFFFF" w:themeColor="background1"/>
                <w:sz w:val="20"/>
                <w:szCs w:val="20"/>
              </w:rPr>
              <w:t>12.1</w:t>
            </w:r>
          </w:p>
          <w:p w14:paraId="0A5CA943" w14:textId="77777777" w:rsidR="00846F83" w:rsidRPr="007E37EA" w:rsidRDefault="00846F83" w:rsidP="00DF64C7">
            <w:pPr>
              <w:pStyle w:val="Default"/>
              <w:spacing w:after="0" w:line="271" w:lineRule="auto"/>
              <w:rPr>
                <w:color w:val="FFFFFF" w:themeColor="background1"/>
                <w:sz w:val="20"/>
                <w:szCs w:val="20"/>
              </w:rPr>
            </w:pPr>
            <w:r w:rsidRPr="007E37EA">
              <w:rPr>
                <w:color w:val="FFFFFF" w:themeColor="background1"/>
                <w:sz w:val="20"/>
                <w:szCs w:val="20"/>
              </w:rPr>
              <w:t>12.2</w:t>
            </w:r>
          </w:p>
        </w:tc>
        <w:tc>
          <w:tcPr>
            <w:tcW w:w="1756" w:type="pct"/>
          </w:tcPr>
          <w:p w14:paraId="1FD620A5" w14:textId="77777777" w:rsidR="00846F83" w:rsidRPr="00457B63" w:rsidRDefault="00846F83"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57B63">
              <w:rPr>
                <w:bCs/>
                <w:color w:val="000000" w:themeColor="text1"/>
                <w:sz w:val="20"/>
                <w:szCs w:val="20"/>
              </w:rPr>
              <w:t>Potencjał objętej wsparciem infrastruktury w zakresie opieki nad dziećmi lub infrastruktury edukacyjnej</w:t>
            </w:r>
          </w:p>
        </w:tc>
        <w:tc>
          <w:tcPr>
            <w:tcW w:w="747" w:type="pct"/>
          </w:tcPr>
          <w:p w14:paraId="74AF2158" w14:textId="77777777" w:rsidR="00846F83" w:rsidRPr="00457B63" w:rsidRDefault="00846F83" w:rsidP="00DF64C7">
            <w:pPr>
              <w:keepNext/>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Os.</w:t>
            </w:r>
          </w:p>
        </w:tc>
        <w:tc>
          <w:tcPr>
            <w:tcW w:w="1016" w:type="pct"/>
          </w:tcPr>
          <w:p w14:paraId="7D9F3124"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32 329</w:t>
            </w:r>
          </w:p>
        </w:tc>
        <w:tc>
          <w:tcPr>
            <w:tcW w:w="498" w:type="pct"/>
          </w:tcPr>
          <w:p w14:paraId="5F2D1BCD"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12 883</w:t>
            </w:r>
          </w:p>
        </w:tc>
        <w:tc>
          <w:tcPr>
            <w:tcW w:w="438" w:type="pct"/>
          </w:tcPr>
          <w:p w14:paraId="60906CB3"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40</w:t>
            </w:r>
          </w:p>
        </w:tc>
      </w:tr>
      <w:tr w:rsidR="00846F83" w:rsidRPr="00457B63" w14:paraId="7A383935" w14:textId="77777777" w:rsidTr="001B2A0E">
        <w:trPr>
          <w:trHeight w:val="20"/>
        </w:trPr>
        <w:tc>
          <w:tcPr>
            <w:cnfStyle w:val="001000000000" w:firstRow="0" w:lastRow="0" w:firstColumn="1" w:lastColumn="0" w:oddVBand="0" w:evenVBand="0" w:oddHBand="0" w:evenHBand="0" w:firstRowFirstColumn="0" w:firstRowLastColumn="0" w:lastRowFirstColumn="0" w:lastRowLastColumn="0"/>
            <w:tcW w:w="545" w:type="pct"/>
          </w:tcPr>
          <w:p w14:paraId="6387E411" w14:textId="77777777" w:rsidR="00846F83" w:rsidRPr="007E37EA" w:rsidRDefault="00846F83" w:rsidP="00DF64C7">
            <w:pPr>
              <w:pStyle w:val="Default"/>
              <w:spacing w:after="0" w:line="271" w:lineRule="auto"/>
              <w:rPr>
                <w:color w:val="FFFFFF" w:themeColor="background1"/>
                <w:sz w:val="20"/>
                <w:szCs w:val="20"/>
              </w:rPr>
            </w:pPr>
            <w:r w:rsidRPr="007E37EA">
              <w:rPr>
                <w:color w:val="FFFFFF" w:themeColor="background1"/>
                <w:sz w:val="20"/>
                <w:szCs w:val="20"/>
              </w:rPr>
              <w:t>12.1</w:t>
            </w:r>
          </w:p>
        </w:tc>
        <w:tc>
          <w:tcPr>
            <w:tcW w:w="1756" w:type="pct"/>
          </w:tcPr>
          <w:p w14:paraId="6F4540FB" w14:textId="77777777" w:rsidR="00846F83" w:rsidRPr="00457B63" w:rsidRDefault="00846F83"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7B63">
              <w:rPr>
                <w:bCs/>
                <w:color w:val="000000" w:themeColor="text1"/>
                <w:sz w:val="20"/>
                <w:szCs w:val="20"/>
              </w:rPr>
              <w:t>Liczba wspartych obiektów infrastruktury przedszkolnej</w:t>
            </w:r>
          </w:p>
        </w:tc>
        <w:tc>
          <w:tcPr>
            <w:tcW w:w="747" w:type="pct"/>
          </w:tcPr>
          <w:p w14:paraId="4EDAD119" w14:textId="77777777" w:rsidR="00846F83" w:rsidRPr="00457B63" w:rsidRDefault="00846F83" w:rsidP="00DF64C7">
            <w:pPr>
              <w:keepNext/>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Szt.</w:t>
            </w:r>
          </w:p>
        </w:tc>
        <w:tc>
          <w:tcPr>
            <w:tcW w:w="1016" w:type="pct"/>
          </w:tcPr>
          <w:p w14:paraId="3B9485EC" w14:textId="77777777" w:rsidR="00846F83" w:rsidRPr="00457B63" w:rsidRDefault="00846F83" w:rsidP="00111C87">
            <w:pPr>
              <w:keepNext/>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50</w:t>
            </w:r>
          </w:p>
        </w:tc>
        <w:tc>
          <w:tcPr>
            <w:tcW w:w="498" w:type="pct"/>
          </w:tcPr>
          <w:p w14:paraId="4BE28068" w14:textId="77777777" w:rsidR="00846F83" w:rsidRPr="00457B63" w:rsidRDefault="00846F83" w:rsidP="00111C87">
            <w:pPr>
              <w:keepNext/>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37</w:t>
            </w:r>
          </w:p>
        </w:tc>
        <w:tc>
          <w:tcPr>
            <w:tcW w:w="438" w:type="pct"/>
          </w:tcPr>
          <w:p w14:paraId="4B64EF2C" w14:textId="77777777" w:rsidR="00846F83" w:rsidRPr="00457B63" w:rsidRDefault="00846F83" w:rsidP="00111C87">
            <w:pPr>
              <w:keepNext/>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457B63">
              <w:rPr>
                <w:rFonts w:cs="Arial"/>
                <w:bCs/>
                <w:color w:val="000000" w:themeColor="text1"/>
                <w:sz w:val="20"/>
                <w:szCs w:val="20"/>
              </w:rPr>
              <w:t>74</w:t>
            </w:r>
          </w:p>
        </w:tc>
      </w:tr>
      <w:tr w:rsidR="00846F83" w:rsidRPr="00457B63" w14:paraId="48337F8A" w14:textId="77777777" w:rsidTr="001B2A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5" w:type="pct"/>
          </w:tcPr>
          <w:p w14:paraId="59F7985E" w14:textId="77777777" w:rsidR="00846F83" w:rsidRPr="007E37EA" w:rsidRDefault="00846F83" w:rsidP="00DF64C7">
            <w:pPr>
              <w:pStyle w:val="Default"/>
              <w:spacing w:after="0" w:line="271" w:lineRule="auto"/>
              <w:rPr>
                <w:color w:val="FFFFFF" w:themeColor="background1"/>
                <w:sz w:val="20"/>
                <w:szCs w:val="20"/>
              </w:rPr>
            </w:pPr>
            <w:r w:rsidRPr="007E37EA">
              <w:rPr>
                <w:color w:val="FFFFFF" w:themeColor="background1"/>
                <w:sz w:val="20"/>
                <w:szCs w:val="20"/>
              </w:rPr>
              <w:t>12.2</w:t>
            </w:r>
          </w:p>
        </w:tc>
        <w:tc>
          <w:tcPr>
            <w:tcW w:w="1756" w:type="pct"/>
          </w:tcPr>
          <w:p w14:paraId="0A9D4091" w14:textId="77777777" w:rsidR="00846F83" w:rsidRPr="00457B63" w:rsidRDefault="00846F83"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57B63">
              <w:rPr>
                <w:bCs/>
                <w:color w:val="000000" w:themeColor="text1"/>
                <w:sz w:val="20"/>
                <w:szCs w:val="20"/>
              </w:rPr>
              <w:t>Liczba wspartych obiektów infrastruktury kształcenia zawodowego</w:t>
            </w:r>
          </w:p>
        </w:tc>
        <w:tc>
          <w:tcPr>
            <w:tcW w:w="747" w:type="pct"/>
          </w:tcPr>
          <w:p w14:paraId="4DC2BC2A" w14:textId="77777777" w:rsidR="00846F83" w:rsidRPr="00457B63" w:rsidRDefault="00846F83" w:rsidP="00DF64C7">
            <w:pPr>
              <w:keepNext/>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Szt.</w:t>
            </w:r>
          </w:p>
        </w:tc>
        <w:tc>
          <w:tcPr>
            <w:tcW w:w="1016" w:type="pct"/>
          </w:tcPr>
          <w:p w14:paraId="42B967A8" w14:textId="77777777" w:rsidR="00846F83" w:rsidRPr="00457B63" w:rsidRDefault="00846F83" w:rsidP="00111C87">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52</w:t>
            </w:r>
          </w:p>
        </w:tc>
        <w:tc>
          <w:tcPr>
            <w:tcW w:w="498" w:type="pct"/>
          </w:tcPr>
          <w:p w14:paraId="5DCA6E0C"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42</w:t>
            </w:r>
          </w:p>
        </w:tc>
        <w:tc>
          <w:tcPr>
            <w:tcW w:w="438" w:type="pct"/>
          </w:tcPr>
          <w:p w14:paraId="39ECB048" w14:textId="77777777" w:rsidR="00846F83" w:rsidRPr="00457B63" w:rsidRDefault="00846F83" w:rsidP="00111C87">
            <w:pPr>
              <w:keepNext/>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457B63">
              <w:rPr>
                <w:rFonts w:cs="Arial"/>
                <w:bCs/>
                <w:color w:val="000000" w:themeColor="text1"/>
                <w:sz w:val="20"/>
                <w:szCs w:val="20"/>
              </w:rPr>
              <w:t>81</w:t>
            </w:r>
          </w:p>
        </w:tc>
      </w:tr>
      <w:tr w:rsidR="00846F83" w:rsidRPr="00457B63" w14:paraId="582C6E19" w14:textId="77777777" w:rsidTr="001B2A0E">
        <w:trPr>
          <w:trHeight w:val="20"/>
        </w:trPr>
        <w:tc>
          <w:tcPr>
            <w:cnfStyle w:val="001000000000" w:firstRow="0" w:lastRow="0" w:firstColumn="1" w:lastColumn="0" w:oddVBand="0" w:evenVBand="0" w:oddHBand="0" w:evenHBand="0" w:firstRowFirstColumn="0" w:firstRowLastColumn="0" w:lastRowFirstColumn="0" w:lastRowLastColumn="0"/>
            <w:tcW w:w="545" w:type="pct"/>
          </w:tcPr>
          <w:p w14:paraId="7AB0B29C" w14:textId="77777777" w:rsidR="00846F83" w:rsidRPr="007E37EA" w:rsidRDefault="00846F83" w:rsidP="00DF64C7">
            <w:pPr>
              <w:pStyle w:val="Default"/>
              <w:spacing w:after="0" w:line="271" w:lineRule="auto"/>
              <w:rPr>
                <w:color w:val="FFFFFF" w:themeColor="background1"/>
                <w:sz w:val="20"/>
                <w:szCs w:val="20"/>
              </w:rPr>
            </w:pPr>
            <w:r w:rsidRPr="007E37EA">
              <w:rPr>
                <w:color w:val="FFFFFF" w:themeColor="background1"/>
                <w:sz w:val="20"/>
                <w:szCs w:val="20"/>
              </w:rPr>
              <w:t>12.3</w:t>
            </w:r>
          </w:p>
        </w:tc>
        <w:tc>
          <w:tcPr>
            <w:tcW w:w="1756" w:type="pct"/>
          </w:tcPr>
          <w:p w14:paraId="67C116EF" w14:textId="77777777" w:rsidR="00846F83" w:rsidRPr="00457B63" w:rsidRDefault="00846F83" w:rsidP="00DF64C7">
            <w:pPr>
              <w:jc w:val="left"/>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sidRPr="00457B63">
              <w:rPr>
                <w:rFonts w:cs="Arial"/>
                <w:bCs/>
                <w:color w:val="000000" w:themeColor="text1"/>
                <w:sz w:val="20"/>
                <w:szCs w:val="20"/>
              </w:rPr>
              <w:t>Liczba osób odwiedzających Planetarium Śląskie ze zorganizowanych grup uczniowskich i przedszkolnych</w:t>
            </w:r>
          </w:p>
        </w:tc>
        <w:tc>
          <w:tcPr>
            <w:tcW w:w="747" w:type="pct"/>
          </w:tcPr>
          <w:p w14:paraId="7599D039" w14:textId="77777777" w:rsidR="00846F83" w:rsidRPr="00457B63" w:rsidRDefault="00846F83" w:rsidP="00DF64C7">
            <w:pPr>
              <w:keepNext/>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Os.</w:t>
            </w:r>
          </w:p>
        </w:tc>
        <w:tc>
          <w:tcPr>
            <w:tcW w:w="1016" w:type="pct"/>
          </w:tcPr>
          <w:p w14:paraId="28D60F26" w14:textId="77777777" w:rsidR="00846F83" w:rsidRPr="00457B63" w:rsidRDefault="00846F83" w:rsidP="00111C87">
            <w:pPr>
              <w:keepNext/>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156 000</w:t>
            </w:r>
          </w:p>
        </w:tc>
        <w:tc>
          <w:tcPr>
            <w:tcW w:w="498" w:type="pct"/>
          </w:tcPr>
          <w:p w14:paraId="370FE2C5" w14:textId="77777777" w:rsidR="00846F83" w:rsidRPr="00457B63" w:rsidRDefault="00846F83" w:rsidP="00111C87">
            <w:pPr>
              <w:keepNext/>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457B63">
              <w:rPr>
                <w:rFonts w:cs="Arial"/>
                <w:color w:val="000000" w:themeColor="text1"/>
                <w:sz w:val="20"/>
                <w:szCs w:val="20"/>
              </w:rPr>
              <w:t>0</w:t>
            </w:r>
            <w:r w:rsidRPr="00457B63">
              <w:rPr>
                <w:rStyle w:val="Odwoanieprzypisudolnego"/>
                <w:color w:val="000000" w:themeColor="text1"/>
                <w:sz w:val="20"/>
                <w:szCs w:val="20"/>
              </w:rPr>
              <w:footnoteReference w:id="19"/>
            </w:r>
          </w:p>
        </w:tc>
        <w:tc>
          <w:tcPr>
            <w:tcW w:w="438" w:type="pct"/>
          </w:tcPr>
          <w:p w14:paraId="777B81B8" w14:textId="77777777" w:rsidR="00846F83" w:rsidRPr="00457B63" w:rsidRDefault="00846F83" w:rsidP="00111C87">
            <w:pPr>
              <w:keepNext/>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457B63">
              <w:rPr>
                <w:rFonts w:cs="Arial"/>
                <w:bCs/>
                <w:color w:val="000000" w:themeColor="text1"/>
                <w:sz w:val="20"/>
                <w:szCs w:val="20"/>
              </w:rPr>
              <w:t>0</w:t>
            </w:r>
          </w:p>
        </w:tc>
      </w:tr>
    </w:tbl>
    <w:p w14:paraId="3B889178" w14:textId="77777777" w:rsidR="00846F83" w:rsidRDefault="00846F83" w:rsidP="00DF64C7">
      <w:pPr>
        <w:pStyle w:val="podpisrdailustracji"/>
        <w:spacing w:line="271" w:lineRule="auto"/>
        <w:jc w:val="left"/>
      </w:pPr>
      <w:r>
        <w:t xml:space="preserve">Źródło: opracowanie własne na podstawie danych </w:t>
      </w:r>
      <w:r w:rsidR="000F3F66">
        <w:t>SL</w:t>
      </w:r>
      <w:r>
        <w:t xml:space="preserve">2014 </w:t>
      </w:r>
      <w:r w:rsidRPr="00AB5D0E">
        <w:t xml:space="preserve">(data dostępu: </w:t>
      </w:r>
      <w:r w:rsidR="000F3F66">
        <w:t>1</w:t>
      </w:r>
      <w:r w:rsidRPr="00AB5D0E">
        <w:t>.</w:t>
      </w:r>
      <w:r w:rsidR="000F3F66">
        <w:t>10</w:t>
      </w:r>
      <w:r w:rsidRPr="00AB5D0E">
        <w:t>.2019 r.)</w:t>
      </w:r>
      <w:r>
        <w:t>.</w:t>
      </w:r>
    </w:p>
    <w:p w14:paraId="01418103" w14:textId="77777777" w:rsidR="00846F83" w:rsidRDefault="00846F83" w:rsidP="00DF64C7">
      <w:pPr>
        <w:jc w:val="left"/>
      </w:pPr>
      <w:r>
        <w:t>Do 30.09.2019 roku nie udało się osiągnąć założonych wskaźników produktu – spośród 50 docelowych obiektów infrastruktury przedszkolnej udało się wesprzeć 37, zaś spośród 52 obiektów infrastruktury kształcenia zawodowego wsparto 42. Należy jednak zaznaczyć, że wartość docelowa określona została na rok 2023, istnieje więc szansa na realizację wskaźnika na założonym poziomie, a tym samym zaspokojenie zdiagnozowanych potrzeb w tym zakresie.</w:t>
      </w:r>
      <w:r w:rsidR="00EE2379">
        <w:t xml:space="preserve"> Szerzej o możliwości realizacji założonych wskaźników przedstawiono w rozdziale 6.3.</w:t>
      </w:r>
    </w:p>
    <w:p w14:paraId="48FF1074" w14:textId="77777777" w:rsidR="00846F83" w:rsidRDefault="00846F83" w:rsidP="00DF64C7">
      <w:pPr>
        <w:jc w:val="left"/>
      </w:pPr>
      <w:r>
        <w:t>Mimo wartości zerowej wskaźnika dla Działania 12.3 dnia 30.09.2019 r., należy wskazać, że szacowana realizacja wskaźnika na podstawie umów pozwala osiągnąć założoną liczbę osób</w:t>
      </w:r>
      <w:r w:rsidRPr="008C57A9">
        <w:rPr>
          <w:rFonts w:cstheme="minorHAnsi"/>
          <w:bCs/>
          <w:color w:val="000000" w:themeColor="text1"/>
          <w:sz w:val="20"/>
          <w:szCs w:val="20"/>
        </w:rPr>
        <w:t xml:space="preserve"> </w:t>
      </w:r>
      <w:r w:rsidRPr="00541651">
        <w:t>odwiedzających Planetarium Śląskie ze zorganizowanych grup ucznio</w:t>
      </w:r>
      <w:r>
        <w:t>wskich i </w:t>
      </w:r>
      <w:r w:rsidRPr="00541651">
        <w:t>przedszkolnych</w:t>
      </w:r>
      <w:r>
        <w:t>.</w:t>
      </w:r>
    </w:p>
    <w:p w14:paraId="7C270D1A" w14:textId="7AFE2AFB" w:rsidR="00846F83" w:rsidRDefault="00846F83" w:rsidP="00DF64C7">
      <w:pPr>
        <w:jc w:val="left"/>
      </w:pPr>
      <w:r>
        <w:t xml:space="preserve">Osoby wdrażające projekty w ramach OP XII podkreślały, że </w:t>
      </w:r>
      <w:r w:rsidR="007503C2">
        <w:t xml:space="preserve">realizowane </w:t>
      </w:r>
      <w:r>
        <w:t>inwestycje bardzo przyczyniły się do zaspokojenia potrzeb zidentyfikowanych przed ich realizacją. W wielu przypadkach budowa lub modernizacja przedszkoli oraz oddziałów przedszkolnych odpowiadała w 100% na istniejące zapotrzebowanie w danej lokalizacji. W części gmin wciąż zachodzi konieczność podejmowania działań nakierowanych na przygotowania większej liczby oddziałów, które spełniałyby aktualne wymogi</w:t>
      </w:r>
      <w:r w:rsidR="005243B5">
        <w:t>,</w:t>
      </w:r>
      <w:r>
        <w:t xml:space="preserve"> jeśli chodzi o infrastrukturę. Konieczne jest przeprowadzenie remontów czy doposażenie placówek, w szczególności zaś laboratoriów oraz pracowni przeznaczonych do praktycznej nauki zawodu, z uwagi na zmiany zachodzące na rynku</w:t>
      </w:r>
      <w:r w:rsidR="00C82AC2">
        <w:t xml:space="preserve"> pracy</w:t>
      </w:r>
      <w:r>
        <w:t>.</w:t>
      </w:r>
    </w:p>
    <w:p w14:paraId="012E9762" w14:textId="77777777" w:rsidR="00846F83" w:rsidRDefault="00846F83" w:rsidP="00DF64C7">
      <w:pPr>
        <w:jc w:val="left"/>
      </w:pPr>
      <w:r>
        <w:t>Wszyscy beneficjenci OP XII zwrócili ponadto uwagę na fakt, że zachodzi potrzeba podejmowania dalszych działań związanych z realizacją takich zadań, jak:</w:t>
      </w:r>
    </w:p>
    <w:p w14:paraId="737244AB" w14:textId="77777777" w:rsidR="00846F83" w:rsidRDefault="00846F83" w:rsidP="00DF64C7">
      <w:pPr>
        <w:pStyle w:val="Akapitzlist"/>
        <w:numPr>
          <w:ilvl w:val="0"/>
          <w:numId w:val="40"/>
        </w:numPr>
        <w:jc w:val="left"/>
      </w:pPr>
      <w:r>
        <w:t>Tworzenie kolejnych miejsc wychowania przedszkolnego;</w:t>
      </w:r>
    </w:p>
    <w:p w14:paraId="01C14B90" w14:textId="77777777" w:rsidR="00846F83" w:rsidRDefault="00846F83" w:rsidP="00DF64C7">
      <w:pPr>
        <w:pStyle w:val="Akapitzlist"/>
        <w:numPr>
          <w:ilvl w:val="0"/>
          <w:numId w:val="40"/>
        </w:numPr>
        <w:jc w:val="left"/>
      </w:pPr>
      <w:r>
        <w:t>Doposażenie przedszkoli</w:t>
      </w:r>
      <w:r w:rsidR="003D579F">
        <w:t>;</w:t>
      </w:r>
    </w:p>
    <w:p w14:paraId="6F7C807E" w14:textId="77777777" w:rsidR="00846F83" w:rsidRDefault="00846F83" w:rsidP="00DF64C7">
      <w:pPr>
        <w:pStyle w:val="Akapitzlist"/>
        <w:numPr>
          <w:ilvl w:val="0"/>
          <w:numId w:val="40"/>
        </w:numPr>
        <w:jc w:val="left"/>
      </w:pPr>
      <w:r>
        <w:t>Remonty pomieszczeń i budynków;</w:t>
      </w:r>
    </w:p>
    <w:p w14:paraId="165A4FEC" w14:textId="77777777" w:rsidR="00846F83" w:rsidRDefault="00846F83" w:rsidP="00DF64C7">
      <w:pPr>
        <w:pStyle w:val="Akapitzlist"/>
        <w:numPr>
          <w:ilvl w:val="0"/>
          <w:numId w:val="40"/>
        </w:numPr>
        <w:jc w:val="left"/>
      </w:pPr>
      <w:r>
        <w:t>Organizacja zajęć dodatkowych wykraczających poza podstawę programową, realizowanych na poziomie przedszkolnym (m.in. logopedyczne, psychologiczne);</w:t>
      </w:r>
    </w:p>
    <w:p w14:paraId="21B8DBBD" w14:textId="77777777" w:rsidR="00846F83" w:rsidRDefault="00846F83" w:rsidP="00DF64C7">
      <w:pPr>
        <w:pStyle w:val="Akapitzlist"/>
        <w:numPr>
          <w:ilvl w:val="0"/>
          <w:numId w:val="40"/>
        </w:numPr>
        <w:jc w:val="left"/>
      </w:pPr>
      <w:r>
        <w:t>Dofinansowanie etatu nauczycielskiego;</w:t>
      </w:r>
    </w:p>
    <w:p w14:paraId="4BD2B4AE" w14:textId="77777777" w:rsidR="00846F83" w:rsidRDefault="00846F83" w:rsidP="00DF64C7">
      <w:pPr>
        <w:pStyle w:val="Akapitzlist"/>
        <w:numPr>
          <w:ilvl w:val="0"/>
          <w:numId w:val="40"/>
        </w:numPr>
        <w:jc w:val="left"/>
      </w:pPr>
      <w:r>
        <w:t>Realizacja szkoleń podnoszących kwalifikacje nauczycieli;</w:t>
      </w:r>
    </w:p>
    <w:p w14:paraId="6D6A5AF0" w14:textId="77777777" w:rsidR="00846F83" w:rsidRDefault="00846F83" w:rsidP="00DF64C7">
      <w:pPr>
        <w:pStyle w:val="Akapitzlist"/>
        <w:numPr>
          <w:ilvl w:val="0"/>
          <w:numId w:val="40"/>
        </w:numPr>
        <w:jc w:val="left"/>
      </w:pPr>
      <w:r>
        <w:t>Modernizacja/remonty pomieszczeń w szkołach zawodowych (pracownie, warsztaty) oraz ich doposażenie zgodnie z aktualnymi wymogami rynku;</w:t>
      </w:r>
    </w:p>
    <w:p w14:paraId="242FA053" w14:textId="77777777" w:rsidR="00846F83" w:rsidRDefault="00846F83" w:rsidP="00DF64C7">
      <w:pPr>
        <w:pStyle w:val="Akapitzlist"/>
        <w:numPr>
          <w:ilvl w:val="0"/>
          <w:numId w:val="40"/>
        </w:numPr>
        <w:jc w:val="left"/>
      </w:pPr>
      <w:r>
        <w:t>Realizacja szkoleń i kursów dających uprawnienia;</w:t>
      </w:r>
    </w:p>
    <w:p w14:paraId="522662CC" w14:textId="77777777" w:rsidR="00846F83" w:rsidRDefault="00846F83" w:rsidP="00DF64C7">
      <w:pPr>
        <w:pStyle w:val="Akapitzlist"/>
        <w:numPr>
          <w:ilvl w:val="0"/>
          <w:numId w:val="40"/>
        </w:numPr>
        <w:jc w:val="left"/>
      </w:pPr>
      <w:r>
        <w:t>Realizacja szkoleń dla osób dorosłych z zakresu języków obcych, ICT oraz praktycznej nauki zawodu.</w:t>
      </w:r>
    </w:p>
    <w:p w14:paraId="25A9135D" w14:textId="77777777" w:rsidR="00846F83" w:rsidRDefault="00846F83" w:rsidP="00DF64C7">
      <w:pPr>
        <w:jc w:val="left"/>
      </w:pPr>
    </w:p>
    <w:p w14:paraId="625895CC" w14:textId="77777777" w:rsidR="005C6659" w:rsidRDefault="005C6659" w:rsidP="00DF64C7">
      <w:pPr>
        <w:jc w:val="left"/>
      </w:pPr>
    </w:p>
    <w:p w14:paraId="7B77AA18" w14:textId="77777777" w:rsidR="005C6659" w:rsidRDefault="005C6659" w:rsidP="00DF64C7">
      <w:pPr>
        <w:jc w:val="left"/>
        <w:sectPr w:rsidR="005C6659" w:rsidSect="00174F8C">
          <w:footerReference w:type="default" r:id="rId17"/>
          <w:pgSz w:w="11906" w:h="16838"/>
          <w:pgMar w:top="1418" w:right="1418" w:bottom="1418" w:left="1418" w:header="709" w:footer="709" w:gutter="0"/>
          <w:cols w:space="708"/>
          <w:docGrid w:linePitch="360"/>
        </w:sectPr>
      </w:pPr>
      <w:r>
        <w:t xml:space="preserve">Na potrzeby pytania badawczego dokonano odtworzenia logiki interwencji. Zadanie to objęło analizę dostępnych dokumentów oraz opracowań i baz danych, a także diagnozę sytuacji społeczno-gospodarczej w regionie, które pozwoliły na identyfikację problemów i potrzeb województwa oraz stwierdzenie, że wsparcie udzielone w ramach OP XI i XII RPO WSL 2014-2020 było zgodne ze wskazanymi problemami oraz potrzebami. </w:t>
      </w:r>
    </w:p>
    <w:p w14:paraId="38C545A4" w14:textId="30B6E58F" w:rsidR="008A23D5" w:rsidRDefault="00DA2E7D" w:rsidP="00DF64C7">
      <w:pPr>
        <w:pStyle w:val="Legenda"/>
        <w:spacing w:line="271" w:lineRule="auto"/>
        <w:jc w:val="left"/>
      </w:pPr>
      <w:bookmarkStart w:id="29" w:name="_Toc33457210"/>
      <w:r>
        <w:t xml:space="preserve">Tabela </w:t>
      </w:r>
      <w:r>
        <w:rPr>
          <w:noProof/>
        </w:rPr>
        <w:fldChar w:fldCharType="begin"/>
      </w:r>
      <w:r>
        <w:rPr>
          <w:noProof/>
        </w:rPr>
        <w:instrText xml:space="preserve"> SEQ Tabela \* ARABIC </w:instrText>
      </w:r>
      <w:r>
        <w:rPr>
          <w:noProof/>
        </w:rPr>
        <w:fldChar w:fldCharType="separate"/>
      </w:r>
      <w:r w:rsidR="00A8147E">
        <w:rPr>
          <w:noProof/>
        </w:rPr>
        <w:t>16</w:t>
      </w:r>
      <w:r>
        <w:rPr>
          <w:noProof/>
        </w:rPr>
        <w:fldChar w:fldCharType="end"/>
      </w:r>
      <w:r>
        <w:t xml:space="preserve">. </w:t>
      </w:r>
      <w:r w:rsidRPr="009F2ED4">
        <w:t>Odtworzenie logiki interwencji w ramach OP XI i XII RPO WSL 2014-2020</w:t>
      </w:r>
      <w:bookmarkEnd w:id="29"/>
    </w:p>
    <w:tbl>
      <w:tblPr>
        <w:tblStyle w:val="Jasnasiatkaakcent6"/>
        <w:tblW w:w="14218" w:type="dxa"/>
        <w:tblLayout w:type="fixed"/>
        <w:tblLook w:val="04A0" w:firstRow="1" w:lastRow="0" w:firstColumn="1" w:lastColumn="0" w:noHBand="0" w:noVBand="1"/>
        <w:tblCaption w:val="Odtworzenie logiki interwencji w ramach OP XI i XII RPO WSL 2014-2020"/>
        <w:tblDescription w:val="W tabeli przedstawiono informacje oraz dane dotyczące: problemów zdiagnozowanych przed realizacją projektów w ramach OP XI i XII RPO WSL 2014-2020; alokacji dla poszczególnych Działań i Poddziałań; działań realizowanych w ramach projektów z Osi XI i XI oraz zaplanowanych efektów tych działań. Określono również, czy nastąpiły założone relacje przyczynowo-skutkowe."/>
      </w:tblPr>
      <w:tblGrid>
        <w:gridCol w:w="3534"/>
        <w:gridCol w:w="1843"/>
        <w:gridCol w:w="1134"/>
        <w:gridCol w:w="4512"/>
        <w:gridCol w:w="1843"/>
        <w:gridCol w:w="1352"/>
      </w:tblGrid>
      <w:tr w:rsidR="00023F05" w:rsidRPr="00C357B5" w14:paraId="556A4EBF" w14:textId="77777777" w:rsidTr="00DF64C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534" w:type="dxa"/>
          </w:tcPr>
          <w:p w14:paraId="030D8637" w14:textId="77777777" w:rsidR="00023F05" w:rsidRPr="00DF64C7" w:rsidRDefault="00023F05" w:rsidP="00DF64C7">
            <w:pPr>
              <w:spacing w:line="240" w:lineRule="auto"/>
              <w:jc w:val="left"/>
              <w:rPr>
                <w:rFonts w:cs="Arial"/>
                <w:sz w:val="18"/>
                <w:szCs w:val="18"/>
              </w:rPr>
            </w:pPr>
            <w:r w:rsidRPr="00DF64C7">
              <w:rPr>
                <w:rFonts w:cs="Arial"/>
                <w:sz w:val="18"/>
                <w:szCs w:val="18"/>
              </w:rPr>
              <w:t>Zdiagnozowany problem</w:t>
            </w:r>
          </w:p>
        </w:tc>
        <w:tc>
          <w:tcPr>
            <w:tcW w:w="1843" w:type="dxa"/>
          </w:tcPr>
          <w:p w14:paraId="38E29318" w14:textId="77777777" w:rsidR="00023F05" w:rsidRPr="00C357B5" w:rsidRDefault="00023F05"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C357B5">
              <w:rPr>
                <w:rFonts w:cs="Arial"/>
                <w:sz w:val="18"/>
                <w:szCs w:val="18"/>
              </w:rPr>
              <w:t>Poddziałanie</w:t>
            </w:r>
          </w:p>
        </w:tc>
        <w:tc>
          <w:tcPr>
            <w:tcW w:w="1134" w:type="dxa"/>
          </w:tcPr>
          <w:p w14:paraId="6731D284" w14:textId="77777777" w:rsidR="00023F05" w:rsidRPr="00C357B5" w:rsidRDefault="00023F05"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C357B5">
              <w:rPr>
                <w:rFonts w:cs="Arial"/>
                <w:sz w:val="18"/>
                <w:szCs w:val="18"/>
              </w:rPr>
              <w:t>Alokacja</w:t>
            </w:r>
          </w:p>
        </w:tc>
        <w:tc>
          <w:tcPr>
            <w:tcW w:w="4512" w:type="dxa"/>
          </w:tcPr>
          <w:p w14:paraId="7D65F7C7" w14:textId="77777777" w:rsidR="00023F05" w:rsidRPr="00C357B5" w:rsidRDefault="00023F05"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C357B5">
              <w:rPr>
                <w:rFonts w:cs="Arial"/>
                <w:sz w:val="18"/>
                <w:szCs w:val="18"/>
              </w:rPr>
              <w:t>Realizowane działania</w:t>
            </w:r>
          </w:p>
        </w:tc>
        <w:tc>
          <w:tcPr>
            <w:tcW w:w="1843" w:type="dxa"/>
          </w:tcPr>
          <w:p w14:paraId="4BDF87BA" w14:textId="77777777" w:rsidR="00023F05" w:rsidRPr="00C357B5" w:rsidRDefault="00023F05"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C357B5">
              <w:rPr>
                <w:rFonts w:cs="Arial"/>
                <w:sz w:val="18"/>
                <w:szCs w:val="18"/>
              </w:rPr>
              <w:t>Zaplanowane efekty</w:t>
            </w:r>
          </w:p>
        </w:tc>
        <w:tc>
          <w:tcPr>
            <w:tcW w:w="1352" w:type="dxa"/>
          </w:tcPr>
          <w:p w14:paraId="5966BCEA" w14:textId="77777777" w:rsidR="00023F05" w:rsidRPr="00C357B5" w:rsidRDefault="00023F05"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C357B5">
              <w:rPr>
                <w:rFonts w:cs="Arial"/>
                <w:sz w:val="18"/>
                <w:szCs w:val="18"/>
              </w:rPr>
              <w:t>Czy wystąpiły założone relac</w:t>
            </w:r>
            <w:r>
              <w:rPr>
                <w:rFonts w:cs="Arial"/>
                <w:sz w:val="18"/>
                <w:szCs w:val="18"/>
              </w:rPr>
              <w:t>je przyczynowo</w:t>
            </w:r>
            <w:r w:rsidRPr="00C357B5">
              <w:rPr>
                <w:rFonts w:cs="Arial"/>
                <w:sz w:val="18"/>
                <w:szCs w:val="18"/>
              </w:rPr>
              <w:t>-skutkowe?</w:t>
            </w:r>
          </w:p>
        </w:tc>
      </w:tr>
      <w:tr w:rsidR="00023F05" w:rsidRPr="00C357B5" w14:paraId="45B3BEBE" w14:textId="77777777" w:rsidTr="00DF64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4" w:type="dxa"/>
          </w:tcPr>
          <w:p w14:paraId="6A5BEB3F" w14:textId="77777777" w:rsidR="00023F05" w:rsidRPr="0071237D" w:rsidRDefault="00023F05" w:rsidP="00DF64C7">
            <w:pPr>
              <w:pStyle w:val="Akapitzlist"/>
              <w:numPr>
                <w:ilvl w:val="0"/>
                <w:numId w:val="68"/>
              </w:numPr>
              <w:spacing w:line="240" w:lineRule="auto"/>
              <w:ind w:left="426"/>
              <w:jc w:val="left"/>
              <w:rPr>
                <w:rFonts w:cs="Arial"/>
                <w:b w:val="0"/>
                <w:sz w:val="18"/>
                <w:szCs w:val="18"/>
              </w:rPr>
            </w:pPr>
            <w:r w:rsidRPr="0071237D">
              <w:rPr>
                <w:rFonts w:cs="Arial"/>
                <w:b w:val="0"/>
                <w:sz w:val="18"/>
                <w:szCs w:val="18"/>
              </w:rPr>
              <w:t>„Niewystarczający poziom upowszechnienia opieki nad dziećmi do lat 3 pod względem zaspokojenia potrzeb”</w:t>
            </w:r>
            <w:r w:rsidRPr="0071237D">
              <w:rPr>
                <w:rStyle w:val="Odwoanieprzypisudolnego"/>
                <w:b w:val="0"/>
                <w:sz w:val="18"/>
                <w:szCs w:val="18"/>
              </w:rPr>
              <w:footnoteReference w:id="20"/>
            </w:r>
          </w:p>
          <w:p w14:paraId="635CC55F" w14:textId="77777777" w:rsidR="00023F05" w:rsidRPr="0071237D" w:rsidRDefault="00023F05" w:rsidP="00DF64C7">
            <w:pPr>
              <w:pStyle w:val="Akapitzlist"/>
              <w:numPr>
                <w:ilvl w:val="0"/>
                <w:numId w:val="68"/>
              </w:numPr>
              <w:spacing w:line="240" w:lineRule="auto"/>
              <w:ind w:left="426"/>
              <w:jc w:val="left"/>
              <w:rPr>
                <w:rFonts w:cs="Arial"/>
                <w:b w:val="0"/>
                <w:sz w:val="18"/>
                <w:szCs w:val="18"/>
              </w:rPr>
            </w:pPr>
            <w:r w:rsidRPr="0071237D">
              <w:rPr>
                <w:rFonts w:cs="Arial"/>
                <w:b w:val="0"/>
                <w:sz w:val="18"/>
                <w:szCs w:val="18"/>
              </w:rPr>
              <w:t>„Niska dynamika wzrostu liczby miejsc w placówkach przedszkolnych”</w:t>
            </w:r>
            <w:r w:rsidRPr="0071237D">
              <w:rPr>
                <w:rStyle w:val="Odwoanieprzypisudolnego"/>
                <w:b w:val="0"/>
                <w:sz w:val="18"/>
                <w:szCs w:val="18"/>
              </w:rPr>
              <w:footnoteReference w:id="21"/>
            </w:r>
          </w:p>
          <w:p w14:paraId="790CC685" w14:textId="77777777" w:rsidR="00023F05" w:rsidRPr="0071237D" w:rsidRDefault="00023F05" w:rsidP="00DF64C7">
            <w:pPr>
              <w:pStyle w:val="Akapitzlist"/>
              <w:numPr>
                <w:ilvl w:val="0"/>
                <w:numId w:val="68"/>
              </w:numPr>
              <w:spacing w:line="240" w:lineRule="auto"/>
              <w:ind w:left="426"/>
              <w:jc w:val="left"/>
              <w:rPr>
                <w:rFonts w:cs="Arial"/>
                <w:b w:val="0"/>
                <w:sz w:val="18"/>
                <w:szCs w:val="18"/>
              </w:rPr>
            </w:pPr>
            <w:r w:rsidRPr="0071237D">
              <w:rPr>
                <w:rFonts w:cs="Arial"/>
                <w:b w:val="0"/>
                <w:sz w:val="18"/>
                <w:szCs w:val="18"/>
              </w:rPr>
              <w:t>„Dysproporcje w dostępie do edukacji przedszkolnej między obszarami miejskimi i wiejskimi”</w:t>
            </w:r>
            <w:r w:rsidRPr="0071237D">
              <w:rPr>
                <w:rStyle w:val="Odwoanieprzypisudolnego"/>
                <w:b w:val="0"/>
                <w:sz w:val="18"/>
                <w:szCs w:val="18"/>
              </w:rPr>
              <w:footnoteReference w:id="22"/>
            </w:r>
          </w:p>
          <w:p w14:paraId="7A28C390" w14:textId="77777777" w:rsidR="00023F05" w:rsidRPr="0071237D" w:rsidRDefault="00023F05" w:rsidP="00DF64C7">
            <w:pPr>
              <w:pStyle w:val="Akapitzlist"/>
              <w:numPr>
                <w:ilvl w:val="0"/>
                <w:numId w:val="68"/>
              </w:numPr>
              <w:spacing w:line="240" w:lineRule="auto"/>
              <w:ind w:left="426"/>
              <w:jc w:val="left"/>
              <w:rPr>
                <w:rFonts w:cs="Arial"/>
                <w:b w:val="0"/>
                <w:sz w:val="18"/>
                <w:szCs w:val="18"/>
              </w:rPr>
            </w:pPr>
            <w:r w:rsidRPr="0071237D">
              <w:rPr>
                <w:rFonts w:cs="Arial"/>
                <w:b w:val="0"/>
                <w:sz w:val="18"/>
                <w:szCs w:val="18"/>
              </w:rPr>
              <w:t>„Wskazuje się na konieczność poprawy wskaźnika dotyczącego ograniczenia liczby osób przedwcześnie kończących edukację. Oznacza to poprawę dostępności i jakości edukacji, a także wyników instytucji edukacyjnych na wszystkich etapach – od edukacji przedszkolnej do kształcenia ustawicznego.”</w:t>
            </w:r>
            <w:r w:rsidRPr="0071237D">
              <w:rPr>
                <w:rStyle w:val="Odwoanieprzypisudolnego"/>
                <w:b w:val="0"/>
                <w:sz w:val="18"/>
                <w:szCs w:val="18"/>
              </w:rPr>
              <w:footnoteReference w:id="23"/>
            </w:r>
          </w:p>
          <w:p w14:paraId="08E37735" w14:textId="77777777" w:rsidR="00023F05" w:rsidRPr="0071237D" w:rsidRDefault="00023F05" w:rsidP="00DF64C7">
            <w:pPr>
              <w:pStyle w:val="Akapitzlist"/>
              <w:numPr>
                <w:ilvl w:val="0"/>
                <w:numId w:val="68"/>
              </w:numPr>
              <w:spacing w:line="240" w:lineRule="auto"/>
              <w:ind w:left="426"/>
              <w:jc w:val="left"/>
              <w:rPr>
                <w:rFonts w:cs="Arial"/>
                <w:b w:val="0"/>
                <w:sz w:val="18"/>
                <w:szCs w:val="18"/>
              </w:rPr>
            </w:pPr>
            <w:r w:rsidRPr="0071237D">
              <w:rPr>
                <w:rFonts w:cs="Arial"/>
                <w:b w:val="0"/>
                <w:sz w:val="18"/>
                <w:szCs w:val="18"/>
              </w:rPr>
              <w:t>„Niedostosowanie przestrzenne sieci placówek opieki i edukacji, w tym żłobkowej/przedszkolnej do potrzeb”</w:t>
            </w:r>
            <w:r w:rsidRPr="0071237D">
              <w:rPr>
                <w:rStyle w:val="Odwoanieprzypisudolnego"/>
                <w:b w:val="0"/>
                <w:sz w:val="18"/>
                <w:szCs w:val="18"/>
              </w:rPr>
              <w:footnoteReference w:id="24"/>
            </w:r>
          </w:p>
          <w:p w14:paraId="1960E487" w14:textId="77777777" w:rsidR="00023F05" w:rsidRPr="0071237D" w:rsidRDefault="00023F05" w:rsidP="00DF64C7">
            <w:pPr>
              <w:pStyle w:val="Akapitzlist"/>
              <w:numPr>
                <w:ilvl w:val="0"/>
                <w:numId w:val="68"/>
              </w:numPr>
              <w:spacing w:line="240" w:lineRule="auto"/>
              <w:ind w:left="426"/>
              <w:jc w:val="left"/>
              <w:rPr>
                <w:rFonts w:cs="Arial"/>
                <w:b w:val="0"/>
                <w:sz w:val="18"/>
                <w:szCs w:val="18"/>
              </w:rPr>
            </w:pPr>
            <w:r w:rsidRPr="0071237D">
              <w:rPr>
                <w:rFonts w:cs="Arial"/>
                <w:b w:val="0"/>
                <w:sz w:val="18"/>
                <w:szCs w:val="18"/>
              </w:rPr>
              <w:t>”Niska wartość wskaźnika liczby miejsc w żłobkach i żłobkowych oddziałach dziecięcych w przeliczeniu na 10 tys. dzieci”</w:t>
            </w:r>
            <w:r w:rsidRPr="0071237D">
              <w:rPr>
                <w:rStyle w:val="Odwoanieprzypisudolnego"/>
                <w:b w:val="0"/>
                <w:sz w:val="18"/>
                <w:szCs w:val="18"/>
              </w:rPr>
              <w:footnoteReference w:id="25"/>
            </w:r>
          </w:p>
          <w:p w14:paraId="352BD254" w14:textId="77777777" w:rsidR="00023F05" w:rsidRPr="0071237D" w:rsidRDefault="00023F05" w:rsidP="00DF64C7">
            <w:pPr>
              <w:pStyle w:val="Akapitzlist"/>
              <w:numPr>
                <w:ilvl w:val="0"/>
                <w:numId w:val="68"/>
              </w:numPr>
              <w:spacing w:line="240" w:lineRule="auto"/>
              <w:ind w:left="426"/>
              <w:jc w:val="left"/>
              <w:rPr>
                <w:rFonts w:cs="Arial"/>
                <w:b w:val="0"/>
                <w:sz w:val="18"/>
                <w:szCs w:val="18"/>
              </w:rPr>
            </w:pPr>
            <w:r w:rsidRPr="0071237D">
              <w:rPr>
                <w:rFonts w:cs="Arial"/>
                <w:b w:val="0"/>
                <w:sz w:val="18"/>
                <w:szCs w:val="18"/>
              </w:rPr>
              <w:t>„Wzrost zapotrzebowania na miejsca w przedszkolach (od 2005 r.); zbyt mała liczba dostępnych miejsc”</w:t>
            </w:r>
            <w:r w:rsidRPr="0071237D">
              <w:rPr>
                <w:rStyle w:val="Odwoanieprzypisudolnego"/>
                <w:b w:val="0"/>
                <w:sz w:val="18"/>
                <w:szCs w:val="18"/>
              </w:rPr>
              <w:footnoteReference w:id="26"/>
            </w:r>
          </w:p>
        </w:tc>
        <w:tc>
          <w:tcPr>
            <w:tcW w:w="1843" w:type="dxa"/>
          </w:tcPr>
          <w:p w14:paraId="6D30BEB3"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 xml:space="preserve">Działanie 11.1 Poddziałanie 11.1.1 Poddziałanie 11.1.2 </w:t>
            </w:r>
          </w:p>
          <w:p w14:paraId="0210BF3C"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Poddziałanie 11.1.3</w:t>
            </w:r>
          </w:p>
        </w:tc>
        <w:tc>
          <w:tcPr>
            <w:tcW w:w="1134" w:type="dxa"/>
          </w:tcPr>
          <w:p w14:paraId="57850AFB" w14:textId="77777777" w:rsidR="00023F05" w:rsidRPr="00C357B5" w:rsidRDefault="00023F05" w:rsidP="008F6121">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33 311 670 EUR</w:t>
            </w:r>
          </w:p>
        </w:tc>
        <w:tc>
          <w:tcPr>
            <w:tcW w:w="4512" w:type="dxa"/>
          </w:tcPr>
          <w:p w14:paraId="26032324"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1. Utworzenie nowych miejsc wychowania przedszkolnego, w liczbie odpowiadającej faktycznemu i prognozowanemu w perspektywie 3-letniej zapotrzebowaniu na usługi edukacji przedszkolnej na terenie danej gminy/miasta, na których są one tworzone w tym adaptacja oraz dostosowanie pomieszczeń do potrzeb dzieci z niepełnosprawnościami i/lub doposażenie danej placówki w pomoce dydaktyczne.</w:t>
            </w:r>
          </w:p>
          <w:p w14:paraId="6167F265"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2. Podniesienie jakości edukacji przedszkolnej, w tym wydłużenie godzin pracy placówek wychowania przedszkolnego.</w:t>
            </w:r>
          </w:p>
          <w:p w14:paraId="6BCAF01E"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3. Wyrównywanie szans edukacyjnych dzieci poprzez organizowanie i prowadzenie dodatkowych zajęć wspierających/ specjalnych w placówkach wychowania przedszkolnego.</w:t>
            </w:r>
          </w:p>
          <w:p w14:paraId="636AB086"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4. Wsparcie istniejących miejsc przedszkolnych, w tym ewentualnie adaptacja pomieszczeń i/lub doposażenie danej placówki w pomoce dydaktyczne.</w:t>
            </w:r>
          </w:p>
        </w:tc>
        <w:tc>
          <w:tcPr>
            <w:tcW w:w="1843" w:type="dxa"/>
          </w:tcPr>
          <w:p w14:paraId="0F02E7D0"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Zwiększenie dostępności wysokiej jakości edukacji przedszkolnej w regionie.</w:t>
            </w:r>
          </w:p>
        </w:tc>
        <w:tc>
          <w:tcPr>
            <w:tcW w:w="1352" w:type="dxa"/>
          </w:tcPr>
          <w:p w14:paraId="7D83D5F3"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Tak</w:t>
            </w:r>
          </w:p>
        </w:tc>
      </w:tr>
      <w:tr w:rsidR="00023F05" w:rsidRPr="00C357B5" w14:paraId="0DF248D1" w14:textId="77777777" w:rsidTr="00DF64C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4" w:type="dxa"/>
          </w:tcPr>
          <w:p w14:paraId="1BA9556B" w14:textId="77777777" w:rsidR="00023F05" w:rsidRPr="0071237D" w:rsidRDefault="00023F05" w:rsidP="00DF64C7">
            <w:pPr>
              <w:pStyle w:val="Akapitzlist"/>
              <w:numPr>
                <w:ilvl w:val="0"/>
                <w:numId w:val="69"/>
              </w:numPr>
              <w:spacing w:line="240" w:lineRule="auto"/>
              <w:ind w:left="426"/>
              <w:jc w:val="left"/>
              <w:rPr>
                <w:rFonts w:cs="Arial"/>
                <w:b w:val="0"/>
                <w:sz w:val="18"/>
                <w:szCs w:val="18"/>
              </w:rPr>
            </w:pPr>
            <w:r w:rsidRPr="0071237D">
              <w:rPr>
                <w:rFonts w:cs="Arial"/>
                <w:b w:val="0"/>
                <w:sz w:val="18"/>
                <w:szCs w:val="18"/>
              </w:rPr>
              <w:t>„Niewystarczająca jakość zajęć realizowanych w szkołach przekładająca się na wynik egzaminów/sprawdzianów”</w:t>
            </w:r>
            <w:r w:rsidRPr="0071237D">
              <w:rPr>
                <w:rStyle w:val="Odwoanieprzypisudolnego"/>
                <w:b w:val="0"/>
                <w:sz w:val="18"/>
                <w:szCs w:val="18"/>
              </w:rPr>
              <w:footnoteReference w:id="27"/>
            </w:r>
          </w:p>
          <w:p w14:paraId="4A3EADE8" w14:textId="77777777" w:rsidR="00023F05" w:rsidRPr="0071237D" w:rsidRDefault="00023F05" w:rsidP="00DF64C7">
            <w:pPr>
              <w:pStyle w:val="Akapitzlist"/>
              <w:numPr>
                <w:ilvl w:val="0"/>
                <w:numId w:val="69"/>
              </w:numPr>
              <w:spacing w:line="240" w:lineRule="auto"/>
              <w:ind w:left="426"/>
              <w:jc w:val="left"/>
              <w:rPr>
                <w:rFonts w:cs="Arial"/>
                <w:b w:val="0"/>
                <w:sz w:val="18"/>
                <w:szCs w:val="18"/>
              </w:rPr>
            </w:pPr>
            <w:r w:rsidRPr="0071237D">
              <w:rPr>
                <w:rFonts w:cs="Arial"/>
                <w:b w:val="0"/>
                <w:sz w:val="18"/>
                <w:szCs w:val="18"/>
              </w:rPr>
              <w:t>„Analizując poziom zdawalności egzaminów maturalnych w obszarze języków obcych wśród uczniów szkół województwa śląskiego należy zauważyć, że jest on niższy od średniej krajowej w zakresie języka niemieckiego i razem francuskiego oraz hiszpańskiego (…). Niższą zdawalność uczniowie osiągnęli również w zakresie matematyki.”</w:t>
            </w:r>
            <w:r w:rsidRPr="0071237D">
              <w:rPr>
                <w:rStyle w:val="Odwoanieprzypisudolnego"/>
                <w:b w:val="0"/>
                <w:sz w:val="18"/>
                <w:szCs w:val="18"/>
              </w:rPr>
              <w:footnoteReference w:id="28"/>
            </w:r>
          </w:p>
          <w:p w14:paraId="61A2746C" w14:textId="77777777" w:rsidR="00023F05" w:rsidRPr="0071237D" w:rsidRDefault="00023F05" w:rsidP="00DF64C7">
            <w:pPr>
              <w:pStyle w:val="Akapitzlist"/>
              <w:numPr>
                <w:ilvl w:val="0"/>
                <w:numId w:val="69"/>
              </w:numPr>
              <w:spacing w:line="240" w:lineRule="auto"/>
              <w:ind w:left="426"/>
              <w:jc w:val="left"/>
              <w:rPr>
                <w:rFonts w:cs="Arial"/>
                <w:b w:val="0"/>
                <w:sz w:val="18"/>
                <w:szCs w:val="18"/>
              </w:rPr>
            </w:pPr>
            <w:r w:rsidRPr="0071237D">
              <w:rPr>
                <w:rFonts w:cs="Arial"/>
                <w:b w:val="0"/>
                <w:sz w:val="18"/>
                <w:szCs w:val="18"/>
              </w:rPr>
              <w:t xml:space="preserve">„Analiza wyników z egzaminów maturalnych w ostatnich latach pokazuje, że uczniowie z terenu województwa śląskiego osiągają średnie wyniki. Potwierdzeniem poziomu kształcenia w szkołach województwa śląskiego są rankingi szkół, w których szkoły z województwa śląskiego nie zajmują czołowych miejsc” </w:t>
            </w:r>
            <w:r w:rsidRPr="0071237D">
              <w:rPr>
                <w:rStyle w:val="Odwoanieprzypisudolnego"/>
                <w:b w:val="0"/>
                <w:sz w:val="18"/>
                <w:szCs w:val="18"/>
              </w:rPr>
              <w:footnoteReference w:id="29"/>
            </w:r>
          </w:p>
          <w:p w14:paraId="30593697" w14:textId="77777777" w:rsidR="00023F05" w:rsidRPr="0071237D" w:rsidRDefault="00023F05" w:rsidP="00DF64C7">
            <w:pPr>
              <w:pStyle w:val="Akapitzlist"/>
              <w:numPr>
                <w:ilvl w:val="0"/>
                <w:numId w:val="69"/>
              </w:numPr>
              <w:spacing w:line="240" w:lineRule="auto"/>
              <w:ind w:left="426"/>
              <w:jc w:val="left"/>
              <w:rPr>
                <w:rFonts w:cs="Arial"/>
                <w:b w:val="0"/>
                <w:sz w:val="18"/>
                <w:szCs w:val="18"/>
              </w:rPr>
            </w:pPr>
            <w:r w:rsidRPr="0071237D">
              <w:rPr>
                <w:rFonts w:cs="Arial"/>
                <w:b w:val="0"/>
                <w:sz w:val="18"/>
                <w:szCs w:val="18"/>
              </w:rPr>
              <w:t>„Na jakość nauczania wpływ ma z pewnością wyposażenie szkół w odpowiedni sprzęt. W tym aspekcie liczba uczniów szkół podstawowych i gimnazjalnych przypadających na jeden komputer w roku 2012 wyniosła 17,9 i był to trzeci wynik od końca w Polsce.”</w:t>
            </w:r>
            <w:r w:rsidRPr="0071237D">
              <w:rPr>
                <w:rStyle w:val="Odwoanieprzypisudolnego"/>
                <w:b w:val="0"/>
                <w:sz w:val="18"/>
                <w:szCs w:val="18"/>
              </w:rPr>
              <w:footnoteReference w:id="30"/>
            </w:r>
            <w:r w:rsidRPr="0071237D">
              <w:rPr>
                <w:rFonts w:cs="Arial"/>
                <w:b w:val="0"/>
                <w:sz w:val="18"/>
                <w:szCs w:val="18"/>
              </w:rPr>
              <w:t xml:space="preserve"> </w:t>
            </w:r>
          </w:p>
          <w:p w14:paraId="69901326" w14:textId="77777777" w:rsidR="00023F05" w:rsidRPr="0071237D" w:rsidRDefault="00023F05" w:rsidP="00DF64C7">
            <w:pPr>
              <w:pStyle w:val="Akapitzlist"/>
              <w:numPr>
                <w:ilvl w:val="0"/>
                <w:numId w:val="69"/>
              </w:numPr>
              <w:spacing w:line="240" w:lineRule="auto"/>
              <w:ind w:left="426"/>
              <w:jc w:val="left"/>
              <w:rPr>
                <w:rFonts w:cs="Arial"/>
                <w:b w:val="0"/>
                <w:sz w:val="18"/>
                <w:szCs w:val="18"/>
              </w:rPr>
            </w:pPr>
            <w:r w:rsidRPr="0071237D">
              <w:rPr>
                <w:rFonts w:cs="Arial"/>
                <w:b w:val="0"/>
                <w:sz w:val="18"/>
                <w:szCs w:val="18"/>
              </w:rPr>
              <w:t>„Wskazuje się na konieczność poprawy wskaźnika dotyczącego ograniczenia liczby osób przedwcześnie kończących edukację. Oznacza to poprawę dostępności i jakości edukacji, a także wyników instytucji edukacyjnych na wszystkich etapach – od edukacji przedszkolnej do kształcenia ustawicznego.”</w:t>
            </w:r>
            <w:r w:rsidRPr="0071237D">
              <w:rPr>
                <w:rStyle w:val="Odwoanieprzypisudolnego"/>
                <w:b w:val="0"/>
                <w:sz w:val="18"/>
                <w:szCs w:val="18"/>
              </w:rPr>
              <w:footnoteReference w:id="31"/>
            </w:r>
          </w:p>
          <w:p w14:paraId="573B7FE8" w14:textId="77777777" w:rsidR="00023F05" w:rsidRPr="0071237D" w:rsidRDefault="00023F05" w:rsidP="00DF64C7">
            <w:pPr>
              <w:pStyle w:val="Akapitzlist"/>
              <w:numPr>
                <w:ilvl w:val="0"/>
                <w:numId w:val="69"/>
              </w:numPr>
              <w:spacing w:line="240" w:lineRule="auto"/>
              <w:ind w:left="426"/>
              <w:jc w:val="left"/>
              <w:rPr>
                <w:rFonts w:cs="Arial"/>
                <w:b w:val="0"/>
                <w:sz w:val="18"/>
                <w:szCs w:val="18"/>
              </w:rPr>
            </w:pPr>
            <w:r w:rsidRPr="0071237D">
              <w:rPr>
                <w:rFonts w:cs="Arial"/>
                <w:b w:val="0"/>
                <w:sz w:val="18"/>
                <w:szCs w:val="18"/>
              </w:rPr>
              <w:t>„Deficyty kadrowe stanowią między innymi efekty nieadekwatnej jakości kształcenia”</w:t>
            </w:r>
            <w:r w:rsidRPr="0071237D">
              <w:rPr>
                <w:rStyle w:val="Odwoanieprzypisudolnego"/>
                <w:b w:val="0"/>
                <w:sz w:val="18"/>
                <w:szCs w:val="18"/>
              </w:rPr>
              <w:footnoteReference w:id="32"/>
            </w:r>
          </w:p>
          <w:p w14:paraId="20A6BEBA" w14:textId="77777777" w:rsidR="00023F05" w:rsidRPr="0071237D" w:rsidRDefault="00023F05" w:rsidP="00DF64C7">
            <w:pPr>
              <w:pStyle w:val="Akapitzlist"/>
              <w:numPr>
                <w:ilvl w:val="0"/>
                <w:numId w:val="69"/>
              </w:numPr>
              <w:spacing w:line="240" w:lineRule="auto"/>
              <w:ind w:left="426"/>
              <w:jc w:val="left"/>
              <w:rPr>
                <w:rFonts w:cs="Arial"/>
                <w:b w:val="0"/>
                <w:sz w:val="18"/>
                <w:szCs w:val="18"/>
              </w:rPr>
            </w:pPr>
            <w:r w:rsidRPr="0071237D">
              <w:rPr>
                <w:rFonts w:cs="Arial"/>
                <w:b w:val="0"/>
                <w:sz w:val="18"/>
                <w:szCs w:val="18"/>
              </w:rPr>
              <w:t>„Zidentyfikowano także zagadnienia i rzadko stosowane sposoby wykorzystania TIK, których rozwój byłby pożądany ze względu na cele nauczania lub potrzeby uczniów”</w:t>
            </w:r>
            <w:r w:rsidRPr="0071237D">
              <w:rPr>
                <w:rStyle w:val="Odwoanieprzypisudolnego"/>
                <w:b w:val="0"/>
                <w:sz w:val="18"/>
                <w:szCs w:val="18"/>
              </w:rPr>
              <w:footnoteReference w:id="33"/>
            </w:r>
          </w:p>
          <w:p w14:paraId="37EF9813" w14:textId="77777777" w:rsidR="00023F05" w:rsidRPr="0071237D" w:rsidRDefault="00023F05" w:rsidP="00DF64C7">
            <w:pPr>
              <w:pStyle w:val="Akapitzlist"/>
              <w:numPr>
                <w:ilvl w:val="0"/>
                <w:numId w:val="69"/>
              </w:numPr>
              <w:spacing w:line="240" w:lineRule="auto"/>
              <w:ind w:left="426"/>
              <w:jc w:val="left"/>
              <w:rPr>
                <w:rFonts w:cs="Arial"/>
                <w:b w:val="0"/>
                <w:sz w:val="18"/>
                <w:szCs w:val="18"/>
              </w:rPr>
            </w:pPr>
            <w:r w:rsidRPr="0071237D">
              <w:rPr>
                <w:rFonts w:cs="Arial"/>
                <w:b w:val="0"/>
                <w:sz w:val="18"/>
                <w:szCs w:val="18"/>
              </w:rPr>
              <w:t>„Konieczność racjonalizacji sieci szkół, wpływająca na pogarszanie się ich przestrzennej dostępności oraz reedukację kadry nauczycielskiej”</w:t>
            </w:r>
            <w:r w:rsidRPr="0071237D">
              <w:rPr>
                <w:rStyle w:val="Odwoanieprzypisudolnego"/>
                <w:b w:val="0"/>
                <w:sz w:val="18"/>
                <w:szCs w:val="18"/>
              </w:rPr>
              <w:footnoteReference w:id="34"/>
            </w:r>
          </w:p>
          <w:p w14:paraId="7DA9D4B6" w14:textId="77777777" w:rsidR="00023F05" w:rsidRPr="0071237D" w:rsidRDefault="00023F05" w:rsidP="00DF64C7">
            <w:pPr>
              <w:pStyle w:val="Akapitzlist"/>
              <w:numPr>
                <w:ilvl w:val="0"/>
                <w:numId w:val="69"/>
              </w:numPr>
              <w:spacing w:line="240" w:lineRule="auto"/>
              <w:ind w:left="426"/>
              <w:jc w:val="left"/>
              <w:rPr>
                <w:rFonts w:cs="Arial"/>
                <w:b w:val="0"/>
                <w:sz w:val="18"/>
                <w:szCs w:val="18"/>
              </w:rPr>
            </w:pPr>
            <w:r w:rsidRPr="0071237D">
              <w:rPr>
                <w:rFonts w:cs="Arial"/>
                <w:b w:val="0"/>
                <w:sz w:val="18"/>
                <w:szCs w:val="18"/>
              </w:rPr>
              <w:t>„Przedwczesne kończenie nauki przez młodzież”</w:t>
            </w:r>
            <w:r w:rsidRPr="0071237D">
              <w:rPr>
                <w:rStyle w:val="Odwoanieprzypisudolnego"/>
                <w:b w:val="0"/>
                <w:sz w:val="18"/>
                <w:szCs w:val="18"/>
              </w:rPr>
              <w:footnoteReference w:id="35"/>
            </w:r>
          </w:p>
          <w:p w14:paraId="775232B7" w14:textId="77777777" w:rsidR="00023F05" w:rsidRPr="0071237D" w:rsidRDefault="00023F05" w:rsidP="00DF64C7">
            <w:pPr>
              <w:pStyle w:val="Akapitzlist"/>
              <w:numPr>
                <w:ilvl w:val="0"/>
                <w:numId w:val="69"/>
              </w:numPr>
              <w:spacing w:line="240" w:lineRule="auto"/>
              <w:ind w:left="426"/>
              <w:jc w:val="left"/>
              <w:rPr>
                <w:rFonts w:cs="Arial"/>
                <w:b w:val="0"/>
                <w:sz w:val="18"/>
                <w:szCs w:val="18"/>
              </w:rPr>
            </w:pPr>
            <w:r w:rsidRPr="0071237D">
              <w:rPr>
                <w:rFonts w:cs="Arial"/>
                <w:b w:val="0"/>
                <w:sz w:val="18"/>
                <w:szCs w:val="18"/>
              </w:rPr>
              <w:t>„Niski poziom wyspecjalizowania szkół ponadgimnazjalnych, przez co nie dysponują one wystarczającą bazą dydaktyczną”</w:t>
            </w:r>
            <w:r w:rsidRPr="0071237D">
              <w:rPr>
                <w:rStyle w:val="Odwoanieprzypisudolnego"/>
                <w:b w:val="0"/>
                <w:sz w:val="18"/>
                <w:szCs w:val="18"/>
              </w:rPr>
              <w:footnoteReference w:id="36"/>
            </w:r>
          </w:p>
        </w:tc>
        <w:tc>
          <w:tcPr>
            <w:tcW w:w="1843" w:type="dxa"/>
          </w:tcPr>
          <w:p w14:paraId="27708633"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Poddziałanie 11.1.4</w:t>
            </w:r>
          </w:p>
          <w:p w14:paraId="22D925C6"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Poddziałanie 11.1.5</w:t>
            </w:r>
          </w:p>
        </w:tc>
        <w:tc>
          <w:tcPr>
            <w:tcW w:w="1134" w:type="dxa"/>
          </w:tcPr>
          <w:p w14:paraId="7F8AEF33" w14:textId="77777777" w:rsidR="00023F05" w:rsidRPr="00C357B5" w:rsidRDefault="00023F05" w:rsidP="008F6121">
            <w:pPr>
              <w:spacing w:line="240" w:lineRule="auto"/>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46 71 884 EUR</w:t>
            </w:r>
          </w:p>
        </w:tc>
        <w:tc>
          <w:tcPr>
            <w:tcW w:w="4512" w:type="dxa"/>
          </w:tcPr>
          <w:p w14:paraId="1007624E"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Poddziałanie 11.1.4:</w:t>
            </w:r>
          </w:p>
          <w:p w14:paraId="0652F7AC"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1. Kształtowanie kompetencji kluczowych i umiejętności uniwersalnych uczniów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7F430D7"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2. Tworzenie w szkołach warunków do nauczania eksperymentalnego (w powiązaniu z zaplanowanymi w projekcie zajęciami).</w:t>
            </w:r>
          </w:p>
          <w:p w14:paraId="2E027A27"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3. Indywidualizacja pracy z uczniem o specjalnych bądź największych potrzebach edukacyjnych i rozwojowych.</w:t>
            </w:r>
          </w:p>
          <w:p w14:paraId="30150009"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4. Doskonalenie umiejętności i kompetencji zawodowych nauczycieli w zakresie zgodnym z zaplanowanym wsparciem na rzecz uczniów.</w:t>
            </w:r>
          </w:p>
          <w:p w14:paraId="30AF3941"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Poddziałanie 11.1.5:</w:t>
            </w:r>
          </w:p>
          <w:p w14:paraId="4D34403D"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Wsparcie młodzieży uzdolnionej w zakresie przedmiotów przyrodniczych, informatycznych, języków obcych nowożytnych, matematyki lub przedsiębiorczości (z wyłączeniem dzieci w wieku przedszkolnym) poprzez stypendia naukowe dla uczniów gimnazjów i szkół ponadgimnazjalnych.</w:t>
            </w:r>
          </w:p>
        </w:tc>
        <w:tc>
          <w:tcPr>
            <w:tcW w:w="1843" w:type="dxa"/>
          </w:tcPr>
          <w:p w14:paraId="689144E4"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Zwiększenie dostępności wysokiej jakości oferty kształcenia ogólnokształcącego.</w:t>
            </w:r>
          </w:p>
        </w:tc>
        <w:tc>
          <w:tcPr>
            <w:tcW w:w="1352" w:type="dxa"/>
          </w:tcPr>
          <w:p w14:paraId="280CCBC7"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Tak</w:t>
            </w:r>
          </w:p>
        </w:tc>
      </w:tr>
      <w:tr w:rsidR="00023F05" w:rsidRPr="00C357B5" w14:paraId="504C6E7A" w14:textId="77777777" w:rsidTr="00DF64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4" w:type="dxa"/>
          </w:tcPr>
          <w:p w14:paraId="22E04442" w14:textId="77777777" w:rsidR="00023F05" w:rsidRPr="0071237D" w:rsidRDefault="00023F05" w:rsidP="00DF64C7">
            <w:pPr>
              <w:pStyle w:val="Akapitzlist"/>
              <w:numPr>
                <w:ilvl w:val="0"/>
                <w:numId w:val="70"/>
              </w:numPr>
              <w:spacing w:line="240" w:lineRule="auto"/>
              <w:ind w:left="426"/>
              <w:jc w:val="left"/>
              <w:rPr>
                <w:b w:val="0"/>
                <w:sz w:val="18"/>
              </w:rPr>
            </w:pPr>
            <w:r w:rsidRPr="0071237D">
              <w:rPr>
                <w:b w:val="0"/>
                <w:sz w:val="18"/>
              </w:rPr>
              <w:t>„Niewystarczające dostosowanie edukacji zawodowej do potrzeb rynku pracy”</w:t>
            </w:r>
            <w:r w:rsidRPr="0071237D">
              <w:rPr>
                <w:rStyle w:val="Odwoanieprzypisudolnego"/>
                <w:b w:val="0"/>
                <w:sz w:val="18"/>
              </w:rPr>
              <w:footnoteReference w:id="37"/>
            </w:r>
          </w:p>
          <w:p w14:paraId="10A752A6" w14:textId="77777777" w:rsidR="00023F05" w:rsidRPr="0071237D" w:rsidRDefault="00023F05" w:rsidP="00DF64C7">
            <w:pPr>
              <w:pStyle w:val="Akapitzlist"/>
              <w:numPr>
                <w:ilvl w:val="0"/>
                <w:numId w:val="70"/>
              </w:numPr>
              <w:spacing w:line="240" w:lineRule="auto"/>
              <w:ind w:left="426"/>
              <w:jc w:val="left"/>
              <w:rPr>
                <w:b w:val="0"/>
                <w:sz w:val="18"/>
              </w:rPr>
            </w:pPr>
            <w:r w:rsidRPr="0071237D">
              <w:rPr>
                <w:b w:val="0"/>
                <w:sz w:val="18"/>
              </w:rPr>
              <w:t>„Widoczny jest spadek (…) zarówno liczby szkół jak i uczniów”.</w:t>
            </w:r>
            <w:r w:rsidRPr="0071237D">
              <w:rPr>
                <w:rStyle w:val="Odwoanieprzypisudolnego"/>
                <w:b w:val="0"/>
                <w:sz w:val="18"/>
              </w:rPr>
              <w:footnoteReference w:id="38"/>
            </w:r>
            <w:r w:rsidRPr="0071237D">
              <w:rPr>
                <w:b w:val="0"/>
                <w:sz w:val="18"/>
              </w:rPr>
              <w:t xml:space="preserve"> Zróżnicowanie zjawisko zauważalne jest w ujęciu subregionalnym.</w:t>
            </w:r>
          </w:p>
          <w:p w14:paraId="7E1A6665" w14:textId="77777777" w:rsidR="00023F05" w:rsidRPr="0071237D" w:rsidRDefault="00023F05" w:rsidP="00DF64C7">
            <w:pPr>
              <w:pStyle w:val="Akapitzlist"/>
              <w:numPr>
                <w:ilvl w:val="0"/>
                <w:numId w:val="70"/>
              </w:numPr>
              <w:spacing w:line="240" w:lineRule="auto"/>
              <w:ind w:left="426"/>
              <w:jc w:val="left"/>
              <w:rPr>
                <w:b w:val="0"/>
                <w:sz w:val="18"/>
              </w:rPr>
            </w:pPr>
            <w:r w:rsidRPr="0071237D">
              <w:rPr>
                <w:b w:val="0"/>
                <w:sz w:val="18"/>
              </w:rPr>
              <w:t>„Mimo relatywnie dużego potencjału szkolnictwa zawodowego</w:t>
            </w:r>
            <w:r w:rsidR="005243B5" w:rsidRPr="0071237D">
              <w:rPr>
                <w:b w:val="0"/>
                <w:sz w:val="18"/>
              </w:rPr>
              <w:t>,</w:t>
            </w:r>
            <w:r w:rsidRPr="0071237D">
              <w:rPr>
                <w:b w:val="0"/>
                <w:sz w:val="18"/>
              </w:rPr>
              <w:t xml:space="preserve"> jakim dysponuje województwo</w:t>
            </w:r>
            <w:r w:rsidR="005243B5" w:rsidRPr="0071237D">
              <w:rPr>
                <w:b w:val="0"/>
                <w:sz w:val="18"/>
              </w:rPr>
              <w:t>,</w:t>
            </w:r>
            <w:r w:rsidRPr="0071237D">
              <w:rPr>
                <w:b w:val="0"/>
                <w:sz w:val="18"/>
              </w:rPr>
              <w:t xml:space="preserve"> nadal należy inwestować w ten poziom kształcenia, gdyż pozwoli to na sukcesywny rozwój kwalifikacji zawodowych mieszkańców.”</w:t>
            </w:r>
            <w:r w:rsidRPr="0071237D">
              <w:rPr>
                <w:rStyle w:val="Odwoanieprzypisudolnego"/>
                <w:b w:val="0"/>
                <w:sz w:val="18"/>
              </w:rPr>
              <w:footnoteReference w:id="39"/>
            </w:r>
            <w:r w:rsidRPr="0071237D">
              <w:rPr>
                <w:b w:val="0"/>
                <w:sz w:val="18"/>
              </w:rPr>
              <w:t xml:space="preserve"> </w:t>
            </w:r>
          </w:p>
          <w:p w14:paraId="55D72474" w14:textId="77777777" w:rsidR="00023F05" w:rsidRPr="0071237D" w:rsidRDefault="00023F05" w:rsidP="00DF64C7">
            <w:pPr>
              <w:pStyle w:val="Akapitzlist"/>
              <w:numPr>
                <w:ilvl w:val="0"/>
                <w:numId w:val="70"/>
              </w:numPr>
              <w:spacing w:line="240" w:lineRule="auto"/>
              <w:ind w:left="426"/>
              <w:jc w:val="left"/>
              <w:rPr>
                <w:b w:val="0"/>
                <w:sz w:val="18"/>
              </w:rPr>
            </w:pPr>
            <w:r w:rsidRPr="0071237D">
              <w:rPr>
                <w:b w:val="0"/>
                <w:sz w:val="18"/>
              </w:rPr>
              <w:t>„Jednym z istotnych powodów braku efektywnej współpracy pracodawców ze szkołami na etapie kształcenia jest przede wszystkim niższa jakość nauczania w stosunku do szkolnictwa ogólnego, przez co cieszy się znacznie mniejszym zainteresowaniem wśród potencjalnych uczniów.”</w:t>
            </w:r>
            <w:r w:rsidRPr="0071237D">
              <w:rPr>
                <w:rStyle w:val="Odwoanieprzypisudolnego"/>
                <w:b w:val="0"/>
                <w:sz w:val="18"/>
              </w:rPr>
              <w:footnoteReference w:id="40"/>
            </w:r>
            <w:r w:rsidRPr="0071237D">
              <w:rPr>
                <w:b w:val="0"/>
                <w:sz w:val="18"/>
              </w:rPr>
              <w:t xml:space="preserve"> </w:t>
            </w:r>
          </w:p>
          <w:p w14:paraId="399E6868" w14:textId="77777777" w:rsidR="00023F05" w:rsidRPr="0071237D" w:rsidRDefault="00023F05" w:rsidP="00DF64C7">
            <w:pPr>
              <w:pStyle w:val="Akapitzlist"/>
              <w:numPr>
                <w:ilvl w:val="0"/>
                <w:numId w:val="70"/>
              </w:numPr>
              <w:spacing w:line="240" w:lineRule="auto"/>
              <w:ind w:left="426"/>
              <w:jc w:val="left"/>
              <w:rPr>
                <w:rFonts w:cs="Arial"/>
                <w:b w:val="0"/>
                <w:sz w:val="14"/>
                <w:szCs w:val="18"/>
              </w:rPr>
            </w:pPr>
            <w:r w:rsidRPr="0071237D">
              <w:rPr>
                <w:b w:val="0"/>
                <w:sz w:val="18"/>
              </w:rPr>
              <w:t>„Wskazuje się na konieczność poprawy wskaźnika dotyczącego ograniczenia liczby osób przedwcześnie kończących edukację. Oznacza to poprawę dostępności i jakości edukacji, a także wyników instytucji edukacyjnych na wszystkich etapach – od edukacji przedszkolnej do kształcenia ustawicznego.”</w:t>
            </w:r>
            <w:r w:rsidRPr="0071237D">
              <w:rPr>
                <w:rStyle w:val="Odwoanieprzypisudolnego"/>
                <w:b w:val="0"/>
                <w:sz w:val="18"/>
              </w:rPr>
              <w:footnoteReference w:id="41"/>
            </w:r>
          </w:p>
          <w:p w14:paraId="0D1837B3" w14:textId="77777777" w:rsidR="00023F05" w:rsidRPr="0071237D" w:rsidRDefault="00023F05" w:rsidP="00DF64C7">
            <w:pPr>
              <w:pStyle w:val="Akapitzlist"/>
              <w:numPr>
                <w:ilvl w:val="0"/>
                <w:numId w:val="70"/>
              </w:numPr>
              <w:spacing w:line="240" w:lineRule="auto"/>
              <w:ind w:left="426"/>
              <w:jc w:val="left"/>
              <w:rPr>
                <w:rFonts w:cs="Arial"/>
                <w:b w:val="0"/>
                <w:sz w:val="18"/>
                <w:szCs w:val="18"/>
              </w:rPr>
            </w:pPr>
            <w:r w:rsidRPr="0071237D">
              <w:rPr>
                <w:b w:val="0"/>
              </w:rPr>
              <w:t xml:space="preserve"> </w:t>
            </w:r>
            <w:r w:rsidRPr="0071237D">
              <w:rPr>
                <w:rFonts w:cs="Arial"/>
                <w:b w:val="0"/>
                <w:sz w:val="18"/>
                <w:szCs w:val="18"/>
              </w:rPr>
              <w:t>„Kształcenie zawodowe cieszy się niskim prestiżem, dlatego odsetek absolwentów kształcenia zawodowego nie wystarcza do pokrycia zapotrzebowania na fachowców”</w:t>
            </w:r>
            <w:r w:rsidRPr="0071237D">
              <w:rPr>
                <w:rStyle w:val="Odwoanieprzypisudolnego"/>
                <w:b w:val="0"/>
                <w:sz w:val="18"/>
                <w:szCs w:val="18"/>
              </w:rPr>
              <w:footnoteReference w:id="42"/>
            </w:r>
          </w:p>
          <w:p w14:paraId="751D804D" w14:textId="77777777" w:rsidR="00023F05" w:rsidRPr="0071237D" w:rsidRDefault="00023F05" w:rsidP="00DF64C7">
            <w:pPr>
              <w:pStyle w:val="Akapitzlist"/>
              <w:numPr>
                <w:ilvl w:val="0"/>
                <w:numId w:val="70"/>
              </w:numPr>
              <w:spacing w:line="240" w:lineRule="auto"/>
              <w:ind w:left="426"/>
              <w:jc w:val="left"/>
              <w:rPr>
                <w:rFonts w:cs="Arial"/>
                <w:b w:val="0"/>
                <w:sz w:val="18"/>
                <w:szCs w:val="18"/>
              </w:rPr>
            </w:pPr>
            <w:r w:rsidRPr="0071237D">
              <w:rPr>
                <w:rFonts w:cs="Arial"/>
                <w:b w:val="0"/>
                <w:sz w:val="18"/>
                <w:szCs w:val="18"/>
              </w:rPr>
              <w:t>„Deficyty kadrowe stanowią między innymi efekty nieadekwatnej jakości kształcenia”</w:t>
            </w:r>
            <w:r w:rsidRPr="0071237D">
              <w:rPr>
                <w:rStyle w:val="Odwoanieprzypisudolnego"/>
                <w:b w:val="0"/>
                <w:sz w:val="18"/>
                <w:szCs w:val="18"/>
              </w:rPr>
              <w:footnoteReference w:id="43"/>
            </w:r>
          </w:p>
          <w:p w14:paraId="07D0059C" w14:textId="77777777" w:rsidR="00023F05" w:rsidRPr="0071237D" w:rsidRDefault="00023F05" w:rsidP="00DF64C7">
            <w:pPr>
              <w:pStyle w:val="Akapitzlist"/>
              <w:numPr>
                <w:ilvl w:val="0"/>
                <w:numId w:val="70"/>
              </w:numPr>
              <w:spacing w:line="240" w:lineRule="auto"/>
              <w:ind w:left="426"/>
              <w:jc w:val="left"/>
              <w:rPr>
                <w:rFonts w:cs="Arial"/>
                <w:b w:val="0"/>
                <w:sz w:val="18"/>
                <w:szCs w:val="18"/>
              </w:rPr>
            </w:pPr>
            <w:r w:rsidRPr="0071237D">
              <w:rPr>
                <w:rFonts w:cs="Arial"/>
                <w:b w:val="0"/>
                <w:sz w:val="18"/>
                <w:szCs w:val="18"/>
              </w:rPr>
              <w:t>„Zidentyfikowano także zagadnienia i rzadko stosowane sposoby wykorzystania TIK, których rozwój byłby pożądany ze względu na cele nauczania lub potrzeby uczniów”</w:t>
            </w:r>
            <w:r w:rsidRPr="0071237D">
              <w:rPr>
                <w:rStyle w:val="Odwoanieprzypisudolnego"/>
                <w:b w:val="0"/>
                <w:sz w:val="18"/>
                <w:szCs w:val="18"/>
              </w:rPr>
              <w:footnoteReference w:id="44"/>
            </w:r>
          </w:p>
          <w:p w14:paraId="5273DA0F" w14:textId="77777777" w:rsidR="00023F05" w:rsidRPr="0071237D" w:rsidRDefault="00023F05" w:rsidP="00DF64C7">
            <w:pPr>
              <w:pStyle w:val="Akapitzlist"/>
              <w:numPr>
                <w:ilvl w:val="0"/>
                <w:numId w:val="70"/>
              </w:numPr>
              <w:spacing w:line="240" w:lineRule="auto"/>
              <w:ind w:left="426"/>
              <w:jc w:val="left"/>
              <w:rPr>
                <w:rFonts w:cs="Arial"/>
                <w:b w:val="0"/>
                <w:sz w:val="18"/>
                <w:szCs w:val="18"/>
              </w:rPr>
            </w:pPr>
            <w:r w:rsidRPr="0071237D">
              <w:rPr>
                <w:rFonts w:cs="Arial"/>
                <w:b w:val="0"/>
                <w:sz w:val="18"/>
                <w:szCs w:val="18"/>
              </w:rPr>
              <w:t>„Słaba korelacja pomiędzy kierunkami kształcenia a potrzebami pracodawców”</w:t>
            </w:r>
            <w:r w:rsidRPr="0071237D">
              <w:rPr>
                <w:rStyle w:val="Odwoanieprzypisudolnego"/>
                <w:b w:val="0"/>
                <w:sz w:val="18"/>
                <w:szCs w:val="18"/>
              </w:rPr>
              <w:footnoteReference w:id="45"/>
            </w:r>
          </w:p>
          <w:p w14:paraId="4181479E" w14:textId="77777777" w:rsidR="00023F05" w:rsidRPr="0071237D" w:rsidRDefault="00023F05" w:rsidP="00DF64C7">
            <w:pPr>
              <w:pStyle w:val="Akapitzlist"/>
              <w:numPr>
                <w:ilvl w:val="0"/>
                <w:numId w:val="70"/>
              </w:numPr>
              <w:spacing w:line="240" w:lineRule="auto"/>
              <w:ind w:left="426"/>
              <w:jc w:val="left"/>
              <w:rPr>
                <w:rFonts w:cs="Arial"/>
                <w:b w:val="0"/>
                <w:sz w:val="18"/>
                <w:szCs w:val="18"/>
              </w:rPr>
            </w:pPr>
            <w:r w:rsidRPr="0071237D">
              <w:rPr>
                <w:rFonts w:cs="Arial"/>
                <w:b w:val="0"/>
                <w:sz w:val="18"/>
                <w:szCs w:val="18"/>
              </w:rPr>
              <w:t>„Niska jakość dokształcania zawodowego i niedostosowanie do potrzeb rynku pracy”</w:t>
            </w:r>
            <w:r w:rsidRPr="0071237D">
              <w:rPr>
                <w:rStyle w:val="Odwoanieprzypisudolnego"/>
                <w:b w:val="0"/>
                <w:sz w:val="18"/>
                <w:szCs w:val="18"/>
              </w:rPr>
              <w:footnoteReference w:id="46"/>
            </w:r>
          </w:p>
          <w:p w14:paraId="17A54DE5" w14:textId="77777777" w:rsidR="00023F05" w:rsidRPr="0071237D" w:rsidRDefault="00023F05" w:rsidP="00DF64C7">
            <w:pPr>
              <w:pStyle w:val="Akapitzlist"/>
              <w:numPr>
                <w:ilvl w:val="0"/>
                <w:numId w:val="70"/>
              </w:numPr>
              <w:spacing w:line="240" w:lineRule="auto"/>
              <w:ind w:left="426"/>
              <w:jc w:val="left"/>
              <w:rPr>
                <w:rFonts w:cs="Arial"/>
                <w:b w:val="0"/>
                <w:sz w:val="18"/>
                <w:szCs w:val="18"/>
              </w:rPr>
            </w:pPr>
            <w:r w:rsidRPr="0071237D">
              <w:rPr>
                <w:rFonts w:cs="Arial"/>
                <w:b w:val="0"/>
                <w:sz w:val="18"/>
                <w:szCs w:val="18"/>
              </w:rPr>
              <w:t>„Niedopasowanie oferty do potrzeb rynku pracy.”</w:t>
            </w:r>
            <w:r w:rsidRPr="0071237D">
              <w:rPr>
                <w:rStyle w:val="Odwoanieprzypisudolnego"/>
                <w:b w:val="0"/>
                <w:sz w:val="18"/>
                <w:szCs w:val="18"/>
              </w:rPr>
              <w:footnoteReference w:id="47"/>
            </w:r>
          </w:p>
        </w:tc>
        <w:tc>
          <w:tcPr>
            <w:tcW w:w="1843" w:type="dxa"/>
          </w:tcPr>
          <w:p w14:paraId="3BAA0755"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 xml:space="preserve">Działanie 11.2 </w:t>
            </w:r>
          </w:p>
          <w:p w14:paraId="04E82A1D"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 xml:space="preserve">Poddziałanie 11.2.1 </w:t>
            </w:r>
          </w:p>
          <w:p w14:paraId="59A45308"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Poddziałanie 11.2.2 Poddziałanie</w:t>
            </w:r>
          </w:p>
          <w:p w14:paraId="1012321A"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11.2.3</w:t>
            </w:r>
          </w:p>
        </w:tc>
        <w:tc>
          <w:tcPr>
            <w:tcW w:w="1134" w:type="dxa"/>
          </w:tcPr>
          <w:p w14:paraId="2518BAE8" w14:textId="77777777" w:rsidR="00023F05" w:rsidRPr="00C357B5" w:rsidRDefault="00023F05" w:rsidP="008F6121">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53 493 650 EUR</w:t>
            </w:r>
          </w:p>
        </w:tc>
        <w:tc>
          <w:tcPr>
            <w:tcW w:w="4512" w:type="dxa"/>
          </w:tcPr>
          <w:p w14:paraId="40C7173F"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1. Poprawa jakości edukacji w szkołach i placówkach prowadzących kształcenie zawodowe we współpracy z otoczeniem, w szczególności z pracodawcami (doskonalenie umiejętności i kompetencji zawodowych nauczycieli zawodu i instruktorów praktycznej nauki zawodu; podnoszenie umiejętności oraz uzyskiwanie kwalifikacji zawodowych przez uczniów i wzmacnianie ich zdolności do zatrudnienia; rozwój współpracy szkół lub placówek prowadzących kształcenie zawodowe z ich otoczeniem społeczno-gospodarczym; rozwój doradztwa edukacyjno-zawodowego).</w:t>
            </w:r>
          </w:p>
          <w:p w14:paraId="30D391DF"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2. 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F8FE484"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 xml:space="preserve">3. Realizacja kompleksowych programów kształcenia praktycznego organizowanych w miejscu pracy. </w:t>
            </w:r>
          </w:p>
          <w:p w14:paraId="0E3E60E4"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4. Realizacja działań w zakresie stworzenia w szkole i placówkach prowadzących kształcenie zawodowe warunków kształcenia zawodu, odzwierciedlających naturalne warunki pracy.</w:t>
            </w:r>
          </w:p>
          <w:p w14:paraId="0A17C281"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5. Zapewnienie dostosowania ofert edukacyjnych szkół o profilu zawodowym do potrzeb gospodarki oraz zwiększenie dostępu uczniów do staży i praktyk zawodowych poprzez: wsparcie diagnostyczne i doradcze dla szkół zawodowych, zwiększenie wysokojakościowych praktyk i staży u pracodawców, przeprowadzenie kampanii społecznej poprawiającej obraz szkolnictwa zawodowego w regionie</w:t>
            </w:r>
            <w:r w:rsidRPr="00C357B5">
              <w:rPr>
                <w:rStyle w:val="Odwoanieprzypisudolnego"/>
                <w:sz w:val="18"/>
                <w:szCs w:val="18"/>
              </w:rPr>
              <w:footnoteReference w:id="48"/>
            </w:r>
            <w:r w:rsidRPr="00C357B5">
              <w:rPr>
                <w:rFonts w:cs="Arial"/>
                <w:sz w:val="18"/>
                <w:szCs w:val="18"/>
              </w:rPr>
              <w:t>.</w:t>
            </w:r>
          </w:p>
        </w:tc>
        <w:tc>
          <w:tcPr>
            <w:tcW w:w="1843" w:type="dxa"/>
          </w:tcPr>
          <w:p w14:paraId="4C8D80C4"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Podniesienie poziomu zatrudnienia wśród absolwentów szkół i placówek kształcenia zawodowego.</w:t>
            </w:r>
          </w:p>
        </w:tc>
        <w:tc>
          <w:tcPr>
            <w:tcW w:w="1352" w:type="dxa"/>
          </w:tcPr>
          <w:p w14:paraId="6B91B7FE"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Tak</w:t>
            </w:r>
          </w:p>
        </w:tc>
      </w:tr>
      <w:tr w:rsidR="00023F05" w:rsidRPr="00C357B5" w14:paraId="0CB18C5F" w14:textId="77777777" w:rsidTr="00DF64C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4" w:type="dxa"/>
          </w:tcPr>
          <w:p w14:paraId="1F372B0B" w14:textId="77777777" w:rsidR="00023F05" w:rsidRPr="0071237D" w:rsidRDefault="00023F05" w:rsidP="00DF64C7">
            <w:pPr>
              <w:pStyle w:val="Akapitzlist"/>
              <w:numPr>
                <w:ilvl w:val="0"/>
                <w:numId w:val="71"/>
              </w:numPr>
              <w:spacing w:line="240" w:lineRule="auto"/>
              <w:ind w:left="426"/>
              <w:jc w:val="left"/>
              <w:rPr>
                <w:b w:val="0"/>
                <w:sz w:val="18"/>
              </w:rPr>
            </w:pPr>
            <w:r w:rsidRPr="0071237D">
              <w:rPr>
                <w:b w:val="0"/>
                <w:sz w:val="18"/>
              </w:rPr>
              <w:t>„Niewystarczające dostosowanie edukacji zawodowej do potrzeb rynku pracy”</w:t>
            </w:r>
            <w:r w:rsidRPr="0071237D">
              <w:rPr>
                <w:rStyle w:val="Odwoanieprzypisudolnego"/>
                <w:b w:val="0"/>
                <w:sz w:val="18"/>
              </w:rPr>
              <w:footnoteReference w:id="49"/>
            </w:r>
          </w:p>
          <w:p w14:paraId="227B0DFA" w14:textId="77777777" w:rsidR="00023F05" w:rsidRPr="0071237D" w:rsidRDefault="00023F05" w:rsidP="00DF64C7">
            <w:pPr>
              <w:pStyle w:val="Akapitzlist"/>
              <w:numPr>
                <w:ilvl w:val="0"/>
                <w:numId w:val="71"/>
              </w:numPr>
              <w:spacing w:line="240" w:lineRule="auto"/>
              <w:ind w:left="426"/>
              <w:jc w:val="left"/>
              <w:rPr>
                <w:rFonts w:cs="Arial"/>
                <w:b w:val="0"/>
                <w:sz w:val="14"/>
                <w:szCs w:val="18"/>
              </w:rPr>
            </w:pPr>
            <w:r w:rsidRPr="0071237D">
              <w:rPr>
                <w:b w:val="0"/>
                <w:sz w:val="18"/>
              </w:rPr>
              <w:t>„Prawie 80% pracodawców doświadczało trudności z rekrutacją kandydatów odpowiadających ich oczekiwaniom. Główną przyczyną tych trudności jest fakt, że kandydaci nie spełniają stawianych im wymagań – przede wszystkim w zakresie posiadanych kompetencji.”</w:t>
            </w:r>
            <w:r w:rsidRPr="0071237D">
              <w:rPr>
                <w:rStyle w:val="Odwoanieprzypisudolnego"/>
                <w:b w:val="0"/>
                <w:sz w:val="18"/>
              </w:rPr>
              <w:footnoteReference w:id="50"/>
            </w:r>
          </w:p>
          <w:p w14:paraId="65D40683" w14:textId="77777777" w:rsidR="00023F05" w:rsidRPr="0071237D" w:rsidRDefault="00023F05" w:rsidP="00DF64C7">
            <w:pPr>
              <w:pStyle w:val="Akapitzlist"/>
              <w:numPr>
                <w:ilvl w:val="0"/>
                <w:numId w:val="71"/>
              </w:numPr>
              <w:spacing w:line="240" w:lineRule="auto"/>
              <w:ind w:left="426"/>
              <w:jc w:val="left"/>
              <w:rPr>
                <w:rFonts w:cs="Arial"/>
                <w:b w:val="0"/>
                <w:sz w:val="18"/>
                <w:szCs w:val="18"/>
              </w:rPr>
            </w:pPr>
            <w:r w:rsidRPr="0071237D">
              <w:rPr>
                <w:rFonts w:cs="Arial"/>
                <w:b w:val="0"/>
                <w:sz w:val="18"/>
                <w:szCs w:val="18"/>
              </w:rPr>
              <w:t>„Wskaźnik zatrudnienia dla osób wieku 20-24 wynosił niewiele ponad 45%”</w:t>
            </w:r>
            <w:r w:rsidRPr="0071237D">
              <w:rPr>
                <w:rStyle w:val="Odwoanieprzypisudolnego"/>
                <w:b w:val="0"/>
                <w:sz w:val="18"/>
                <w:szCs w:val="18"/>
              </w:rPr>
              <w:footnoteReference w:id="51"/>
            </w:r>
          </w:p>
          <w:p w14:paraId="120AAF80" w14:textId="77777777" w:rsidR="00023F05" w:rsidRPr="0071237D" w:rsidRDefault="00023F05" w:rsidP="00DF64C7">
            <w:pPr>
              <w:pStyle w:val="Akapitzlist"/>
              <w:numPr>
                <w:ilvl w:val="0"/>
                <w:numId w:val="71"/>
              </w:numPr>
              <w:spacing w:line="240" w:lineRule="auto"/>
              <w:ind w:left="426"/>
              <w:jc w:val="left"/>
              <w:rPr>
                <w:rFonts w:cs="Arial"/>
                <w:b w:val="0"/>
                <w:sz w:val="18"/>
                <w:szCs w:val="18"/>
              </w:rPr>
            </w:pPr>
            <w:r w:rsidRPr="0071237D">
              <w:rPr>
                <w:rFonts w:cs="Arial"/>
                <w:b w:val="0"/>
                <w:sz w:val="18"/>
                <w:szCs w:val="18"/>
              </w:rPr>
              <w:t>„Śląscy pracodawcy oczekują od potencjalnych pracowników przede wszystkim posiadania doświadczenia zawodowego oraz uprawnień/certyfikatów. Stosunkowo często od kandydatów do pracy wymagane jest również posiadanie umiejętności/kwalifikacji zawodowych”</w:t>
            </w:r>
            <w:r w:rsidRPr="0071237D">
              <w:rPr>
                <w:rStyle w:val="Odwoanieprzypisudolnego"/>
                <w:b w:val="0"/>
                <w:sz w:val="18"/>
                <w:szCs w:val="18"/>
              </w:rPr>
              <w:footnoteReference w:id="52"/>
            </w:r>
          </w:p>
          <w:p w14:paraId="3EFB8828" w14:textId="77777777" w:rsidR="00023F05" w:rsidRPr="0071237D" w:rsidRDefault="00023F05" w:rsidP="00DF64C7">
            <w:pPr>
              <w:pStyle w:val="Akapitzlist"/>
              <w:numPr>
                <w:ilvl w:val="0"/>
                <w:numId w:val="71"/>
              </w:numPr>
              <w:spacing w:line="240" w:lineRule="auto"/>
              <w:ind w:left="426"/>
              <w:jc w:val="left"/>
              <w:rPr>
                <w:rFonts w:cs="Arial"/>
                <w:b w:val="0"/>
                <w:sz w:val="18"/>
                <w:szCs w:val="18"/>
              </w:rPr>
            </w:pPr>
            <w:r w:rsidRPr="0071237D">
              <w:rPr>
                <w:rFonts w:cs="Arial"/>
                <w:b w:val="0"/>
                <w:sz w:val="18"/>
                <w:szCs w:val="18"/>
              </w:rPr>
              <w:t>„Duża przypadkowość w doborze drogi kształcenia przez młodzież, wzmagająca problemy ze znalezieniem pracy w przyszłości”</w:t>
            </w:r>
            <w:r w:rsidRPr="0071237D">
              <w:rPr>
                <w:rStyle w:val="Odwoanieprzypisudolnego"/>
                <w:b w:val="0"/>
                <w:sz w:val="18"/>
                <w:szCs w:val="18"/>
              </w:rPr>
              <w:footnoteReference w:id="53"/>
            </w:r>
          </w:p>
        </w:tc>
        <w:tc>
          <w:tcPr>
            <w:tcW w:w="1843" w:type="dxa"/>
          </w:tcPr>
          <w:p w14:paraId="52A34B62"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Działanie 11.3</w:t>
            </w:r>
          </w:p>
        </w:tc>
        <w:tc>
          <w:tcPr>
            <w:tcW w:w="1134" w:type="dxa"/>
          </w:tcPr>
          <w:p w14:paraId="5D8FDB2C" w14:textId="77777777" w:rsidR="00023F05" w:rsidRPr="00C357B5" w:rsidRDefault="00023F05" w:rsidP="008F6121">
            <w:pPr>
              <w:spacing w:line="240" w:lineRule="auto"/>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31 184 471 EUR</w:t>
            </w:r>
          </w:p>
        </w:tc>
        <w:tc>
          <w:tcPr>
            <w:tcW w:w="4512" w:type="dxa"/>
          </w:tcPr>
          <w:p w14:paraId="72D80863"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1. Kwalifikacyjne kursy zawodowe dla osób dorosłych, zainteresowanych zdobyciem nowej kwalifikacji lub szkolenia przygotowujące do egzaminu sprawdzającego, czeladniczego lub mistrzowskiego.</w:t>
            </w:r>
          </w:p>
          <w:p w14:paraId="64C6C343"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2. Kursy umiejętności zawodowych.</w:t>
            </w:r>
          </w:p>
          <w:p w14:paraId="383DC093"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3. Pozaszkolne formy rozwoju kompetencji ogólnych, w tym kursy kompetencji ogólnych – możliwy do realizacji wyłącznie w powiązaniu z kwalifikacyjnymi kursami zawodowymi.</w:t>
            </w:r>
          </w:p>
          <w:p w14:paraId="34119C13"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4. Kursy, inne niż wymienione, umożliwiające uzyskiwanie i uzupełnianie wiedzy, umiejętności i kwalifikacji zawodowych.</w:t>
            </w:r>
          </w:p>
          <w:p w14:paraId="229D421F"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5. Programy formalnej oceny i potwierdzania umiejętności/ wiedzy uzyskanych w sposób pozaformalny i nieformalny w odniesieniu do kwalifikacji zawodowych.</w:t>
            </w:r>
          </w:p>
          <w:p w14:paraId="05FE621A"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6. Kształcenie w formach szkolnych osób dorosłych, z własnej inicjatywy zainteresowanych zdobyciem, uzupełnieniem lub podwyższeniem wykształcenia i kwalifikacji zawodowych.</w:t>
            </w:r>
          </w:p>
          <w:p w14:paraId="0B0633D3"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 xml:space="preserve">7. Realizacja działań w zakresie stworzenia w szkole prowadzącej kształcenie dla dorosłych i placówkach systemu oświaty prowadzących kształcenie zawodowe dla dorosłych warunków kształcenia </w:t>
            </w:r>
            <w:r w:rsidRPr="00A07515">
              <w:rPr>
                <w:rFonts w:cs="Arial"/>
                <w:sz w:val="18"/>
                <w:szCs w:val="18"/>
              </w:rPr>
              <w:t>zawodu</w:t>
            </w:r>
            <w:r>
              <w:rPr>
                <w:rFonts w:cs="Arial"/>
                <w:sz w:val="18"/>
                <w:szCs w:val="18"/>
              </w:rPr>
              <w:t xml:space="preserve"> (</w:t>
            </w:r>
            <w:r w:rsidRPr="007C5080">
              <w:rPr>
                <w:rFonts w:cs="Arial"/>
                <w:sz w:val="18"/>
                <w:szCs w:val="18"/>
              </w:rPr>
              <w:t>możliwy do re</w:t>
            </w:r>
            <w:r>
              <w:rPr>
                <w:rFonts w:cs="Arial"/>
                <w:sz w:val="18"/>
                <w:szCs w:val="18"/>
              </w:rPr>
              <w:t>alizacji wyłącznie z typami 1-6)</w:t>
            </w:r>
            <w:r w:rsidRPr="00C357B5">
              <w:rPr>
                <w:rFonts w:cs="Arial"/>
                <w:sz w:val="18"/>
                <w:szCs w:val="18"/>
              </w:rPr>
              <w:t>.</w:t>
            </w:r>
          </w:p>
          <w:p w14:paraId="07FED7DC"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8. Poprawa jakości edukacji w szkołach prowadzących kształcenie dla dorosłych i placówkach prowadzących kształcenie zawodowe dla dorosłych we współpracy z otoczeniem, w szczególności z pracodawcami, w tym doskonalenie umiejętności nauczycieli zawodu.</w:t>
            </w:r>
          </w:p>
          <w:p w14:paraId="56ABBADC"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9. Tworzenie i rozwój centrów kształcenia zawodowego i ustawicznego oraz wsparcie usług edukacyjnych realizowanych przez te podmioty lub inne zespoły realizujące zadania zbieżne z zadaniami CKZiU na rzecz kształcenia zawodowego, a także podejmujących działania w zakresie poradnictwa edukacyjno-zawodowego i informacji zawodowej.</w:t>
            </w:r>
          </w:p>
        </w:tc>
        <w:tc>
          <w:tcPr>
            <w:tcW w:w="1843" w:type="dxa"/>
          </w:tcPr>
          <w:p w14:paraId="152C5CA5"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Wzrost zatrudnienia wśród absolwentów szkół i placówek kształcenia zawodowego poprzez poprawę efektywności realizowanego wsparcia.</w:t>
            </w:r>
          </w:p>
        </w:tc>
        <w:tc>
          <w:tcPr>
            <w:tcW w:w="1352" w:type="dxa"/>
          </w:tcPr>
          <w:p w14:paraId="61EAEDCC"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Tak</w:t>
            </w:r>
          </w:p>
        </w:tc>
      </w:tr>
      <w:tr w:rsidR="00023F05" w:rsidRPr="00C357B5" w14:paraId="289001F8" w14:textId="77777777" w:rsidTr="00DF64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4" w:type="dxa"/>
          </w:tcPr>
          <w:p w14:paraId="1262C326" w14:textId="77777777" w:rsidR="00023F05" w:rsidRPr="0071237D" w:rsidRDefault="00023F05" w:rsidP="00DF64C7">
            <w:pPr>
              <w:pStyle w:val="Akapitzlist"/>
              <w:numPr>
                <w:ilvl w:val="0"/>
                <w:numId w:val="72"/>
              </w:numPr>
              <w:spacing w:line="240" w:lineRule="auto"/>
              <w:ind w:left="426"/>
              <w:jc w:val="left"/>
              <w:rPr>
                <w:b w:val="0"/>
                <w:sz w:val="18"/>
              </w:rPr>
            </w:pPr>
            <w:r w:rsidRPr="0071237D">
              <w:rPr>
                <w:b w:val="0"/>
                <w:sz w:val="18"/>
              </w:rPr>
              <w:t>„Niska aktywność osób dorosłych (po 25 roku życia) w kształceniu lub szkoleniu”</w:t>
            </w:r>
            <w:r w:rsidRPr="0071237D">
              <w:rPr>
                <w:rStyle w:val="Odwoanieprzypisudolnego"/>
                <w:b w:val="0"/>
                <w:sz w:val="18"/>
              </w:rPr>
              <w:footnoteReference w:id="54"/>
            </w:r>
            <w:r w:rsidRPr="0071237D">
              <w:rPr>
                <w:b w:val="0"/>
                <w:sz w:val="18"/>
              </w:rPr>
              <w:t xml:space="preserve"> </w:t>
            </w:r>
          </w:p>
          <w:p w14:paraId="71E549D7" w14:textId="77777777" w:rsidR="00023F05" w:rsidRPr="0071237D" w:rsidRDefault="00023F05" w:rsidP="00DF64C7">
            <w:pPr>
              <w:pStyle w:val="Akapitzlist"/>
              <w:numPr>
                <w:ilvl w:val="0"/>
                <w:numId w:val="72"/>
              </w:numPr>
              <w:spacing w:line="240" w:lineRule="auto"/>
              <w:ind w:left="426"/>
              <w:jc w:val="left"/>
              <w:rPr>
                <w:b w:val="0"/>
                <w:sz w:val="18"/>
              </w:rPr>
            </w:pPr>
            <w:r w:rsidRPr="0071237D">
              <w:rPr>
                <w:b w:val="0"/>
                <w:sz w:val="18"/>
              </w:rPr>
              <w:t>„Prawie 80% pracodawców doświadczało trudności z rekrutacją kandydatów odpowiadających ich oczekiwaniom. Główną przyczyną tych trudności jest fakt, że kandydaci nie spełniają stawianych im wymagań – przede wszystkim w zakresie posiadanych kompetencji.”</w:t>
            </w:r>
            <w:r w:rsidRPr="0071237D">
              <w:rPr>
                <w:rStyle w:val="Odwoanieprzypisudolnego"/>
                <w:b w:val="0"/>
                <w:sz w:val="18"/>
              </w:rPr>
              <w:footnoteReference w:id="55"/>
            </w:r>
            <w:r w:rsidRPr="0071237D">
              <w:rPr>
                <w:b w:val="0"/>
                <w:sz w:val="18"/>
              </w:rPr>
              <w:t xml:space="preserve"> </w:t>
            </w:r>
          </w:p>
          <w:p w14:paraId="044EB06D" w14:textId="77777777" w:rsidR="00023F05" w:rsidRPr="0071237D" w:rsidRDefault="00023F05" w:rsidP="00DF64C7">
            <w:pPr>
              <w:pStyle w:val="Akapitzlist"/>
              <w:numPr>
                <w:ilvl w:val="0"/>
                <w:numId w:val="72"/>
              </w:numPr>
              <w:spacing w:line="240" w:lineRule="auto"/>
              <w:ind w:left="426"/>
              <w:jc w:val="left"/>
              <w:rPr>
                <w:b w:val="0"/>
                <w:sz w:val="18"/>
              </w:rPr>
            </w:pPr>
            <w:r w:rsidRPr="0071237D">
              <w:rPr>
                <w:b w:val="0"/>
                <w:sz w:val="18"/>
              </w:rPr>
              <w:t>„Istotnym elementem kształcenia zawodowego pozostaje kształcenie ustawiczne skierowane do dorosłych mieszkańców regionu. Koniecznym dla wzmocnienia potencjału społecznego i gospodarczego regionu jest nasilenie i ustrukturyzowanie działań na rzecz wspierania modelu kształcenia przez całe życie, który jest w Polsce oparty na słabych fundamentach”</w:t>
            </w:r>
            <w:r w:rsidRPr="0071237D">
              <w:rPr>
                <w:rStyle w:val="Odwoanieprzypisudolnego"/>
                <w:b w:val="0"/>
                <w:sz w:val="18"/>
              </w:rPr>
              <w:footnoteReference w:id="56"/>
            </w:r>
            <w:r w:rsidRPr="0071237D">
              <w:rPr>
                <w:b w:val="0"/>
                <w:sz w:val="18"/>
              </w:rPr>
              <w:t xml:space="preserve"> </w:t>
            </w:r>
          </w:p>
          <w:p w14:paraId="59D2E7B0" w14:textId="77777777" w:rsidR="00023F05" w:rsidRPr="0071237D" w:rsidRDefault="00023F05" w:rsidP="00DF64C7">
            <w:pPr>
              <w:pStyle w:val="Akapitzlist"/>
              <w:numPr>
                <w:ilvl w:val="0"/>
                <w:numId w:val="72"/>
              </w:numPr>
              <w:spacing w:line="240" w:lineRule="auto"/>
              <w:ind w:left="426"/>
              <w:jc w:val="left"/>
              <w:rPr>
                <w:b w:val="0"/>
                <w:sz w:val="18"/>
              </w:rPr>
            </w:pPr>
            <w:r w:rsidRPr="0071237D">
              <w:rPr>
                <w:b w:val="0"/>
                <w:sz w:val="18"/>
              </w:rPr>
              <w:t>„Wśród osób w wieku 50-69 lat odsetek osób uczestniczących w edukacji wynosił poniżej 1,5%.”</w:t>
            </w:r>
            <w:r w:rsidRPr="0071237D">
              <w:rPr>
                <w:rStyle w:val="Odwoanieprzypisudolnego"/>
                <w:b w:val="0"/>
                <w:sz w:val="18"/>
              </w:rPr>
              <w:footnoteReference w:id="57"/>
            </w:r>
            <w:r w:rsidRPr="0071237D">
              <w:rPr>
                <w:b w:val="0"/>
                <w:sz w:val="18"/>
              </w:rPr>
              <w:t xml:space="preserve"> </w:t>
            </w:r>
          </w:p>
          <w:p w14:paraId="0B0F3D95" w14:textId="77777777" w:rsidR="00023F05" w:rsidRPr="0071237D" w:rsidRDefault="00023F05" w:rsidP="00DF64C7">
            <w:pPr>
              <w:pStyle w:val="Akapitzlist"/>
              <w:numPr>
                <w:ilvl w:val="0"/>
                <w:numId w:val="72"/>
              </w:numPr>
              <w:spacing w:line="240" w:lineRule="auto"/>
              <w:ind w:left="426"/>
              <w:jc w:val="left"/>
              <w:rPr>
                <w:rFonts w:cs="Arial"/>
                <w:b w:val="0"/>
                <w:sz w:val="18"/>
                <w:szCs w:val="18"/>
              </w:rPr>
            </w:pPr>
            <w:r w:rsidRPr="0071237D">
              <w:rPr>
                <w:b w:val="0"/>
                <w:sz w:val="18"/>
              </w:rPr>
              <w:t>„Działania, które będą podejmowane do roku 2020 powinny przyczynić się do rozwoju kompetencji i umiejętności wśród mieszkańców województwa, co w efekcie przełoży się na wzrost poziomu zatrudnienia oraz ułatwi mieszkańcom radzenie sobie ze zmianami i wyzwaniami na rynku pracy.”</w:t>
            </w:r>
            <w:r w:rsidRPr="0071237D">
              <w:rPr>
                <w:rStyle w:val="Odwoanieprzypisudolnego"/>
                <w:b w:val="0"/>
                <w:sz w:val="18"/>
              </w:rPr>
              <w:footnoteReference w:id="58"/>
            </w:r>
            <w:r w:rsidRPr="0071237D">
              <w:rPr>
                <w:b w:val="0"/>
                <w:sz w:val="18"/>
              </w:rPr>
              <w:t xml:space="preserve">  </w:t>
            </w:r>
            <w:r w:rsidRPr="0071237D">
              <w:rPr>
                <w:rFonts w:cs="Arial"/>
                <w:b w:val="0"/>
                <w:sz w:val="18"/>
                <w:szCs w:val="18"/>
              </w:rPr>
              <w:t>„Śląscy pracodawcy oczekują od potencjalnych pracowników przede wszystkim posiadania doświadczenia zawodowego oraz uprawnień/certyfikatów. Stosunkowo często od kandydatów do pracy wymagane jest również posiadanie umiejętności/kwalifikacji zawodowych”</w:t>
            </w:r>
            <w:r w:rsidRPr="0071237D">
              <w:rPr>
                <w:rStyle w:val="Odwoanieprzypisudolnego"/>
                <w:b w:val="0"/>
                <w:sz w:val="18"/>
                <w:szCs w:val="18"/>
              </w:rPr>
              <w:footnoteReference w:id="59"/>
            </w:r>
          </w:p>
          <w:p w14:paraId="62BA2D28" w14:textId="77777777" w:rsidR="00023F05" w:rsidRPr="0071237D" w:rsidRDefault="00023F05" w:rsidP="00DF64C7">
            <w:pPr>
              <w:pStyle w:val="Akapitzlist"/>
              <w:numPr>
                <w:ilvl w:val="0"/>
                <w:numId w:val="72"/>
              </w:numPr>
              <w:spacing w:line="240" w:lineRule="auto"/>
              <w:ind w:left="426"/>
              <w:jc w:val="left"/>
              <w:rPr>
                <w:rFonts w:cs="Arial"/>
                <w:b w:val="0"/>
                <w:sz w:val="18"/>
                <w:szCs w:val="18"/>
              </w:rPr>
            </w:pPr>
            <w:r w:rsidRPr="0071237D">
              <w:rPr>
                <w:rFonts w:cs="Arial"/>
                <w:b w:val="0"/>
                <w:sz w:val="18"/>
                <w:szCs w:val="18"/>
              </w:rPr>
              <w:t>„Obok problemów związanych z brakiem kandydatów do pracy, zidentyfikowano również trudności pracodawców dotyczące braku wymaganych kwalifikacji/umiejętności u kandydatów na oferowane stanowisko pracy”</w:t>
            </w:r>
            <w:r w:rsidRPr="0071237D">
              <w:rPr>
                <w:rStyle w:val="Odwoanieprzypisudolnego"/>
                <w:b w:val="0"/>
                <w:sz w:val="18"/>
                <w:szCs w:val="18"/>
              </w:rPr>
              <w:footnoteReference w:id="60"/>
            </w:r>
          </w:p>
          <w:p w14:paraId="1B6341EF" w14:textId="77777777" w:rsidR="00023F05" w:rsidRPr="0071237D" w:rsidRDefault="00023F05" w:rsidP="00DF64C7">
            <w:pPr>
              <w:pStyle w:val="Akapitzlist"/>
              <w:numPr>
                <w:ilvl w:val="0"/>
                <w:numId w:val="72"/>
              </w:numPr>
              <w:spacing w:line="240" w:lineRule="auto"/>
              <w:ind w:left="426"/>
              <w:jc w:val="left"/>
              <w:rPr>
                <w:rFonts w:cs="Arial"/>
                <w:b w:val="0"/>
                <w:sz w:val="18"/>
                <w:szCs w:val="18"/>
              </w:rPr>
            </w:pPr>
            <w:r w:rsidRPr="0071237D">
              <w:rPr>
                <w:rFonts w:cs="Arial"/>
                <w:b w:val="0"/>
                <w:sz w:val="18"/>
                <w:szCs w:val="18"/>
              </w:rPr>
              <w:t>„Niski wskaźnik uczestnictwa ludności w kształceniu ustawicznym”</w:t>
            </w:r>
            <w:r w:rsidRPr="0071237D">
              <w:rPr>
                <w:rStyle w:val="Odwoanieprzypisudolnego"/>
                <w:b w:val="0"/>
                <w:sz w:val="18"/>
                <w:szCs w:val="18"/>
              </w:rPr>
              <w:footnoteReference w:id="61"/>
            </w:r>
          </w:p>
        </w:tc>
        <w:tc>
          <w:tcPr>
            <w:tcW w:w="1843" w:type="dxa"/>
          </w:tcPr>
          <w:p w14:paraId="49E51E9A"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 xml:space="preserve">Działanie 11.4 </w:t>
            </w:r>
          </w:p>
          <w:p w14:paraId="75D3DD4C"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 xml:space="preserve">Poddziałanie 11.4.1 </w:t>
            </w:r>
          </w:p>
          <w:p w14:paraId="5BDDA744"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Poddziałanie 11.4.2</w:t>
            </w:r>
          </w:p>
          <w:p w14:paraId="6166C2E1"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Poddziałanie 11.4.3</w:t>
            </w:r>
          </w:p>
        </w:tc>
        <w:tc>
          <w:tcPr>
            <w:tcW w:w="1134" w:type="dxa"/>
          </w:tcPr>
          <w:p w14:paraId="3E4F1026" w14:textId="77777777" w:rsidR="00023F05" w:rsidRPr="00C357B5" w:rsidRDefault="00023F05" w:rsidP="008F6121">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30 184 471 EUR</w:t>
            </w:r>
          </w:p>
        </w:tc>
        <w:tc>
          <w:tcPr>
            <w:tcW w:w="4512" w:type="dxa"/>
          </w:tcPr>
          <w:p w14:paraId="7A2B568C"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1. Szkolenia i kursy skierowane do osób dorosłych, które z własnej inicjatywy są zainteresowane nabyciem, uzupełnieniem lub podwyższeniem umiejętności, kompetencji lub kwalifikacji w obszarze umiejętności ICT i znajomości języków obcych.</w:t>
            </w:r>
          </w:p>
          <w:p w14:paraId="6BA42368"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2. Programy walidacji i certyfikacji kompetencji uzyskanych poza projektem w zakresie ICT i języków obcych.</w:t>
            </w:r>
          </w:p>
        </w:tc>
        <w:tc>
          <w:tcPr>
            <w:tcW w:w="1843" w:type="dxa"/>
          </w:tcPr>
          <w:p w14:paraId="12EF3203"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Zdobycie kwalifikacji lub kompetencji w zakresie umiejętności cyfrowych i języków obcych dorosłych mieszkańców regionu, w szczególności osób starszych oraz osób o niskich kwalifikacjach.</w:t>
            </w:r>
          </w:p>
        </w:tc>
        <w:tc>
          <w:tcPr>
            <w:tcW w:w="1352" w:type="dxa"/>
          </w:tcPr>
          <w:p w14:paraId="7D5E5FD9"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Tak</w:t>
            </w:r>
          </w:p>
        </w:tc>
      </w:tr>
      <w:tr w:rsidR="00023F05" w:rsidRPr="00C357B5" w14:paraId="6D5811DE" w14:textId="77777777" w:rsidTr="00DF64C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4" w:type="dxa"/>
          </w:tcPr>
          <w:p w14:paraId="37A83D91" w14:textId="77777777" w:rsidR="00023F05" w:rsidRPr="0071237D" w:rsidRDefault="00023F05" w:rsidP="00DF64C7">
            <w:pPr>
              <w:pStyle w:val="Akapitzlist"/>
              <w:numPr>
                <w:ilvl w:val="0"/>
                <w:numId w:val="73"/>
              </w:numPr>
              <w:spacing w:line="240" w:lineRule="auto"/>
              <w:ind w:left="426"/>
              <w:jc w:val="left"/>
              <w:rPr>
                <w:b w:val="0"/>
                <w:sz w:val="18"/>
              </w:rPr>
            </w:pPr>
            <w:r w:rsidRPr="0071237D">
              <w:rPr>
                <w:b w:val="0"/>
                <w:sz w:val="18"/>
              </w:rPr>
              <w:t>„Problem dostępności do wychowania przedszkolnego oraz rosnących potrzeb w tym zakresie na obszarach miast”</w:t>
            </w:r>
            <w:r w:rsidRPr="0071237D">
              <w:rPr>
                <w:rStyle w:val="Odwoanieprzypisudolnego"/>
                <w:b w:val="0"/>
                <w:sz w:val="18"/>
              </w:rPr>
              <w:footnoteReference w:id="62"/>
            </w:r>
            <w:r w:rsidRPr="0071237D">
              <w:rPr>
                <w:b w:val="0"/>
                <w:sz w:val="18"/>
              </w:rPr>
              <w:t xml:space="preserve"> </w:t>
            </w:r>
          </w:p>
          <w:p w14:paraId="4C4EBF8A" w14:textId="77777777" w:rsidR="00023F05" w:rsidRPr="0071237D" w:rsidRDefault="00023F05" w:rsidP="00DF64C7">
            <w:pPr>
              <w:pStyle w:val="Akapitzlist"/>
              <w:numPr>
                <w:ilvl w:val="0"/>
                <w:numId w:val="73"/>
              </w:numPr>
              <w:spacing w:line="240" w:lineRule="auto"/>
              <w:ind w:left="426"/>
              <w:jc w:val="left"/>
              <w:rPr>
                <w:b w:val="0"/>
                <w:sz w:val="18"/>
              </w:rPr>
            </w:pPr>
            <w:r w:rsidRPr="0071237D">
              <w:rPr>
                <w:b w:val="0"/>
                <w:sz w:val="18"/>
              </w:rPr>
              <w:t>„Niska dynamika wzrostu liczby miejsc w placówkach przedszkolnych”</w:t>
            </w:r>
            <w:r w:rsidRPr="0071237D">
              <w:rPr>
                <w:rStyle w:val="Odwoanieprzypisudolnego"/>
                <w:b w:val="0"/>
                <w:sz w:val="18"/>
              </w:rPr>
              <w:footnoteReference w:id="63"/>
            </w:r>
            <w:r w:rsidRPr="0071237D">
              <w:rPr>
                <w:b w:val="0"/>
                <w:sz w:val="18"/>
              </w:rPr>
              <w:t xml:space="preserve"> </w:t>
            </w:r>
          </w:p>
          <w:p w14:paraId="0416DF23" w14:textId="77777777" w:rsidR="00023F05" w:rsidRPr="0071237D" w:rsidRDefault="00023F05" w:rsidP="00DF64C7">
            <w:pPr>
              <w:pStyle w:val="Akapitzlist"/>
              <w:numPr>
                <w:ilvl w:val="0"/>
                <w:numId w:val="73"/>
              </w:numPr>
              <w:spacing w:line="240" w:lineRule="auto"/>
              <w:ind w:left="426"/>
              <w:jc w:val="left"/>
              <w:rPr>
                <w:rFonts w:cs="Arial"/>
                <w:b w:val="0"/>
                <w:sz w:val="18"/>
                <w:szCs w:val="18"/>
              </w:rPr>
            </w:pPr>
            <w:r w:rsidRPr="0071237D">
              <w:rPr>
                <w:b w:val="0"/>
                <w:sz w:val="18"/>
              </w:rPr>
              <w:t>„Rekomenduje się wsparcie inwestycji w infrastrukturę przedszkolną na słabiej rozwiniętych obszarach oraz na obszarach miejskich, w których liczba placówek przedszkolnych jest niewystarczająca.”</w:t>
            </w:r>
            <w:r w:rsidRPr="0071237D">
              <w:rPr>
                <w:rStyle w:val="Odwoanieprzypisudolnego"/>
                <w:b w:val="0"/>
                <w:sz w:val="18"/>
              </w:rPr>
              <w:footnoteReference w:id="64"/>
            </w:r>
            <w:r w:rsidRPr="0071237D">
              <w:rPr>
                <w:b w:val="0"/>
                <w:sz w:val="18"/>
              </w:rPr>
              <w:t xml:space="preserve">  </w:t>
            </w:r>
            <w:r w:rsidRPr="0071237D">
              <w:rPr>
                <w:rFonts w:cs="Arial"/>
                <w:b w:val="0"/>
                <w:sz w:val="18"/>
                <w:szCs w:val="18"/>
              </w:rPr>
              <w:t>„Niedostosowanie przestrzenne sieci placówek opieki i edukacji, w tym żłobkowej/przedszkolnej do potrzeb”</w:t>
            </w:r>
            <w:r w:rsidRPr="0071237D">
              <w:rPr>
                <w:rStyle w:val="Odwoanieprzypisudolnego"/>
                <w:b w:val="0"/>
                <w:sz w:val="18"/>
                <w:szCs w:val="18"/>
              </w:rPr>
              <w:footnoteReference w:id="65"/>
            </w:r>
          </w:p>
        </w:tc>
        <w:tc>
          <w:tcPr>
            <w:tcW w:w="1843" w:type="dxa"/>
          </w:tcPr>
          <w:p w14:paraId="7C7AF88F"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 xml:space="preserve">Działanie 12.1 </w:t>
            </w:r>
          </w:p>
          <w:p w14:paraId="149E84A8"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 xml:space="preserve">Poddziałanie 12.1.1 </w:t>
            </w:r>
          </w:p>
          <w:p w14:paraId="2053DA81"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Poddziałanie 12.1.2</w:t>
            </w:r>
          </w:p>
        </w:tc>
        <w:tc>
          <w:tcPr>
            <w:tcW w:w="1134" w:type="dxa"/>
          </w:tcPr>
          <w:p w14:paraId="4BF2468D" w14:textId="77777777" w:rsidR="00023F05" w:rsidRPr="00C357B5" w:rsidRDefault="00023F05" w:rsidP="008F6121">
            <w:pPr>
              <w:spacing w:line="240" w:lineRule="auto"/>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27 986 629 EUR</w:t>
            </w:r>
          </w:p>
        </w:tc>
        <w:tc>
          <w:tcPr>
            <w:tcW w:w="4512" w:type="dxa"/>
          </w:tcPr>
          <w:p w14:paraId="28897833"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Przebudowa, budowa przedszkoli, oddziałów przedszkolnych w szkołach podstawowych i innych form wychowania przedszkolnego wraz z zapewnieniem niezbędnego wyposażenia, w tym przystosowanie do potrzeb osób z niepełnosprawnościami.</w:t>
            </w:r>
          </w:p>
        </w:tc>
        <w:tc>
          <w:tcPr>
            <w:tcW w:w="1843" w:type="dxa"/>
          </w:tcPr>
          <w:p w14:paraId="3CD5025C"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Wzrost liczby miejsc w placówkach wychowania przedszkolnego.</w:t>
            </w:r>
          </w:p>
        </w:tc>
        <w:tc>
          <w:tcPr>
            <w:tcW w:w="1352" w:type="dxa"/>
          </w:tcPr>
          <w:p w14:paraId="52C86859" w14:textId="77777777" w:rsidR="00023F05" w:rsidRPr="00C357B5" w:rsidRDefault="00023F05" w:rsidP="00DF64C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C357B5">
              <w:rPr>
                <w:rFonts w:cs="Arial"/>
                <w:sz w:val="18"/>
                <w:szCs w:val="18"/>
              </w:rPr>
              <w:t>Tak</w:t>
            </w:r>
          </w:p>
        </w:tc>
      </w:tr>
      <w:tr w:rsidR="00023F05" w:rsidRPr="00C357B5" w14:paraId="3ADF463A" w14:textId="77777777" w:rsidTr="00DF64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4" w:type="dxa"/>
          </w:tcPr>
          <w:p w14:paraId="66B2754C" w14:textId="77777777" w:rsidR="00023F05" w:rsidRPr="0071237D" w:rsidRDefault="00023F05" w:rsidP="00DF64C7">
            <w:pPr>
              <w:pStyle w:val="Akapitzlist"/>
              <w:numPr>
                <w:ilvl w:val="0"/>
                <w:numId w:val="73"/>
              </w:numPr>
              <w:spacing w:line="240" w:lineRule="auto"/>
              <w:jc w:val="left"/>
              <w:rPr>
                <w:rFonts w:cs="Arial"/>
                <w:b w:val="0"/>
                <w:sz w:val="18"/>
                <w:szCs w:val="18"/>
              </w:rPr>
            </w:pPr>
            <w:r w:rsidRPr="0071237D">
              <w:rPr>
                <w:b w:val="0"/>
                <w:sz w:val="18"/>
              </w:rPr>
              <w:t>„Niezbędne jest stworzenie warunków zbliżonych do rzeczywistego środowiska pracy zawodowej pod kątem wyposażenia warsztatów, pracowni, itp.”</w:t>
            </w:r>
            <w:r w:rsidRPr="0071237D">
              <w:rPr>
                <w:rStyle w:val="Odwoanieprzypisudolnego"/>
                <w:b w:val="0"/>
                <w:sz w:val="18"/>
              </w:rPr>
              <w:footnoteReference w:id="66"/>
            </w:r>
            <w:r w:rsidRPr="0071237D">
              <w:rPr>
                <w:b w:val="0"/>
                <w:sz w:val="18"/>
              </w:rPr>
              <w:t xml:space="preserve"> </w:t>
            </w:r>
            <w:r w:rsidRPr="0071237D">
              <w:rPr>
                <w:rFonts w:cs="Arial"/>
                <w:b w:val="0"/>
                <w:sz w:val="18"/>
                <w:szCs w:val="18"/>
              </w:rPr>
              <w:t>„Wyposażenie pracowni praktycznej nauki zawodu jest modernizowane w zbyt małym zakresie.”</w:t>
            </w:r>
            <w:r w:rsidRPr="0071237D">
              <w:rPr>
                <w:rStyle w:val="Odwoanieprzypisudolnego"/>
                <w:b w:val="0"/>
                <w:sz w:val="18"/>
                <w:szCs w:val="18"/>
              </w:rPr>
              <w:footnoteReference w:id="67"/>
            </w:r>
          </w:p>
        </w:tc>
        <w:tc>
          <w:tcPr>
            <w:tcW w:w="1843" w:type="dxa"/>
          </w:tcPr>
          <w:p w14:paraId="674AC3FE"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 xml:space="preserve">Działanie 12.2 </w:t>
            </w:r>
          </w:p>
          <w:p w14:paraId="3A4DC9E1"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 xml:space="preserve">Poddziałanie 12.2.1 </w:t>
            </w:r>
          </w:p>
          <w:p w14:paraId="55469813"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 xml:space="preserve">Poddziałanie 12.2.2 </w:t>
            </w:r>
          </w:p>
        </w:tc>
        <w:tc>
          <w:tcPr>
            <w:tcW w:w="1134" w:type="dxa"/>
          </w:tcPr>
          <w:p w14:paraId="1044FADB" w14:textId="77777777" w:rsidR="00023F05" w:rsidRPr="00C357B5" w:rsidRDefault="00023F05" w:rsidP="008F6121">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32 113 864 EUR</w:t>
            </w:r>
          </w:p>
        </w:tc>
        <w:tc>
          <w:tcPr>
            <w:tcW w:w="4512" w:type="dxa"/>
          </w:tcPr>
          <w:p w14:paraId="415850E4"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Przebudowa, budowa, remont laboratoriów, sal do praktycznej nauki zawodu wraz z zapewnieniem wyposażenia, w tym przystosowanie do potrzeb osób z niepełnosprawnościami.</w:t>
            </w:r>
          </w:p>
        </w:tc>
        <w:tc>
          <w:tcPr>
            <w:tcW w:w="1843" w:type="dxa"/>
          </w:tcPr>
          <w:p w14:paraId="7424108B"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Wzrost kompetencji uczniów szkół kształcących w zawodach.</w:t>
            </w:r>
          </w:p>
        </w:tc>
        <w:tc>
          <w:tcPr>
            <w:tcW w:w="1352" w:type="dxa"/>
          </w:tcPr>
          <w:p w14:paraId="269B9CE8" w14:textId="77777777" w:rsidR="00023F05" w:rsidRPr="00C357B5" w:rsidRDefault="00023F05"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C357B5">
              <w:rPr>
                <w:rFonts w:cs="Arial"/>
                <w:sz w:val="18"/>
                <w:szCs w:val="18"/>
              </w:rPr>
              <w:t>Tak</w:t>
            </w:r>
          </w:p>
        </w:tc>
      </w:tr>
    </w:tbl>
    <w:p w14:paraId="2295DFA9" w14:textId="77777777" w:rsidR="00DA2E7D" w:rsidRPr="00E21307" w:rsidRDefault="00DA2E7D" w:rsidP="00DF64C7">
      <w:pPr>
        <w:pStyle w:val="podpisrdailustracji"/>
        <w:spacing w:line="271" w:lineRule="auto"/>
        <w:jc w:val="left"/>
      </w:pPr>
      <w:r>
        <w:t xml:space="preserve">Źródło: </w:t>
      </w:r>
      <w:r w:rsidRPr="00BA7EB1">
        <w:t xml:space="preserve">Opracowanie własne EU-Consult Sp. z o.o. na podstawie </w:t>
      </w:r>
      <w:r>
        <w:t>przeprowadzonej analizy danych zastanych</w:t>
      </w:r>
      <w:r w:rsidR="00EA4C4A">
        <w:t>.</w:t>
      </w:r>
    </w:p>
    <w:p w14:paraId="6AB21FE6" w14:textId="77777777" w:rsidR="00DA2E7D" w:rsidRDefault="00DA2E7D" w:rsidP="00DF64C7">
      <w:pPr>
        <w:pStyle w:val="Nagwek3"/>
        <w:numPr>
          <w:ilvl w:val="0"/>
          <w:numId w:val="0"/>
        </w:numPr>
        <w:spacing w:line="271" w:lineRule="auto"/>
        <w:jc w:val="left"/>
        <w:rPr>
          <w:rFonts w:eastAsia="Arial"/>
        </w:rPr>
        <w:sectPr w:rsidR="00DA2E7D" w:rsidSect="004D7106">
          <w:pgSz w:w="16838" w:h="11906" w:orient="landscape"/>
          <w:pgMar w:top="1418" w:right="1418" w:bottom="1418" w:left="1418" w:header="709" w:footer="709" w:gutter="0"/>
          <w:cols w:space="708"/>
          <w:docGrid w:linePitch="360"/>
        </w:sectPr>
      </w:pPr>
    </w:p>
    <w:p w14:paraId="4E7E9BA9" w14:textId="77777777" w:rsidR="00C14521" w:rsidRDefault="00C14521" w:rsidP="00DF64C7">
      <w:pPr>
        <w:jc w:val="left"/>
      </w:pPr>
      <w:r>
        <w:t>Większość beneficjentów realizujących projekty w ramach OP XI i OP XII wskazała, że kwota przeznaczona na realizację projektu była wystarczająca, należy jednak zauważyć, że niespełna co dziesiąty projekt posiadał ich zdaniem zbyt mały budżet</w:t>
      </w:r>
      <w:r w:rsidR="00BA1559">
        <w:t xml:space="preserve"> (przewidziany przez wnioskodawców na etapie aplikowania o wsparcie)</w:t>
      </w:r>
      <w:r>
        <w:t>. Zbyt niskie środki przeznaczono na:</w:t>
      </w:r>
    </w:p>
    <w:p w14:paraId="6A268BD1" w14:textId="77777777" w:rsidR="00C14521" w:rsidRDefault="00C14521" w:rsidP="00DF64C7">
      <w:pPr>
        <w:pStyle w:val="Akapitzlist"/>
        <w:numPr>
          <w:ilvl w:val="0"/>
          <w:numId w:val="43"/>
        </w:numPr>
        <w:jc w:val="left"/>
      </w:pPr>
      <w:r>
        <w:t>Działania infrastrukturalne;</w:t>
      </w:r>
    </w:p>
    <w:p w14:paraId="63CEC091" w14:textId="77777777" w:rsidR="00C14521" w:rsidRDefault="00C14521" w:rsidP="00DF64C7">
      <w:pPr>
        <w:pStyle w:val="Akapitzlist"/>
        <w:numPr>
          <w:ilvl w:val="0"/>
          <w:numId w:val="43"/>
        </w:numPr>
        <w:jc w:val="left"/>
      </w:pPr>
      <w:r>
        <w:t>Wyposażenie pracowni i sprzęt, co wynikało z wyższych niż przewidywano ofert przetargowych oraz wzrostu cen materiału i robocizny;</w:t>
      </w:r>
    </w:p>
    <w:p w14:paraId="0DBE6D3F" w14:textId="77777777" w:rsidR="00C14521" w:rsidRDefault="00C14521" w:rsidP="00DF64C7">
      <w:pPr>
        <w:pStyle w:val="Akapitzlist"/>
        <w:numPr>
          <w:ilvl w:val="0"/>
          <w:numId w:val="43"/>
        </w:numPr>
        <w:jc w:val="left"/>
      </w:pPr>
      <w:r>
        <w:t>Wyrównywanie szans edukacyjnych dzieci w przedszkolach;</w:t>
      </w:r>
    </w:p>
    <w:p w14:paraId="5D71B2F2" w14:textId="77777777" w:rsidR="00C14521" w:rsidRDefault="00C14521" w:rsidP="00DF64C7">
      <w:pPr>
        <w:pStyle w:val="Akapitzlist"/>
        <w:numPr>
          <w:ilvl w:val="0"/>
          <w:numId w:val="43"/>
        </w:numPr>
        <w:jc w:val="left"/>
      </w:pPr>
      <w:r>
        <w:t>Realizację zajęć dodatkowych;</w:t>
      </w:r>
    </w:p>
    <w:p w14:paraId="6DEADC6E" w14:textId="77777777" w:rsidR="00C14521" w:rsidRDefault="00C14521" w:rsidP="00DF64C7">
      <w:pPr>
        <w:pStyle w:val="Akapitzlist"/>
        <w:numPr>
          <w:ilvl w:val="0"/>
          <w:numId w:val="43"/>
        </w:numPr>
        <w:jc w:val="left"/>
      </w:pPr>
      <w:r>
        <w:t>Zarządzanie projektem, materiały administracyjne;</w:t>
      </w:r>
    </w:p>
    <w:p w14:paraId="66176517" w14:textId="77777777" w:rsidR="00C14521" w:rsidRDefault="00C14521" w:rsidP="00DF64C7">
      <w:pPr>
        <w:pStyle w:val="Akapitzlist"/>
        <w:numPr>
          <w:ilvl w:val="0"/>
          <w:numId w:val="43"/>
        </w:numPr>
        <w:jc w:val="left"/>
      </w:pPr>
      <w:r>
        <w:t>Wynagrodzenie dla specjalistów</w:t>
      </w:r>
      <w:r w:rsidR="007503C2">
        <w:t>;</w:t>
      </w:r>
    </w:p>
    <w:p w14:paraId="2A8E0A62" w14:textId="77777777" w:rsidR="00C14521" w:rsidRDefault="00C14521" w:rsidP="00DF64C7">
      <w:pPr>
        <w:pStyle w:val="Akapitzlist"/>
        <w:numPr>
          <w:ilvl w:val="0"/>
          <w:numId w:val="43"/>
        </w:numPr>
        <w:jc w:val="left"/>
      </w:pPr>
      <w:r>
        <w:t>Doskonalenie zawodowe;</w:t>
      </w:r>
    </w:p>
    <w:p w14:paraId="26312214" w14:textId="77777777" w:rsidR="00C14521" w:rsidRDefault="00C14521" w:rsidP="00DF64C7">
      <w:pPr>
        <w:pStyle w:val="Akapitzlist"/>
        <w:numPr>
          <w:ilvl w:val="0"/>
          <w:numId w:val="43"/>
        </w:numPr>
        <w:jc w:val="left"/>
      </w:pPr>
      <w:r>
        <w:t>Cross-financing;</w:t>
      </w:r>
    </w:p>
    <w:p w14:paraId="45F50FE3" w14:textId="77777777" w:rsidR="00C14521" w:rsidRDefault="00C14521" w:rsidP="00DF64C7">
      <w:pPr>
        <w:pStyle w:val="Akapitzlist"/>
        <w:numPr>
          <w:ilvl w:val="0"/>
          <w:numId w:val="43"/>
        </w:numPr>
        <w:jc w:val="left"/>
      </w:pPr>
      <w:r>
        <w:t>Organizowanie sieci współpracy i samokształcenia dla nauczycieli.</w:t>
      </w:r>
    </w:p>
    <w:p w14:paraId="656F6143" w14:textId="617CE216" w:rsidR="00C14521" w:rsidRDefault="00C14521" w:rsidP="00DF64C7">
      <w:pPr>
        <w:pStyle w:val="Legenda"/>
        <w:spacing w:line="271" w:lineRule="auto"/>
        <w:jc w:val="left"/>
      </w:pPr>
      <w:bookmarkStart w:id="30" w:name="_Toc33459787"/>
      <w:r>
        <w:t xml:space="preserve">Wykres </w:t>
      </w:r>
      <w:r>
        <w:rPr>
          <w:noProof/>
        </w:rPr>
        <w:fldChar w:fldCharType="begin"/>
      </w:r>
      <w:r>
        <w:rPr>
          <w:noProof/>
        </w:rPr>
        <w:instrText xml:space="preserve"> SEQ Wykres \* ARABIC </w:instrText>
      </w:r>
      <w:r>
        <w:rPr>
          <w:noProof/>
        </w:rPr>
        <w:fldChar w:fldCharType="separate"/>
      </w:r>
      <w:r w:rsidR="00A8147E">
        <w:rPr>
          <w:noProof/>
        </w:rPr>
        <w:t>2</w:t>
      </w:r>
      <w:r>
        <w:rPr>
          <w:noProof/>
        </w:rPr>
        <w:fldChar w:fldCharType="end"/>
      </w:r>
      <w:r w:rsidR="00186BC3">
        <w:rPr>
          <w:noProof/>
        </w:rPr>
        <w:t>.</w:t>
      </w:r>
      <w:r>
        <w:t xml:space="preserve"> </w:t>
      </w:r>
      <w:r w:rsidRPr="00C867F1">
        <w:t>Czy Pana/Pani zdaniem kwota przeznaczona na realizację projektu jest/była wystarczająca?</w:t>
      </w:r>
      <w:bookmarkEnd w:id="30"/>
    </w:p>
    <w:p w14:paraId="7CF33375" w14:textId="77777777" w:rsidR="00C14521" w:rsidRDefault="00C14521" w:rsidP="00DF64C7">
      <w:pPr>
        <w:jc w:val="left"/>
      </w:pPr>
      <w:r>
        <w:rPr>
          <w:noProof/>
          <w:lang w:eastAsia="pl-PL"/>
        </w:rPr>
        <w:drawing>
          <wp:inline distT="0" distB="0" distL="0" distR="0" wp14:anchorId="43C3C5D5" wp14:editId="48895B17">
            <wp:extent cx="5676900" cy="2543175"/>
            <wp:effectExtent l="0" t="0" r="19050" b="9525"/>
            <wp:docPr id="41" name="Wykres 41" descr="Wykres przedstawia odpowiedź beneficjentów na pytanie &quot;Czy Pana/Pani zdaniem kwota przeznaczona na realizację projektu jest/była wystarczająca?&quot; w rozkładzie procentowym. Przygotowany został wykre kolumnowy, którym przypisano następujące wartości:&#10;zdecydowanie niewystarczające (2,1%), raczej niewystarczające (7,1%), nie mam zdania (8,6%), raczej wystarczające (52,5%), zdecydowanie wystarczające (29,8%)." title="Czy Pana/Pani zdaniem kwota przeznaczona na realizację projektu jest/była wystarczaj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0A13D4" w14:textId="77777777" w:rsidR="00C14521" w:rsidRDefault="00C14521" w:rsidP="00DF64C7">
      <w:pPr>
        <w:pStyle w:val="podpisrdailustracji"/>
        <w:spacing w:line="271" w:lineRule="auto"/>
        <w:jc w:val="left"/>
      </w:pPr>
      <w:r>
        <w:t xml:space="preserve">Źródło: opracowanie własne na podstawie badania CAWI/CATI z beneficjentami, n=316 – w badaniu </w:t>
      </w:r>
      <w:r w:rsidR="00C039F4">
        <w:t xml:space="preserve">wzięły udział </w:t>
      </w:r>
      <w:r>
        <w:t>podmioty, które zakończyły realizacj</w:t>
      </w:r>
      <w:r w:rsidR="00C039F4">
        <w:t>ę</w:t>
      </w:r>
      <w:r>
        <w:t xml:space="preserve"> projektu do dnia 14.10.2019 r.</w:t>
      </w:r>
    </w:p>
    <w:p w14:paraId="32A77D77" w14:textId="77777777" w:rsidR="00A14DF9" w:rsidRDefault="00F53157" w:rsidP="00DF64C7">
      <w:pPr>
        <w:jc w:val="left"/>
      </w:pPr>
      <w:r>
        <w:t>Przedstawiciele szkół (dyrektorzy i nauczyciele) u</w:t>
      </w:r>
      <w:r w:rsidR="00C039F4">
        <w:t>czestnicząc</w:t>
      </w:r>
      <w:r>
        <w:t>y</w:t>
      </w:r>
      <w:r w:rsidR="00C039F4">
        <w:t xml:space="preserve"> w badaniu CAWI/CATI oceni</w:t>
      </w:r>
      <w:r>
        <w:t>li</w:t>
      </w:r>
      <w:r w:rsidR="00C039F4">
        <w:t xml:space="preserve"> jakość </w:t>
      </w:r>
      <w:r w:rsidR="00C039F4" w:rsidRPr="0088035A">
        <w:t>usług w zakresie edukacji</w:t>
      </w:r>
      <w:r w:rsidR="00C039F4">
        <w:t xml:space="preserve"> </w:t>
      </w:r>
      <w:r w:rsidR="00C039F4" w:rsidRPr="00A14DF9">
        <w:t xml:space="preserve">oferowanych przez reprezentowaną </w:t>
      </w:r>
      <w:r>
        <w:t xml:space="preserve">przez siebie </w:t>
      </w:r>
      <w:r w:rsidR="00C039F4" w:rsidRPr="00A14DF9">
        <w:t>placówkę. W przypadku oceny każdego analizowanego aspektu oferty edukacyjnej instytucji każdorazowo odnotowano istotny wzrost, a wszystkie badane kwestie w wyniku realizacji projektów edukacyjnych ocenić należy zdecydowanie pozytywnie</w:t>
      </w:r>
      <w:r w:rsidR="00A14DF9" w:rsidRPr="00A14DF9">
        <w:t xml:space="preserve"> </w:t>
      </w:r>
      <w:r w:rsidR="00A14DF9" w:rsidRPr="007B5F7E">
        <w:t xml:space="preserve">– zauważyć należy istotny spadek wszystkich odpowiedzi negatywnych (1-3) oraz wysoki wzrost odpowiedzi najwyższej, </w:t>
      </w:r>
      <w:r w:rsidR="007503C2">
        <w:t xml:space="preserve">tj. </w:t>
      </w:r>
      <w:r w:rsidR="00A14DF9" w:rsidRPr="007B5F7E">
        <w:t>5. Najwyższy wzrost odnotowano w przypadku aspektów takich, jak wyposażenie w niezbędny sprzęt i materiały dydaktyczne, dostępność oferowanych miejsc oraz kompetencje i umiejętności praktyczne wśród uczniów.</w:t>
      </w:r>
    </w:p>
    <w:p w14:paraId="5E8502B7" w14:textId="77777777" w:rsidR="00126870" w:rsidRDefault="00126870" w:rsidP="00DF64C7">
      <w:pPr>
        <w:pStyle w:val="Legenda"/>
        <w:spacing w:line="271" w:lineRule="auto"/>
        <w:jc w:val="left"/>
        <w:sectPr w:rsidR="00126870" w:rsidSect="00174F8C">
          <w:footerReference w:type="default" r:id="rId19"/>
          <w:pgSz w:w="11906" w:h="16838"/>
          <w:pgMar w:top="1418" w:right="1418" w:bottom="1418" w:left="1418" w:header="709" w:footer="709" w:gutter="0"/>
          <w:cols w:space="708"/>
          <w:docGrid w:linePitch="360"/>
        </w:sectPr>
      </w:pPr>
    </w:p>
    <w:p w14:paraId="2FC60112" w14:textId="2371081C" w:rsidR="00C039F4" w:rsidRDefault="00C039F4" w:rsidP="00DF64C7">
      <w:pPr>
        <w:pStyle w:val="Legenda"/>
        <w:spacing w:line="271" w:lineRule="auto"/>
        <w:jc w:val="left"/>
      </w:pPr>
      <w:bookmarkStart w:id="31" w:name="_Toc33457211"/>
      <w:r>
        <w:t xml:space="preserve">Tabela </w:t>
      </w:r>
      <w:r w:rsidR="00AB65C6">
        <w:rPr>
          <w:noProof/>
        </w:rPr>
        <w:fldChar w:fldCharType="begin"/>
      </w:r>
      <w:r w:rsidR="00AB65C6">
        <w:rPr>
          <w:noProof/>
        </w:rPr>
        <w:instrText xml:space="preserve"> SEQ Tabela \* ARABIC </w:instrText>
      </w:r>
      <w:r w:rsidR="00AB65C6">
        <w:rPr>
          <w:noProof/>
        </w:rPr>
        <w:fldChar w:fldCharType="separate"/>
      </w:r>
      <w:r w:rsidR="00A8147E">
        <w:rPr>
          <w:noProof/>
        </w:rPr>
        <w:t>17</w:t>
      </w:r>
      <w:r w:rsidR="00AB65C6">
        <w:rPr>
          <w:noProof/>
        </w:rPr>
        <w:fldChar w:fldCharType="end"/>
      </w:r>
      <w:r w:rsidR="00E53AF9">
        <w:rPr>
          <w:noProof/>
        </w:rPr>
        <w:t>.</w:t>
      </w:r>
      <w:r>
        <w:t xml:space="preserve"> Jak oceniają Państwo </w:t>
      </w:r>
      <w:r w:rsidRPr="00FF5404">
        <w:t>jakość usług edukacyjnych oferowanych przez reprezentowaną przez siebie placówkę przed uczestnictwem w projekcie oraz pod względem zmian, które zaszły w wyniku uczestnictwa w projekcie?</w:t>
      </w:r>
      <w:r w:rsidR="00DC26C0">
        <w:t xml:space="preserve"> </w:t>
      </w:r>
      <w:r>
        <w:t xml:space="preserve">(Ocena w skali od 1 do 5, gdzie: 1 - zdecydowanie negatywnie, 2 - raczej negatywnie, </w:t>
      </w:r>
      <w:r w:rsidRPr="00FF5404">
        <w:t>3 - nie wiem</w:t>
      </w:r>
      <w:r>
        <w:t>, 4 – pozytywnie,</w:t>
      </w:r>
      <w:r w:rsidRPr="00FF5404">
        <w:t xml:space="preserve"> 5 - zdecydowanie pozytywnie</w:t>
      </w:r>
      <w:r>
        <w:t>)</w:t>
      </w:r>
      <w:bookmarkEnd w:id="31"/>
    </w:p>
    <w:tbl>
      <w:tblPr>
        <w:tblStyle w:val="redniasiatka3akcent6"/>
        <w:tblW w:w="0" w:type="auto"/>
        <w:tblLook w:val="04A0" w:firstRow="1" w:lastRow="0" w:firstColumn="1" w:lastColumn="0" w:noHBand="0" w:noVBand="1"/>
        <w:tblCaption w:val="Jak oceniają Państwo jakość usług edukacyjnych oferowanych przez reprezentowaną przez siebie placówkę przed uczestnictwem w projekcie oraz pod względem zmian, które zaszły w wyniku uczestnictwa w projekcie?  (Ocena w skali od 1 do 5, gdzie: 1 - zdecydowanie negatywnie, 2 - raczej negatywnie, 3 - nie wiem, 4 – pozytywnie, 5 - zdecydowanie pozytywnie)"/>
        <w:tblDescription w:val="Wykres przedstawia odpowiedzi badanych nauczycieli i dyrektorów na pytanie o to &quot;Jak oceniają Państwo jakość usług edukacyjnych oferowanych przez reprezentowaną przez siebie placówkę przed uczestnictwem w projekcie oraz pod względem zmian, które zaszły w wyniku uczestnictwa w projekcie?&quot; w rozkładzie procentowym.&#10;Wśród ocenianych elementów znalazły się: &#10;- Kompetencje nauczycieli (w tym instruktorów praktycznej nauki zawodu)&#10;- Wyposażenie w niezbędny sprzęt i materiały dydaktyczne&#10;- Oferta edukacyjna placówki&#10;- Oferta zajęć pozalekcyjnych&#10;- Zaangażowanie nauczycieli w działalność placówki&#10;- Zaangażowanie rodziców/opiekunów dzieci w działalność placówki&#10;- Zainteresowanie rodziców potencjalnie mogących skorzystać ze wsparcia placówki usługami świadczonymi przez placówkę&#10;- Zaangażowanie uczniów w działalność szkoły&#10;- Dostępność oferowanych miejsc&#10;- Wyniki uczniów w nauce (w tym wyniki egzaminów zawodowych)&#10;- Kompetencje i umiejętności praktyczne wśród uczniów&#10;- Współpraca pomiędzy szkołą a przedsiębiorstwami&#10;- Dostępność placówki i obiektów do potrzeb osób z niepełnosprawnościami"/>
      </w:tblPr>
      <w:tblGrid>
        <w:gridCol w:w="3043"/>
        <w:gridCol w:w="3006"/>
        <w:gridCol w:w="3001"/>
      </w:tblGrid>
      <w:tr w:rsidR="00C039F4" w:rsidRPr="00A35097" w14:paraId="70A3F955" w14:textId="77777777" w:rsidTr="007B5F7E">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070" w:type="dxa"/>
          </w:tcPr>
          <w:p w14:paraId="5A23DA2B" w14:textId="77777777" w:rsidR="00C039F4" w:rsidRPr="00A35097" w:rsidRDefault="00C039F4" w:rsidP="00DF64C7">
            <w:pPr>
              <w:keepNext/>
              <w:jc w:val="left"/>
              <w:rPr>
                <w:rFonts w:cs="Arial"/>
                <w:sz w:val="20"/>
                <w:szCs w:val="20"/>
              </w:rPr>
            </w:pPr>
          </w:p>
        </w:tc>
        <w:tc>
          <w:tcPr>
            <w:tcW w:w="3071" w:type="dxa"/>
          </w:tcPr>
          <w:p w14:paraId="2C757A2A" w14:textId="77777777" w:rsidR="00C039F4" w:rsidRPr="00A35097" w:rsidRDefault="00C039F4"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Ocena przed uczestnictwem w projekcie</w:t>
            </w:r>
          </w:p>
        </w:tc>
        <w:tc>
          <w:tcPr>
            <w:tcW w:w="3071" w:type="dxa"/>
          </w:tcPr>
          <w:p w14:paraId="31DC6F3B" w14:textId="77777777" w:rsidR="00C039F4" w:rsidRPr="00A35097" w:rsidRDefault="00C039F4"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Ocena po uczestnictwie w projekcie</w:t>
            </w:r>
          </w:p>
        </w:tc>
      </w:tr>
      <w:tr w:rsidR="00C039F4" w:rsidRPr="00A35097" w14:paraId="5BCDB464" w14:textId="77777777" w:rsidTr="007B5F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70" w:type="dxa"/>
          </w:tcPr>
          <w:p w14:paraId="5DA115FB" w14:textId="77777777" w:rsidR="00C039F4" w:rsidRPr="00A35097" w:rsidRDefault="00C039F4" w:rsidP="00DF64C7">
            <w:pPr>
              <w:keepNext/>
              <w:jc w:val="left"/>
              <w:rPr>
                <w:rFonts w:cs="Arial"/>
                <w:sz w:val="20"/>
                <w:szCs w:val="20"/>
              </w:rPr>
            </w:pPr>
            <w:r w:rsidRPr="00A35097">
              <w:rPr>
                <w:rFonts w:cs="Arial"/>
                <w:sz w:val="20"/>
                <w:szCs w:val="20"/>
              </w:rPr>
              <w:t>Kompetencje nauczycieli (w tym instruktorów praktycznej nauki zawodu)</w:t>
            </w:r>
          </w:p>
        </w:tc>
        <w:tc>
          <w:tcPr>
            <w:tcW w:w="3071" w:type="dxa"/>
          </w:tcPr>
          <w:p w14:paraId="07D531CD" w14:textId="77777777" w:rsidR="00C039F4" w:rsidRPr="00A35097" w:rsidRDefault="00C039F4" w:rsidP="008F6121">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38,6%</w:t>
            </w:r>
          </w:p>
          <w:p w14:paraId="18E4435E" w14:textId="77777777" w:rsidR="00C039F4" w:rsidRPr="00A35097" w:rsidRDefault="00C039F4" w:rsidP="008F6121">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54,7%</w:t>
            </w:r>
          </w:p>
          <w:p w14:paraId="07F921FA" w14:textId="77777777" w:rsidR="00C039F4" w:rsidRPr="00A35097" w:rsidRDefault="00C039F4" w:rsidP="008F6121">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5,6%</w:t>
            </w:r>
          </w:p>
          <w:p w14:paraId="7B992977" w14:textId="77777777" w:rsidR="00C039F4" w:rsidRPr="00A35097" w:rsidRDefault="00C039F4" w:rsidP="008F6121">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0,9%</w:t>
            </w:r>
          </w:p>
          <w:p w14:paraId="3DD8BC88" w14:textId="77777777" w:rsidR="00C039F4" w:rsidRPr="00A35097" w:rsidRDefault="00C039F4" w:rsidP="008F6121">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1 - 0,1%</w:t>
            </w:r>
          </w:p>
        </w:tc>
        <w:tc>
          <w:tcPr>
            <w:tcW w:w="3071" w:type="dxa"/>
          </w:tcPr>
          <w:p w14:paraId="3EC58273" w14:textId="77777777" w:rsidR="00C039F4" w:rsidRPr="00A35097" w:rsidRDefault="00C039F4" w:rsidP="008F6121">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49,4%</w:t>
            </w:r>
          </w:p>
          <w:p w14:paraId="3A2A55D6" w14:textId="77777777" w:rsidR="00C039F4" w:rsidRPr="00A35097" w:rsidRDefault="00C039F4" w:rsidP="008F6121">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47,4%</w:t>
            </w:r>
          </w:p>
          <w:p w14:paraId="052BC757" w14:textId="77777777" w:rsidR="00C039F4" w:rsidRPr="00A35097" w:rsidRDefault="00C039F4" w:rsidP="008F6121">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3,1%</w:t>
            </w:r>
          </w:p>
          <w:p w14:paraId="7B8B0ADA" w14:textId="77777777" w:rsidR="00C039F4" w:rsidRPr="00A35097" w:rsidRDefault="00C039F4" w:rsidP="008F6121">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0,1%</w:t>
            </w:r>
          </w:p>
          <w:p w14:paraId="202C3A85" w14:textId="77777777" w:rsidR="00C039F4" w:rsidRPr="00A35097" w:rsidRDefault="00C039F4" w:rsidP="008F6121">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0,1%</w:t>
            </w:r>
          </w:p>
        </w:tc>
      </w:tr>
      <w:tr w:rsidR="00C039F4" w:rsidRPr="00A35097" w14:paraId="21031B39" w14:textId="77777777" w:rsidTr="007B5F7E">
        <w:trPr>
          <w:trHeight w:val="283"/>
        </w:trPr>
        <w:tc>
          <w:tcPr>
            <w:cnfStyle w:val="001000000000" w:firstRow="0" w:lastRow="0" w:firstColumn="1" w:lastColumn="0" w:oddVBand="0" w:evenVBand="0" w:oddHBand="0" w:evenHBand="0" w:firstRowFirstColumn="0" w:firstRowLastColumn="0" w:lastRowFirstColumn="0" w:lastRowLastColumn="0"/>
            <w:tcW w:w="3070" w:type="dxa"/>
          </w:tcPr>
          <w:p w14:paraId="7D8E4361" w14:textId="77777777" w:rsidR="00C039F4" w:rsidRPr="00A35097" w:rsidRDefault="00C039F4" w:rsidP="00DF64C7">
            <w:pPr>
              <w:jc w:val="left"/>
              <w:rPr>
                <w:rFonts w:cs="Arial"/>
                <w:sz w:val="20"/>
                <w:szCs w:val="20"/>
              </w:rPr>
            </w:pPr>
            <w:r w:rsidRPr="00A35097">
              <w:rPr>
                <w:rFonts w:cs="Arial"/>
                <w:sz w:val="20"/>
                <w:szCs w:val="20"/>
              </w:rPr>
              <w:t>Wyposażenie w niezbędny sprzęt i materiały dydaktyczne</w:t>
            </w:r>
          </w:p>
        </w:tc>
        <w:tc>
          <w:tcPr>
            <w:tcW w:w="3071" w:type="dxa"/>
          </w:tcPr>
          <w:p w14:paraId="55BBE563"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5 – 7,2%</w:t>
            </w:r>
          </w:p>
          <w:p w14:paraId="245BD844"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4 – 48%</w:t>
            </w:r>
          </w:p>
          <w:p w14:paraId="72845F40"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3 – 24,6%</w:t>
            </w:r>
          </w:p>
          <w:p w14:paraId="5B46FD14"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2 – 18,2%</w:t>
            </w:r>
          </w:p>
          <w:p w14:paraId="4D67D895"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1 - 2,1%</w:t>
            </w:r>
          </w:p>
        </w:tc>
        <w:tc>
          <w:tcPr>
            <w:tcW w:w="3071" w:type="dxa"/>
          </w:tcPr>
          <w:p w14:paraId="23ECB0AF"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5 – 77,2%</w:t>
            </w:r>
          </w:p>
          <w:p w14:paraId="4A42FA46"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4 – 20,6%</w:t>
            </w:r>
          </w:p>
          <w:p w14:paraId="06881AF6"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3 – 1,2%</w:t>
            </w:r>
          </w:p>
          <w:p w14:paraId="2E7F0671"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2 – 0,3%</w:t>
            </w:r>
          </w:p>
          <w:p w14:paraId="5A26E3EF"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1 - 0,7%</w:t>
            </w:r>
          </w:p>
        </w:tc>
      </w:tr>
      <w:tr w:rsidR="00C039F4" w:rsidRPr="00A35097" w14:paraId="7C620080" w14:textId="77777777" w:rsidTr="007B5F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70" w:type="dxa"/>
          </w:tcPr>
          <w:p w14:paraId="0F38138E" w14:textId="77777777" w:rsidR="00C039F4" w:rsidRPr="00A35097" w:rsidRDefault="00C039F4" w:rsidP="00DF64C7">
            <w:pPr>
              <w:jc w:val="left"/>
              <w:rPr>
                <w:rFonts w:cs="Arial"/>
                <w:sz w:val="20"/>
                <w:szCs w:val="20"/>
              </w:rPr>
            </w:pPr>
            <w:r w:rsidRPr="00A35097">
              <w:rPr>
                <w:rFonts w:cs="Arial"/>
                <w:sz w:val="20"/>
                <w:szCs w:val="20"/>
              </w:rPr>
              <w:t>Oferta edukacyjna placówki</w:t>
            </w:r>
          </w:p>
        </w:tc>
        <w:tc>
          <w:tcPr>
            <w:tcW w:w="3071" w:type="dxa"/>
          </w:tcPr>
          <w:p w14:paraId="7552EAC0"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19%</w:t>
            </w:r>
          </w:p>
          <w:p w14:paraId="0904C27C"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61,6%</w:t>
            </w:r>
          </w:p>
          <w:p w14:paraId="16A5D6E8"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13,3%</w:t>
            </w:r>
          </w:p>
          <w:p w14:paraId="73323D2C"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5,7%</w:t>
            </w:r>
          </w:p>
          <w:p w14:paraId="6961B858"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1 - 0,4%</w:t>
            </w:r>
          </w:p>
        </w:tc>
        <w:tc>
          <w:tcPr>
            <w:tcW w:w="3071" w:type="dxa"/>
          </w:tcPr>
          <w:p w14:paraId="64E9EF71"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82,6%</w:t>
            </w:r>
          </w:p>
          <w:p w14:paraId="7D93BC55"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16,2%</w:t>
            </w:r>
          </w:p>
          <w:p w14:paraId="27ACF381"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1,1%</w:t>
            </w:r>
          </w:p>
          <w:p w14:paraId="3106619F"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0,2%</w:t>
            </w:r>
          </w:p>
          <w:p w14:paraId="5CDBEEB8"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1 - 0%</w:t>
            </w:r>
          </w:p>
        </w:tc>
      </w:tr>
      <w:tr w:rsidR="00C039F4" w:rsidRPr="00A35097" w14:paraId="169DEF86" w14:textId="77777777" w:rsidTr="007B5F7E">
        <w:trPr>
          <w:trHeight w:val="283"/>
        </w:trPr>
        <w:tc>
          <w:tcPr>
            <w:cnfStyle w:val="001000000000" w:firstRow="0" w:lastRow="0" w:firstColumn="1" w:lastColumn="0" w:oddVBand="0" w:evenVBand="0" w:oddHBand="0" w:evenHBand="0" w:firstRowFirstColumn="0" w:firstRowLastColumn="0" w:lastRowFirstColumn="0" w:lastRowLastColumn="0"/>
            <w:tcW w:w="3070" w:type="dxa"/>
          </w:tcPr>
          <w:p w14:paraId="56BA31C6" w14:textId="77777777" w:rsidR="00C039F4" w:rsidRPr="00A35097" w:rsidRDefault="00C039F4" w:rsidP="00DF64C7">
            <w:pPr>
              <w:jc w:val="left"/>
              <w:rPr>
                <w:rFonts w:cs="Arial"/>
                <w:sz w:val="20"/>
                <w:szCs w:val="20"/>
              </w:rPr>
            </w:pPr>
            <w:r w:rsidRPr="00A35097">
              <w:rPr>
                <w:rFonts w:cs="Arial"/>
                <w:sz w:val="20"/>
                <w:szCs w:val="20"/>
              </w:rPr>
              <w:t>Oferta zajęć pozalekcyjnych</w:t>
            </w:r>
          </w:p>
        </w:tc>
        <w:tc>
          <w:tcPr>
            <w:tcW w:w="3071" w:type="dxa"/>
          </w:tcPr>
          <w:p w14:paraId="40145BC3"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5 – 7,6%</w:t>
            </w:r>
          </w:p>
          <w:p w14:paraId="681111B8"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4 – 51,3%</w:t>
            </w:r>
          </w:p>
          <w:p w14:paraId="71E19D6D"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3 – 23,2%</w:t>
            </w:r>
          </w:p>
          <w:p w14:paraId="776159C7"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2 – 11,6%</w:t>
            </w:r>
          </w:p>
          <w:p w14:paraId="6CBE18CF"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1 – 6,3%</w:t>
            </w:r>
          </w:p>
        </w:tc>
        <w:tc>
          <w:tcPr>
            <w:tcW w:w="3071" w:type="dxa"/>
          </w:tcPr>
          <w:p w14:paraId="53CA9E3B"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5 – 47,3%</w:t>
            </w:r>
          </w:p>
          <w:p w14:paraId="1F251FF7"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4 – 39,2%</w:t>
            </w:r>
          </w:p>
          <w:p w14:paraId="6E481B19"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3 – 8,1%</w:t>
            </w:r>
          </w:p>
          <w:p w14:paraId="5F447C26"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2 – 0,5%</w:t>
            </w:r>
          </w:p>
          <w:p w14:paraId="615BB790"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1 – 5%</w:t>
            </w:r>
          </w:p>
        </w:tc>
      </w:tr>
      <w:tr w:rsidR="00C039F4" w:rsidRPr="00A35097" w14:paraId="0518EA2C" w14:textId="77777777" w:rsidTr="007B5F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70" w:type="dxa"/>
          </w:tcPr>
          <w:p w14:paraId="43FAA3D9" w14:textId="77777777" w:rsidR="00C039F4" w:rsidRPr="00A35097" w:rsidRDefault="00C039F4" w:rsidP="00DF64C7">
            <w:pPr>
              <w:jc w:val="left"/>
              <w:rPr>
                <w:rFonts w:cs="Arial"/>
                <w:sz w:val="20"/>
                <w:szCs w:val="20"/>
              </w:rPr>
            </w:pPr>
            <w:r w:rsidRPr="00A35097">
              <w:rPr>
                <w:rFonts w:cs="Arial"/>
                <w:sz w:val="20"/>
                <w:szCs w:val="20"/>
              </w:rPr>
              <w:t>Zaangażowanie nauczycieli w działalność placówki</w:t>
            </w:r>
          </w:p>
        </w:tc>
        <w:tc>
          <w:tcPr>
            <w:tcW w:w="3071" w:type="dxa"/>
          </w:tcPr>
          <w:p w14:paraId="016C9035"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42,2%</w:t>
            </w:r>
          </w:p>
          <w:p w14:paraId="3CE4E299"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51,6%</w:t>
            </w:r>
          </w:p>
          <w:p w14:paraId="33D5DAE8"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5,5%</w:t>
            </w:r>
          </w:p>
          <w:p w14:paraId="2E3BB49F"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0,4%</w:t>
            </w:r>
          </w:p>
          <w:p w14:paraId="438D1665"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1 - 0,1%</w:t>
            </w:r>
          </w:p>
        </w:tc>
        <w:tc>
          <w:tcPr>
            <w:tcW w:w="3071" w:type="dxa"/>
          </w:tcPr>
          <w:p w14:paraId="16A10A58"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74,7%</w:t>
            </w:r>
          </w:p>
          <w:p w14:paraId="3B1689CA"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24,3%</w:t>
            </w:r>
          </w:p>
          <w:p w14:paraId="6AB0F095"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0,7%</w:t>
            </w:r>
          </w:p>
          <w:p w14:paraId="210A7B0B"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0,1%</w:t>
            </w:r>
          </w:p>
          <w:p w14:paraId="2A1F1297"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0,1%</w:t>
            </w:r>
          </w:p>
        </w:tc>
      </w:tr>
      <w:tr w:rsidR="00C039F4" w:rsidRPr="00A35097" w14:paraId="0AC8BF69" w14:textId="77777777" w:rsidTr="007B5F7E">
        <w:trPr>
          <w:trHeight w:val="283"/>
        </w:trPr>
        <w:tc>
          <w:tcPr>
            <w:cnfStyle w:val="001000000000" w:firstRow="0" w:lastRow="0" w:firstColumn="1" w:lastColumn="0" w:oddVBand="0" w:evenVBand="0" w:oddHBand="0" w:evenHBand="0" w:firstRowFirstColumn="0" w:firstRowLastColumn="0" w:lastRowFirstColumn="0" w:lastRowLastColumn="0"/>
            <w:tcW w:w="3070" w:type="dxa"/>
          </w:tcPr>
          <w:p w14:paraId="27DC601E" w14:textId="77777777" w:rsidR="00C039F4" w:rsidRPr="00A35097" w:rsidRDefault="00C039F4" w:rsidP="00DF64C7">
            <w:pPr>
              <w:jc w:val="left"/>
              <w:rPr>
                <w:rFonts w:cs="Arial"/>
                <w:sz w:val="20"/>
                <w:szCs w:val="20"/>
              </w:rPr>
            </w:pPr>
            <w:r w:rsidRPr="00A35097">
              <w:rPr>
                <w:rFonts w:cs="Arial"/>
                <w:sz w:val="20"/>
                <w:szCs w:val="20"/>
              </w:rPr>
              <w:t>Zaangażowanie rodziców/opiekunów dzieci w działalność placówki</w:t>
            </w:r>
          </w:p>
        </w:tc>
        <w:tc>
          <w:tcPr>
            <w:tcW w:w="3071" w:type="dxa"/>
          </w:tcPr>
          <w:p w14:paraId="4C603956"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5 – 12%</w:t>
            </w:r>
          </w:p>
          <w:p w14:paraId="22847B4D"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4 – 61,9%</w:t>
            </w:r>
          </w:p>
          <w:p w14:paraId="4F7AF165"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3 – 18,1%</w:t>
            </w:r>
          </w:p>
          <w:p w14:paraId="3A8B80EA"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2 – 8,1%</w:t>
            </w:r>
          </w:p>
          <w:p w14:paraId="14DD66F4"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1 – 0%</w:t>
            </w:r>
          </w:p>
        </w:tc>
        <w:tc>
          <w:tcPr>
            <w:tcW w:w="3071" w:type="dxa"/>
          </w:tcPr>
          <w:p w14:paraId="0CC35F3B"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5 – 38,5%</w:t>
            </w:r>
          </w:p>
          <w:p w14:paraId="3E2923F0"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4 – 50,5%</w:t>
            </w:r>
          </w:p>
          <w:p w14:paraId="4B548F4B"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3 – 7,4%</w:t>
            </w:r>
          </w:p>
          <w:p w14:paraId="060A19AD"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2 – 3,6%</w:t>
            </w:r>
          </w:p>
          <w:p w14:paraId="4C87A4C4"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1 – 0%</w:t>
            </w:r>
          </w:p>
        </w:tc>
      </w:tr>
      <w:tr w:rsidR="00C039F4" w:rsidRPr="00A35097" w14:paraId="2A4CE708" w14:textId="77777777" w:rsidTr="007B5F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70" w:type="dxa"/>
          </w:tcPr>
          <w:p w14:paraId="5263C834" w14:textId="77777777" w:rsidR="00C039F4" w:rsidRPr="00A35097" w:rsidRDefault="00C039F4" w:rsidP="00DF64C7">
            <w:pPr>
              <w:jc w:val="left"/>
              <w:rPr>
                <w:rFonts w:cs="Arial"/>
                <w:sz w:val="20"/>
                <w:szCs w:val="20"/>
              </w:rPr>
            </w:pPr>
            <w:r w:rsidRPr="00A35097">
              <w:rPr>
                <w:rFonts w:cs="Arial"/>
                <w:sz w:val="20"/>
                <w:szCs w:val="20"/>
              </w:rPr>
              <w:t>Zainteresowanie rodziców potencjalnie mogących skorzystać ze wsparcia placówki usługami świadczonymi przez placówkę</w:t>
            </w:r>
          </w:p>
        </w:tc>
        <w:tc>
          <w:tcPr>
            <w:tcW w:w="3071" w:type="dxa"/>
          </w:tcPr>
          <w:p w14:paraId="59046169"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17,7%</w:t>
            </w:r>
          </w:p>
          <w:p w14:paraId="1819CFEA"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60,6%</w:t>
            </w:r>
          </w:p>
          <w:p w14:paraId="314A0486"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18,5%</w:t>
            </w:r>
          </w:p>
          <w:p w14:paraId="7F9C4B36"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2,8%</w:t>
            </w:r>
          </w:p>
          <w:p w14:paraId="29FE6236"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0,4%</w:t>
            </w:r>
          </w:p>
        </w:tc>
        <w:tc>
          <w:tcPr>
            <w:tcW w:w="3071" w:type="dxa"/>
          </w:tcPr>
          <w:p w14:paraId="1F0A7461"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67,2%</w:t>
            </w:r>
          </w:p>
          <w:p w14:paraId="6F1F8101"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27,2%</w:t>
            </w:r>
          </w:p>
          <w:p w14:paraId="26A5066A"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4,8%</w:t>
            </w:r>
          </w:p>
          <w:p w14:paraId="23F3DE83"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0,8%</w:t>
            </w:r>
          </w:p>
          <w:p w14:paraId="5DABFE70"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0%</w:t>
            </w:r>
          </w:p>
        </w:tc>
      </w:tr>
      <w:tr w:rsidR="00C039F4" w:rsidRPr="00A35097" w14:paraId="2DF90AC7" w14:textId="77777777" w:rsidTr="007B5F7E">
        <w:trPr>
          <w:trHeight w:val="283"/>
        </w:trPr>
        <w:tc>
          <w:tcPr>
            <w:cnfStyle w:val="001000000000" w:firstRow="0" w:lastRow="0" w:firstColumn="1" w:lastColumn="0" w:oddVBand="0" w:evenVBand="0" w:oddHBand="0" w:evenHBand="0" w:firstRowFirstColumn="0" w:firstRowLastColumn="0" w:lastRowFirstColumn="0" w:lastRowLastColumn="0"/>
            <w:tcW w:w="3070" w:type="dxa"/>
          </w:tcPr>
          <w:p w14:paraId="6347D74D" w14:textId="77777777" w:rsidR="00C039F4" w:rsidRPr="00A35097" w:rsidRDefault="00C039F4" w:rsidP="00DF64C7">
            <w:pPr>
              <w:jc w:val="left"/>
              <w:rPr>
                <w:rFonts w:cs="Arial"/>
                <w:sz w:val="20"/>
                <w:szCs w:val="20"/>
              </w:rPr>
            </w:pPr>
            <w:r w:rsidRPr="00A35097">
              <w:rPr>
                <w:rFonts w:cs="Arial"/>
                <w:sz w:val="20"/>
                <w:szCs w:val="20"/>
              </w:rPr>
              <w:t>Zaangażowanie uczniów w działalność szkoły</w:t>
            </w:r>
          </w:p>
        </w:tc>
        <w:tc>
          <w:tcPr>
            <w:tcW w:w="3071" w:type="dxa"/>
          </w:tcPr>
          <w:p w14:paraId="561B840E"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5 – 14,1%</w:t>
            </w:r>
          </w:p>
          <w:p w14:paraId="78A5FA2E"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4 – 67,2%</w:t>
            </w:r>
          </w:p>
          <w:p w14:paraId="127BA289"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3 – 14,6%</w:t>
            </w:r>
          </w:p>
          <w:p w14:paraId="2C1723EF"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2 – 3,8%</w:t>
            </w:r>
          </w:p>
          <w:p w14:paraId="0ECA4A37"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1 – 0,2%</w:t>
            </w:r>
          </w:p>
        </w:tc>
        <w:tc>
          <w:tcPr>
            <w:tcW w:w="3071" w:type="dxa"/>
          </w:tcPr>
          <w:p w14:paraId="018DD0EA"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5 – 44,8%</w:t>
            </w:r>
          </w:p>
          <w:p w14:paraId="38944593"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4 – 49,9%</w:t>
            </w:r>
          </w:p>
          <w:p w14:paraId="2B3DE475"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3 – 3,6%</w:t>
            </w:r>
          </w:p>
          <w:p w14:paraId="00722976"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2 – 1,4%</w:t>
            </w:r>
          </w:p>
          <w:p w14:paraId="36AD35E3"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1 – 0,2%</w:t>
            </w:r>
          </w:p>
        </w:tc>
      </w:tr>
      <w:tr w:rsidR="00C039F4" w:rsidRPr="00A35097" w14:paraId="68A2D739" w14:textId="77777777" w:rsidTr="007B5F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70" w:type="dxa"/>
          </w:tcPr>
          <w:p w14:paraId="461F33E8" w14:textId="77777777" w:rsidR="00C039F4" w:rsidRPr="00A35097" w:rsidRDefault="00C039F4" w:rsidP="00DF64C7">
            <w:pPr>
              <w:jc w:val="left"/>
              <w:rPr>
                <w:rFonts w:cs="Arial"/>
                <w:sz w:val="20"/>
                <w:szCs w:val="20"/>
              </w:rPr>
            </w:pPr>
            <w:r w:rsidRPr="00A35097">
              <w:rPr>
                <w:rFonts w:cs="Arial"/>
                <w:sz w:val="20"/>
                <w:szCs w:val="20"/>
              </w:rPr>
              <w:t>Dostępność oferowanych miejsc</w:t>
            </w:r>
          </w:p>
        </w:tc>
        <w:tc>
          <w:tcPr>
            <w:tcW w:w="3071" w:type="dxa"/>
          </w:tcPr>
          <w:p w14:paraId="36172D4A"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9,6%</w:t>
            </w:r>
          </w:p>
          <w:p w14:paraId="323139D7"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21,3%</w:t>
            </w:r>
          </w:p>
          <w:p w14:paraId="2584AB4C"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11%</w:t>
            </w:r>
          </w:p>
          <w:p w14:paraId="6DAC534E"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16,1%</w:t>
            </w:r>
          </w:p>
          <w:p w14:paraId="0704C93B"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1,4%</w:t>
            </w:r>
          </w:p>
        </w:tc>
        <w:tc>
          <w:tcPr>
            <w:tcW w:w="3071" w:type="dxa"/>
          </w:tcPr>
          <w:p w14:paraId="5DA89381"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79,4%</w:t>
            </w:r>
          </w:p>
          <w:p w14:paraId="272FA91C"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32,1%</w:t>
            </w:r>
          </w:p>
          <w:p w14:paraId="6A776A91"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6,2%</w:t>
            </w:r>
          </w:p>
          <w:p w14:paraId="02401CE3"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1%</w:t>
            </w:r>
          </w:p>
          <w:p w14:paraId="70A0ECA1"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1%</w:t>
            </w:r>
          </w:p>
        </w:tc>
      </w:tr>
      <w:tr w:rsidR="00C039F4" w:rsidRPr="00A35097" w14:paraId="1CCA14C4" w14:textId="77777777" w:rsidTr="007B5F7E">
        <w:trPr>
          <w:trHeight w:val="283"/>
        </w:trPr>
        <w:tc>
          <w:tcPr>
            <w:cnfStyle w:val="001000000000" w:firstRow="0" w:lastRow="0" w:firstColumn="1" w:lastColumn="0" w:oddVBand="0" w:evenVBand="0" w:oddHBand="0" w:evenHBand="0" w:firstRowFirstColumn="0" w:firstRowLastColumn="0" w:lastRowFirstColumn="0" w:lastRowLastColumn="0"/>
            <w:tcW w:w="3070" w:type="dxa"/>
          </w:tcPr>
          <w:p w14:paraId="4A27847E" w14:textId="77777777" w:rsidR="00C039F4" w:rsidRPr="00A35097" w:rsidRDefault="00C039F4" w:rsidP="00DF64C7">
            <w:pPr>
              <w:jc w:val="left"/>
              <w:rPr>
                <w:rFonts w:cs="Arial"/>
                <w:sz w:val="20"/>
                <w:szCs w:val="20"/>
              </w:rPr>
            </w:pPr>
            <w:r w:rsidRPr="00A35097">
              <w:rPr>
                <w:rFonts w:cs="Arial"/>
                <w:sz w:val="20"/>
                <w:szCs w:val="20"/>
              </w:rPr>
              <w:t>Wyniki uczniów w nauce (w tym wyniki egzaminów zawodowych)</w:t>
            </w:r>
          </w:p>
        </w:tc>
        <w:tc>
          <w:tcPr>
            <w:tcW w:w="3071" w:type="dxa"/>
          </w:tcPr>
          <w:p w14:paraId="6912A6FE"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5 – 8,2%</w:t>
            </w:r>
          </w:p>
          <w:p w14:paraId="0B9D5A95"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4 – 69,9%</w:t>
            </w:r>
          </w:p>
          <w:p w14:paraId="2EA8C6B8"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3 – 15,2%</w:t>
            </w:r>
          </w:p>
          <w:p w14:paraId="1BDC4A5A"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2 – 6,7%</w:t>
            </w:r>
          </w:p>
          <w:p w14:paraId="6D1D1970"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1 – 0%</w:t>
            </w:r>
          </w:p>
        </w:tc>
        <w:tc>
          <w:tcPr>
            <w:tcW w:w="3071" w:type="dxa"/>
          </w:tcPr>
          <w:p w14:paraId="1065C71D"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5 – 33,5%</w:t>
            </w:r>
          </w:p>
          <w:p w14:paraId="2B946CE4"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4 – 61,6%</w:t>
            </w:r>
          </w:p>
          <w:p w14:paraId="782239FF"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3 – 4%</w:t>
            </w:r>
          </w:p>
          <w:p w14:paraId="5417DD4D"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2 – 0,8%</w:t>
            </w:r>
          </w:p>
          <w:p w14:paraId="3291C1F1"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1 – 0%</w:t>
            </w:r>
          </w:p>
        </w:tc>
      </w:tr>
      <w:tr w:rsidR="00C039F4" w:rsidRPr="00A35097" w14:paraId="36195F3F" w14:textId="77777777" w:rsidTr="007B5F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70" w:type="dxa"/>
          </w:tcPr>
          <w:p w14:paraId="0F8B715B" w14:textId="77777777" w:rsidR="00C039F4" w:rsidRPr="00A35097" w:rsidRDefault="00C039F4" w:rsidP="00DF64C7">
            <w:pPr>
              <w:jc w:val="left"/>
              <w:rPr>
                <w:rFonts w:cs="Arial"/>
                <w:sz w:val="20"/>
                <w:szCs w:val="20"/>
              </w:rPr>
            </w:pPr>
            <w:r w:rsidRPr="00A35097">
              <w:rPr>
                <w:rFonts w:cs="Arial"/>
                <w:sz w:val="20"/>
                <w:szCs w:val="20"/>
              </w:rPr>
              <w:t>Kompetencje i umiejętności praktyczne wśród uczniów</w:t>
            </w:r>
          </w:p>
        </w:tc>
        <w:tc>
          <w:tcPr>
            <w:tcW w:w="3071" w:type="dxa"/>
          </w:tcPr>
          <w:p w14:paraId="738874D7"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5,4%</w:t>
            </w:r>
          </w:p>
          <w:p w14:paraId="54F75291"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77,7%</w:t>
            </w:r>
          </w:p>
          <w:p w14:paraId="2F276542"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11,6%</w:t>
            </w:r>
          </w:p>
          <w:p w14:paraId="156473FD"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5,4%</w:t>
            </w:r>
          </w:p>
          <w:p w14:paraId="49C270AD"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0%</w:t>
            </w:r>
          </w:p>
        </w:tc>
        <w:tc>
          <w:tcPr>
            <w:tcW w:w="3071" w:type="dxa"/>
          </w:tcPr>
          <w:p w14:paraId="4369666D"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49,1%</w:t>
            </w:r>
          </w:p>
          <w:p w14:paraId="3D8B4BAC"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50%</w:t>
            </w:r>
          </w:p>
          <w:p w14:paraId="23E2EACA"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0,9%</w:t>
            </w:r>
          </w:p>
          <w:p w14:paraId="53561109"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0%</w:t>
            </w:r>
          </w:p>
          <w:p w14:paraId="27D87551"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0%</w:t>
            </w:r>
          </w:p>
        </w:tc>
      </w:tr>
      <w:tr w:rsidR="00C039F4" w:rsidRPr="00A35097" w14:paraId="409A0E5E" w14:textId="77777777" w:rsidTr="007B5F7E">
        <w:trPr>
          <w:trHeight w:val="283"/>
        </w:trPr>
        <w:tc>
          <w:tcPr>
            <w:cnfStyle w:val="001000000000" w:firstRow="0" w:lastRow="0" w:firstColumn="1" w:lastColumn="0" w:oddVBand="0" w:evenVBand="0" w:oddHBand="0" w:evenHBand="0" w:firstRowFirstColumn="0" w:firstRowLastColumn="0" w:lastRowFirstColumn="0" w:lastRowLastColumn="0"/>
            <w:tcW w:w="3070" w:type="dxa"/>
          </w:tcPr>
          <w:p w14:paraId="0667BDEB" w14:textId="77777777" w:rsidR="00C039F4" w:rsidRPr="00A35097" w:rsidRDefault="00C039F4" w:rsidP="00DF64C7">
            <w:pPr>
              <w:jc w:val="left"/>
              <w:rPr>
                <w:rFonts w:cs="Arial"/>
                <w:sz w:val="20"/>
                <w:szCs w:val="20"/>
              </w:rPr>
            </w:pPr>
            <w:r w:rsidRPr="00A35097">
              <w:rPr>
                <w:rFonts w:cs="Arial"/>
                <w:sz w:val="20"/>
                <w:szCs w:val="20"/>
              </w:rPr>
              <w:t>Współpraca pomiędzy szkołą a przedsiębiorstwami</w:t>
            </w:r>
          </w:p>
        </w:tc>
        <w:tc>
          <w:tcPr>
            <w:tcW w:w="3071" w:type="dxa"/>
          </w:tcPr>
          <w:p w14:paraId="54EDA587"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5 – 18,4%</w:t>
            </w:r>
          </w:p>
          <w:p w14:paraId="3BF41EFC"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4 – 67,7%</w:t>
            </w:r>
          </w:p>
          <w:p w14:paraId="1F557574"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3 – 10,3%</w:t>
            </w:r>
          </w:p>
          <w:p w14:paraId="2C8796B1"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2 – 3,1%</w:t>
            </w:r>
          </w:p>
          <w:p w14:paraId="68ACDCF0"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1 – 0,4%</w:t>
            </w:r>
          </w:p>
        </w:tc>
        <w:tc>
          <w:tcPr>
            <w:tcW w:w="3071" w:type="dxa"/>
          </w:tcPr>
          <w:p w14:paraId="4AA4DED2"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5 – 58,3%</w:t>
            </w:r>
          </w:p>
          <w:p w14:paraId="3204ECE4"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4 – 36,8%</w:t>
            </w:r>
          </w:p>
          <w:p w14:paraId="0200AF10"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3 – 4%</w:t>
            </w:r>
          </w:p>
          <w:p w14:paraId="6F48B02F"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2 – 0,9%</w:t>
            </w:r>
          </w:p>
          <w:p w14:paraId="529BDDD5" w14:textId="77777777" w:rsidR="00C039F4" w:rsidRPr="00A35097" w:rsidRDefault="00C039F4"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A35097">
              <w:rPr>
                <w:rFonts w:cs="Arial"/>
                <w:sz w:val="20"/>
                <w:szCs w:val="20"/>
              </w:rPr>
              <w:t>1 – 0%</w:t>
            </w:r>
          </w:p>
        </w:tc>
      </w:tr>
      <w:tr w:rsidR="00C039F4" w:rsidRPr="00A35097" w14:paraId="567629D2" w14:textId="77777777" w:rsidTr="007B5F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70" w:type="dxa"/>
          </w:tcPr>
          <w:p w14:paraId="71260BC1" w14:textId="77777777" w:rsidR="00C039F4" w:rsidRPr="00A35097" w:rsidRDefault="00C039F4" w:rsidP="00DF64C7">
            <w:pPr>
              <w:jc w:val="left"/>
              <w:rPr>
                <w:rFonts w:cs="Arial"/>
                <w:sz w:val="20"/>
                <w:szCs w:val="20"/>
              </w:rPr>
            </w:pPr>
            <w:r w:rsidRPr="00A35097">
              <w:rPr>
                <w:rFonts w:cs="Arial"/>
                <w:sz w:val="20"/>
                <w:szCs w:val="20"/>
              </w:rPr>
              <w:t>Dostępność placówki i obiektów do potrzeb osób z niepełnosprawnościami</w:t>
            </w:r>
          </w:p>
        </w:tc>
        <w:tc>
          <w:tcPr>
            <w:tcW w:w="3071" w:type="dxa"/>
          </w:tcPr>
          <w:p w14:paraId="5B9DE29F"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3,4%</w:t>
            </w:r>
          </w:p>
          <w:p w14:paraId="530BE32C"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18,2%</w:t>
            </w:r>
          </w:p>
          <w:p w14:paraId="0A170107"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33,1%</w:t>
            </w:r>
          </w:p>
          <w:p w14:paraId="2F8F2E8E"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22,3%</w:t>
            </w:r>
          </w:p>
          <w:p w14:paraId="22F9BC3A"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23%</w:t>
            </w:r>
          </w:p>
        </w:tc>
        <w:tc>
          <w:tcPr>
            <w:tcW w:w="3071" w:type="dxa"/>
          </w:tcPr>
          <w:p w14:paraId="61B6D137"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5 – 21,5%</w:t>
            </w:r>
          </w:p>
          <w:p w14:paraId="3D850425"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4 – 34,9%</w:t>
            </w:r>
          </w:p>
          <w:p w14:paraId="32FCDF20"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3 – 20,8%</w:t>
            </w:r>
          </w:p>
          <w:p w14:paraId="2A08A6BE"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2 – 10,1%</w:t>
            </w:r>
          </w:p>
          <w:p w14:paraId="28F191E1" w14:textId="77777777" w:rsidR="00C039F4" w:rsidRPr="00A35097" w:rsidRDefault="00C039F4"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35097">
              <w:rPr>
                <w:rFonts w:cs="Arial"/>
                <w:sz w:val="20"/>
                <w:szCs w:val="20"/>
              </w:rPr>
              <w:t>1 – 12,8%</w:t>
            </w:r>
          </w:p>
        </w:tc>
      </w:tr>
    </w:tbl>
    <w:p w14:paraId="0E2F4944" w14:textId="77777777" w:rsidR="00A35097" w:rsidRDefault="00C039F4" w:rsidP="00DF64C7">
      <w:pPr>
        <w:pStyle w:val="podpisrdailustracji"/>
        <w:spacing w:line="271" w:lineRule="auto"/>
        <w:jc w:val="left"/>
      </w:pPr>
      <w:r>
        <w:t>Źródło: opracowanie własne na podstawie badania CAWI/CATI z nauczycielami i dyrektorami wspartych placówek, n=</w:t>
      </w:r>
      <w:r w:rsidR="00F61E57">
        <w:t>736</w:t>
      </w:r>
      <w:r>
        <w:t>.</w:t>
      </w:r>
    </w:p>
    <w:p w14:paraId="471A5F5D" w14:textId="2333C8FD" w:rsidR="00A14DF9" w:rsidRDefault="00A35097" w:rsidP="00DF64C7">
      <w:pPr>
        <w:pStyle w:val="Legenda"/>
        <w:spacing w:line="271" w:lineRule="auto"/>
        <w:jc w:val="left"/>
      </w:pPr>
      <w:bookmarkStart w:id="32" w:name="_Toc33457212"/>
      <w:r>
        <w:t xml:space="preserve">Tabela </w:t>
      </w:r>
      <w:r w:rsidR="00AB65C6">
        <w:rPr>
          <w:noProof/>
        </w:rPr>
        <w:fldChar w:fldCharType="begin"/>
      </w:r>
      <w:r w:rsidR="00AB65C6">
        <w:rPr>
          <w:noProof/>
        </w:rPr>
        <w:instrText xml:space="preserve"> SEQ Tabela \* ARABIC </w:instrText>
      </w:r>
      <w:r w:rsidR="00AB65C6">
        <w:rPr>
          <w:noProof/>
        </w:rPr>
        <w:fldChar w:fldCharType="separate"/>
      </w:r>
      <w:r w:rsidR="00A8147E">
        <w:rPr>
          <w:noProof/>
        </w:rPr>
        <w:t>18</w:t>
      </w:r>
      <w:r w:rsidR="00AB65C6">
        <w:rPr>
          <w:noProof/>
        </w:rPr>
        <w:fldChar w:fldCharType="end"/>
      </w:r>
      <w:r w:rsidR="00E53AF9">
        <w:rPr>
          <w:noProof/>
        </w:rPr>
        <w:t>.</w:t>
      </w:r>
      <w:r>
        <w:t xml:space="preserve"> </w:t>
      </w:r>
      <w:r w:rsidRPr="00B7430E">
        <w:t>Prosimy o wskazanie fizycznych efektów otrzymanego wsparcia</w:t>
      </w:r>
      <w:r w:rsidR="00787226">
        <w:t xml:space="preserve"> (w podziale na Działania)</w:t>
      </w:r>
      <w:bookmarkEnd w:id="32"/>
    </w:p>
    <w:tbl>
      <w:tblPr>
        <w:tblStyle w:val="redniasiatka3akcent6"/>
        <w:tblW w:w="0" w:type="auto"/>
        <w:tblLook w:val="04A0" w:firstRow="1" w:lastRow="0" w:firstColumn="1" w:lastColumn="0" w:noHBand="0" w:noVBand="1"/>
        <w:tblCaption w:val="Prosimy o wskazanie fizycznych efektów otrzymanego wsparcia (w podziale na Działania)"/>
        <w:tblDescription w:val="W tabeli przedstawiono efekty uzyskane w wyniku wsparcia otrzymanego w ramach poszczególnych Działań OP XI i XII w podziale na subregiony oraz ogółem dla woj. śląskiego, opracowane na podstawie odpowiedzi udzielonych przez nauczycieli i dyrektorów wspartych placówek. &#10;Wśród efektów znalazły się: utworzone zajęcia wyrównujące szanse edukacyjne, utworzone miejsca przedszkolne, liczba przedszkolonych nauczycieli, liczba uczniów, którzy nabyli kompoetencje kluczowe lub umiejętności uniwersalne niezbędne na rynku pracy, liczba uczniów, ktorzy wzięli udział w stażach i praktykach u pracodawców, licznba miejsc dla uczniów."/>
      </w:tblPr>
      <w:tblGrid>
        <w:gridCol w:w="5070"/>
        <w:gridCol w:w="3975"/>
      </w:tblGrid>
      <w:tr w:rsidR="00A14DF9" w:rsidRPr="00BD05F1" w14:paraId="04BA2EF1" w14:textId="77777777" w:rsidTr="007B5F7E">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5070" w:type="dxa"/>
          </w:tcPr>
          <w:p w14:paraId="59C94C53" w14:textId="77777777" w:rsidR="00A14DF9" w:rsidRPr="007B5F7E" w:rsidRDefault="00A14DF9" w:rsidP="00DF64C7">
            <w:pPr>
              <w:keepNext/>
              <w:jc w:val="left"/>
              <w:rPr>
                <w:rFonts w:cs="Arial"/>
                <w:sz w:val="20"/>
                <w:szCs w:val="20"/>
              </w:rPr>
            </w:pPr>
            <w:r w:rsidRPr="007B5F7E">
              <w:rPr>
                <w:rFonts w:cs="Arial"/>
                <w:sz w:val="20"/>
                <w:szCs w:val="20"/>
              </w:rPr>
              <w:t>Fizyczny efekt wsparcia</w:t>
            </w:r>
          </w:p>
        </w:tc>
        <w:tc>
          <w:tcPr>
            <w:tcW w:w="3975" w:type="dxa"/>
          </w:tcPr>
          <w:p w14:paraId="1A81E851" w14:textId="77777777" w:rsidR="00A14DF9" w:rsidRPr="007B5F7E" w:rsidRDefault="00A14DF9"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7B5F7E">
              <w:rPr>
                <w:rFonts w:cs="Arial"/>
                <w:sz w:val="20"/>
                <w:szCs w:val="20"/>
              </w:rPr>
              <w:t>Suma odpowiedzi respondentów</w:t>
            </w:r>
          </w:p>
        </w:tc>
      </w:tr>
      <w:tr w:rsidR="00A14DF9" w:rsidRPr="00BD05F1" w14:paraId="64245994" w14:textId="77777777" w:rsidTr="001B2A0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070" w:type="dxa"/>
          </w:tcPr>
          <w:p w14:paraId="75A779E9" w14:textId="77777777" w:rsidR="00A14DF9" w:rsidRPr="007B5F7E" w:rsidRDefault="00A14DF9" w:rsidP="00DF64C7">
            <w:pPr>
              <w:jc w:val="left"/>
              <w:rPr>
                <w:rFonts w:cs="Arial"/>
                <w:sz w:val="20"/>
                <w:szCs w:val="20"/>
              </w:rPr>
            </w:pPr>
            <w:r w:rsidRPr="007B5F7E">
              <w:rPr>
                <w:rFonts w:cs="Arial"/>
                <w:sz w:val="20"/>
                <w:szCs w:val="20"/>
              </w:rPr>
              <w:t>Liczba przeszkolonych nauczycieli</w:t>
            </w:r>
          </w:p>
        </w:tc>
        <w:tc>
          <w:tcPr>
            <w:tcW w:w="3975" w:type="dxa"/>
            <w:vAlign w:val="center"/>
          </w:tcPr>
          <w:p w14:paraId="34FCDFD9" w14:textId="77777777" w:rsidR="00A14DF9" w:rsidRPr="007B5F7E" w:rsidRDefault="00A14DF9" w:rsidP="008F6121">
            <w:pPr>
              <w:keepNext/>
              <w:spacing w:before="240" w:after="2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B5F7E">
              <w:rPr>
                <w:rFonts w:cs="Arial"/>
                <w:sz w:val="20"/>
                <w:szCs w:val="20"/>
              </w:rPr>
              <w:t>3</w:t>
            </w:r>
            <w:r w:rsidR="00BD05F1">
              <w:rPr>
                <w:rFonts w:cs="Arial"/>
                <w:sz w:val="20"/>
                <w:szCs w:val="20"/>
              </w:rPr>
              <w:t xml:space="preserve"> </w:t>
            </w:r>
            <w:r w:rsidRPr="007B5F7E">
              <w:rPr>
                <w:rFonts w:cs="Arial"/>
                <w:sz w:val="20"/>
                <w:szCs w:val="20"/>
              </w:rPr>
              <w:t>558</w:t>
            </w:r>
          </w:p>
        </w:tc>
      </w:tr>
      <w:tr w:rsidR="00A14DF9" w:rsidRPr="00BD05F1" w14:paraId="63C3AE0F" w14:textId="77777777" w:rsidTr="001B2A0E">
        <w:trPr>
          <w:trHeight w:val="281"/>
        </w:trPr>
        <w:tc>
          <w:tcPr>
            <w:cnfStyle w:val="001000000000" w:firstRow="0" w:lastRow="0" w:firstColumn="1" w:lastColumn="0" w:oddVBand="0" w:evenVBand="0" w:oddHBand="0" w:evenHBand="0" w:firstRowFirstColumn="0" w:firstRowLastColumn="0" w:lastRowFirstColumn="0" w:lastRowLastColumn="0"/>
            <w:tcW w:w="5070" w:type="dxa"/>
          </w:tcPr>
          <w:p w14:paraId="618D631F" w14:textId="77777777" w:rsidR="00A14DF9" w:rsidRPr="007B5F7E" w:rsidRDefault="00A14DF9" w:rsidP="00DF64C7">
            <w:pPr>
              <w:keepNext/>
              <w:spacing w:before="240" w:after="240"/>
              <w:jc w:val="left"/>
              <w:rPr>
                <w:rFonts w:cs="Arial"/>
                <w:sz w:val="20"/>
                <w:szCs w:val="20"/>
              </w:rPr>
            </w:pPr>
            <w:r w:rsidRPr="007B5F7E">
              <w:rPr>
                <w:rFonts w:cs="Arial"/>
                <w:sz w:val="20"/>
                <w:szCs w:val="20"/>
              </w:rPr>
              <w:t>Liczba utworzonych zajęć wyrównujących szanse edukacyjne</w:t>
            </w:r>
          </w:p>
        </w:tc>
        <w:tc>
          <w:tcPr>
            <w:tcW w:w="3975" w:type="dxa"/>
            <w:vAlign w:val="center"/>
          </w:tcPr>
          <w:p w14:paraId="08208CBC" w14:textId="77777777" w:rsidR="00A14DF9" w:rsidRPr="007B5F7E" w:rsidRDefault="00A14DF9" w:rsidP="008F6121">
            <w:pPr>
              <w:keepNext/>
              <w:spacing w:before="240" w:after="2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B5F7E">
              <w:rPr>
                <w:rFonts w:cs="Arial"/>
                <w:sz w:val="20"/>
                <w:szCs w:val="20"/>
              </w:rPr>
              <w:t>1</w:t>
            </w:r>
            <w:r w:rsidR="00BD05F1">
              <w:rPr>
                <w:rFonts w:cs="Arial"/>
                <w:sz w:val="20"/>
                <w:szCs w:val="20"/>
              </w:rPr>
              <w:t xml:space="preserve"> </w:t>
            </w:r>
            <w:r w:rsidRPr="007B5F7E">
              <w:rPr>
                <w:rFonts w:cs="Arial"/>
                <w:sz w:val="20"/>
                <w:szCs w:val="20"/>
              </w:rPr>
              <w:t>712</w:t>
            </w:r>
          </w:p>
        </w:tc>
      </w:tr>
      <w:tr w:rsidR="00A14DF9" w:rsidRPr="00BD05F1" w14:paraId="6457415C" w14:textId="77777777" w:rsidTr="001B2A0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070" w:type="dxa"/>
          </w:tcPr>
          <w:p w14:paraId="64F96444" w14:textId="77777777" w:rsidR="00A14DF9" w:rsidRPr="007B5F7E" w:rsidRDefault="00A14DF9" w:rsidP="00DF64C7">
            <w:pPr>
              <w:keepNext/>
              <w:spacing w:before="240" w:after="240"/>
              <w:jc w:val="left"/>
              <w:rPr>
                <w:rFonts w:cs="Arial"/>
                <w:sz w:val="20"/>
                <w:szCs w:val="20"/>
              </w:rPr>
            </w:pPr>
            <w:r w:rsidRPr="007B5F7E">
              <w:rPr>
                <w:rFonts w:cs="Arial"/>
                <w:sz w:val="20"/>
                <w:szCs w:val="20"/>
              </w:rPr>
              <w:t>Liczba miejsc przedszkolnych utworzonych w ramach realizacji projektu</w:t>
            </w:r>
          </w:p>
        </w:tc>
        <w:tc>
          <w:tcPr>
            <w:tcW w:w="3975" w:type="dxa"/>
            <w:vAlign w:val="center"/>
          </w:tcPr>
          <w:p w14:paraId="4E887758" w14:textId="77777777" w:rsidR="00A14DF9" w:rsidRPr="007B5F7E" w:rsidRDefault="00A14DF9" w:rsidP="008F6121">
            <w:pPr>
              <w:keepNext/>
              <w:spacing w:before="240" w:after="2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B5F7E">
              <w:rPr>
                <w:rFonts w:cs="Arial"/>
                <w:sz w:val="20"/>
                <w:szCs w:val="20"/>
              </w:rPr>
              <w:t>5</w:t>
            </w:r>
            <w:r w:rsidR="00BD05F1">
              <w:rPr>
                <w:rFonts w:cs="Arial"/>
                <w:sz w:val="20"/>
                <w:szCs w:val="20"/>
              </w:rPr>
              <w:t xml:space="preserve"> </w:t>
            </w:r>
            <w:r w:rsidRPr="007B5F7E">
              <w:rPr>
                <w:rFonts w:cs="Arial"/>
                <w:sz w:val="20"/>
                <w:szCs w:val="20"/>
              </w:rPr>
              <w:t>257</w:t>
            </w:r>
          </w:p>
        </w:tc>
      </w:tr>
      <w:tr w:rsidR="00A14DF9" w:rsidRPr="00BD05F1" w14:paraId="4C89E251" w14:textId="77777777" w:rsidTr="001B2A0E">
        <w:trPr>
          <w:trHeight w:val="281"/>
        </w:trPr>
        <w:tc>
          <w:tcPr>
            <w:cnfStyle w:val="001000000000" w:firstRow="0" w:lastRow="0" w:firstColumn="1" w:lastColumn="0" w:oddVBand="0" w:evenVBand="0" w:oddHBand="0" w:evenHBand="0" w:firstRowFirstColumn="0" w:firstRowLastColumn="0" w:lastRowFirstColumn="0" w:lastRowLastColumn="0"/>
            <w:tcW w:w="5070" w:type="dxa"/>
          </w:tcPr>
          <w:p w14:paraId="027350D3" w14:textId="77777777" w:rsidR="00A14DF9" w:rsidRPr="007B5F7E" w:rsidRDefault="00A14DF9" w:rsidP="00DF64C7">
            <w:pPr>
              <w:keepNext/>
              <w:spacing w:before="240" w:after="240"/>
              <w:jc w:val="left"/>
              <w:rPr>
                <w:rFonts w:cs="Arial"/>
                <w:sz w:val="20"/>
                <w:szCs w:val="20"/>
              </w:rPr>
            </w:pPr>
            <w:r w:rsidRPr="007B5F7E">
              <w:rPr>
                <w:rFonts w:cs="Arial"/>
                <w:sz w:val="20"/>
                <w:szCs w:val="20"/>
              </w:rPr>
              <w:t>Liczba uczniów, którzy nabyli kompetencje kluczowe lub umiejętności uniwersalne niezbędne na rynku pracy</w:t>
            </w:r>
          </w:p>
        </w:tc>
        <w:tc>
          <w:tcPr>
            <w:tcW w:w="3975" w:type="dxa"/>
            <w:vAlign w:val="center"/>
          </w:tcPr>
          <w:p w14:paraId="1CF05F6F" w14:textId="77777777" w:rsidR="00A14DF9" w:rsidRPr="007B5F7E" w:rsidRDefault="00A14DF9" w:rsidP="008F6121">
            <w:pPr>
              <w:keepNext/>
              <w:spacing w:before="240" w:after="2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B5F7E">
              <w:rPr>
                <w:rFonts w:cs="Arial"/>
                <w:sz w:val="20"/>
                <w:szCs w:val="20"/>
              </w:rPr>
              <w:t>26</w:t>
            </w:r>
            <w:r w:rsidR="00BD05F1">
              <w:rPr>
                <w:rFonts w:cs="Arial"/>
                <w:sz w:val="20"/>
                <w:szCs w:val="20"/>
              </w:rPr>
              <w:t xml:space="preserve"> </w:t>
            </w:r>
            <w:r w:rsidRPr="007B5F7E">
              <w:rPr>
                <w:rFonts w:cs="Arial"/>
                <w:sz w:val="20"/>
                <w:szCs w:val="20"/>
              </w:rPr>
              <w:t>907</w:t>
            </w:r>
          </w:p>
        </w:tc>
      </w:tr>
      <w:tr w:rsidR="00A14DF9" w:rsidRPr="00BD05F1" w14:paraId="348265CA" w14:textId="77777777" w:rsidTr="001B2A0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070" w:type="dxa"/>
          </w:tcPr>
          <w:p w14:paraId="60BC28B9" w14:textId="77777777" w:rsidR="00A14DF9" w:rsidRPr="007B5F7E" w:rsidRDefault="00A14DF9" w:rsidP="00DF64C7">
            <w:pPr>
              <w:keepNext/>
              <w:spacing w:before="240" w:after="240"/>
              <w:jc w:val="left"/>
              <w:rPr>
                <w:rFonts w:cs="Arial"/>
                <w:sz w:val="20"/>
                <w:szCs w:val="20"/>
              </w:rPr>
            </w:pPr>
            <w:r w:rsidRPr="007B5F7E">
              <w:rPr>
                <w:rFonts w:cs="Arial"/>
                <w:sz w:val="20"/>
                <w:szCs w:val="20"/>
              </w:rPr>
              <w:t>Liczba uczniów uczestniczących w stażach i praktykach u pracodawcy</w:t>
            </w:r>
          </w:p>
        </w:tc>
        <w:tc>
          <w:tcPr>
            <w:tcW w:w="3975" w:type="dxa"/>
            <w:vAlign w:val="center"/>
          </w:tcPr>
          <w:p w14:paraId="2D731F3E" w14:textId="77777777" w:rsidR="00A14DF9" w:rsidRPr="007B5F7E" w:rsidRDefault="00A14DF9" w:rsidP="008F6121">
            <w:pPr>
              <w:keepNext/>
              <w:spacing w:before="240" w:after="2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B5F7E">
              <w:rPr>
                <w:rFonts w:cs="Arial"/>
                <w:sz w:val="20"/>
                <w:szCs w:val="20"/>
              </w:rPr>
              <w:t>3</w:t>
            </w:r>
            <w:r w:rsidR="00BD05F1">
              <w:rPr>
                <w:rFonts w:cs="Arial"/>
                <w:sz w:val="20"/>
                <w:szCs w:val="20"/>
              </w:rPr>
              <w:t xml:space="preserve"> </w:t>
            </w:r>
            <w:r w:rsidRPr="007B5F7E">
              <w:rPr>
                <w:rFonts w:cs="Arial"/>
                <w:sz w:val="20"/>
                <w:szCs w:val="20"/>
              </w:rPr>
              <w:t>507</w:t>
            </w:r>
          </w:p>
        </w:tc>
      </w:tr>
      <w:tr w:rsidR="00A14DF9" w:rsidRPr="00BD05F1" w14:paraId="05DE542A" w14:textId="77777777" w:rsidTr="001B2A0E">
        <w:trPr>
          <w:trHeight w:val="281"/>
        </w:trPr>
        <w:tc>
          <w:tcPr>
            <w:cnfStyle w:val="001000000000" w:firstRow="0" w:lastRow="0" w:firstColumn="1" w:lastColumn="0" w:oddVBand="0" w:evenVBand="0" w:oddHBand="0" w:evenHBand="0" w:firstRowFirstColumn="0" w:firstRowLastColumn="0" w:lastRowFirstColumn="0" w:lastRowLastColumn="0"/>
            <w:tcW w:w="5070" w:type="dxa"/>
          </w:tcPr>
          <w:p w14:paraId="0987CF2D" w14:textId="77777777" w:rsidR="00A14DF9" w:rsidRPr="007B5F7E" w:rsidRDefault="00A14DF9" w:rsidP="00DF64C7">
            <w:pPr>
              <w:keepNext/>
              <w:spacing w:before="240" w:after="240"/>
              <w:jc w:val="left"/>
              <w:rPr>
                <w:rFonts w:cs="Arial"/>
                <w:sz w:val="20"/>
                <w:szCs w:val="20"/>
              </w:rPr>
            </w:pPr>
            <w:r w:rsidRPr="007B5F7E">
              <w:rPr>
                <w:rFonts w:cs="Arial"/>
                <w:sz w:val="20"/>
                <w:szCs w:val="20"/>
              </w:rPr>
              <w:t>Liczba miejsc dla uczniów, tj. potencjalnych użytkowników) po realizacji projektu</w:t>
            </w:r>
          </w:p>
        </w:tc>
        <w:tc>
          <w:tcPr>
            <w:tcW w:w="3975" w:type="dxa"/>
            <w:vAlign w:val="center"/>
          </w:tcPr>
          <w:p w14:paraId="3A23AE31" w14:textId="77777777" w:rsidR="00A14DF9" w:rsidRPr="007B5F7E" w:rsidRDefault="00A14DF9" w:rsidP="008F6121">
            <w:pPr>
              <w:keepNext/>
              <w:spacing w:before="240" w:after="2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B5F7E">
              <w:rPr>
                <w:rFonts w:cs="Arial"/>
                <w:sz w:val="20"/>
                <w:szCs w:val="20"/>
              </w:rPr>
              <w:t>12</w:t>
            </w:r>
            <w:r w:rsidR="00BD05F1">
              <w:rPr>
                <w:rFonts w:cs="Arial"/>
                <w:sz w:val="20"/>
                <w:szCs w:val="20"/>
              </w:rPr>
              <w:t xml:space="preserve"> </w:t>
            </w:r>
            <w:r w:rsidRPr="007B5F7E">
              <w:rPr>
                <w:rFonts w:cs="Arial"/>
                <w:sz w:val="20"/>
                <w:szCs w:val="20"/>
              </w:rPr>
              <w:t>975</w:t>
            </w:r>
          </w:p>
        </w:tc>
      </w:tr>
    </w:tbl>
    <w:p w14:paraId="3D4F71E0" w14:textId="77777777" w:rsidR="00BD05F1" w:rsidRDefault="00BD05F1" w:rsidP="00DF64C7">
      <w:pPr>
        <w:pStyle w:val="podpisrdailustracji"/>
        <w:spacing w:line="271" w:lineRule="auto"/>
        <w:jc w:val="left"/>
      </w:pPr>
      <w:r w:rsidRPr="007B5F7E">
        <w:t>Źródło: opracowanie własne na podstawie badania CAWI/CATI z nauczycielami i dyrektorami wspartych placówek, n=736 (dyrektorzy poszczególnych placówek wskazywali na efekty wynikające z zadań w ramach Działania).</w:t>
      </w:r>
    </w:p>
    <w:p w14:paraId="2BD07512" w14:textId="77777777" w:rsidR="00DA2E7D" w:rsidRDefault="00DA2E7D" w:rsidP="00DF64C7">
      <w:pPr>
        <w:jc w:val="left"/>
      </w:pPr>
      <w:r>
        <w:t>Przeprowadzone wywiady pogłębione z przedstawicielami IZ i IP potwierdziły doprowadzenie przez zaplanowane w Programie nakłady i działania do zakładanych efektów</w:t>
      </w:r>
      <w:r w:rsidR="00F53157">
        <w:t xml:space="preserve"> (za wyjątek należy uznać Działanie 11.4 Podnoszenie kwalifikacji zawodowych osób dorosłych, cechujące się stosunkowo niskim poziomem osiągnięcia wskaźników rezultatu (tj. poniżej 50%))</w:t>
      </w:r>
      <w:r>
        <w:t>. Było to możliwe dzięki odpowiedniemu dopasowaniu zakresu ud</w:t>
      </w:r>
      <w:r w:rsidR="001674EF">
        <w:t>zielanego wsparcia do potrzeb w </w:t>
      </w:r>
      <w:r>
        <w:t>zakresie edukacji zidentyfikowanych w regionie (w tym dot. edukacji przedszkolnej</w:t>
      </w:r>
      <w:r w:rsidR="0023662D">
        <w:t>, ogólnej</w:t>
      </w:r>
      <w:r>
        <w:t xml:space="preserve"> oraz zawodowej). Warto zauważyć, że umożliwienie uzyskania wsparcia w ramach RPO WSL 2014-2020 zbiegło się w czasie ze zmianami w Ustawie – Prawo oświatowe, która narzucała na samorządy obowiązek zapewnienia miejsc w placówkach przedszkolnych dla najmłodszych dzieci. Ze względu na ograniczone możliwości finansowe samorządów lokalnych, oferta wsparcia w tym zakresie spotkała się z dużym zainteresowaniem gmin. Prócz zapewnienia odpowiedniej liczby miejsc, respondenci badania IDI podkreślali również istotną rolę pomocy w realizacji zajęć dodatkowych, w tym wykorzystujących zaangażowanie w projekt specjalistycznej kadry (pedagogika specjalna). Wsparcie w tym zakresie było chętnie wykorzystywane przez beneficjentów, przy czym zaznaczano, że bez możliwości uzyskania w tym celu dofinansowania prawdopodobnie działania tego typu (skierowane ku dzieciom ze specjalnymi potrzebami</w:t>
      </w:r>
      <w:r w:rsidR="00606A94">
        <w:t xml:space="preserve"> edukacyjnymi</w:t>
      </w:r>
      <w:r>
        <w:t xml:space="preserve">) w ogóle nie byłyby realizowane. </w:t>
      </w:r>
      <w:r w:rsidR="005243B5">
        <w:t>Można, więc</w:t>
      </w:r>
      <w:r>
        <w:t xml:space="preserve"> z jednej strony mówić o znacznym zwiększeniu dostępności miejs</w:t>
      </w:r>
      <w:r w:rsidR="001674EF">
        <w:t>c przedszkolnych, a z drugiej o </w:t>
      </w:r>
      <w:r>
        <w:t>wzroście jakości i kompleksowości oferowanych usług edukacyjnych.</w:t>
      </w:r>
    </w:p>
    <w:p w14:paraId="7727ED15" w14:textId="77777777" w:rsidR="0023662D" w:rsidRDefault="0023662D" w:rsidP="00DF64C7">
      <w:pPr>
        <w:jc w:val="left"/>
      </w:pPr>
      <w:r w:rsidRPr="0023662D">
        <w:t xml:space="preserve">W przypadku wsparcia w zakresie kształcenia ogólnego (Wzrost dostępu do wysokiej jakości oferty kształcenia ogólnokształcącego), cel realizowany był za pośrednictwem Poddziałania 11.1.4, które obejmowało takie działania, jak kształtowanie kompetencji kluczowych i umiejętności uniwersalnych uczniów niezbędnych na rynku pracy, tworzenie w szkołach warunków do nauczania eksperymentalnego (w powiązaniu z zaplanowanymi w projekcie zajęciami), indywidualizację pracy z uczniem o specjalnych bądź największych potrzebach edukacyjnych i rozwojowych oraz doskonalenie umiejętności i kompetencji zawodowych nauczycieli w zakresie zgodnym z zaplanowanym wsparciem na rzecz uczniów. Wsparcie to w znacznym stopniu wpłynęło pozytywnie na ofertę edukacyjną placówek oraz </w:t>
      </w:r>
      <w:r w:rsidRPr="0023662D">
        <w:rPr>
          <w:rFonts w:cs="Arial"/>
        </w:rPr>
        <w:t>z</w:t>
      </w:r>
      <w:r w:rsidRPr="007B5F7E">
        <w:rPr>
          <w:rFonts w:cs="Arial"/>
        </w:rPr>
        <w:t>a</w:t>
      </w:r>
      <w:r>
        <w:rPr>
          <w:rFonts w:cs="Arial"/>
        </w:rPr>
        <w:t>a</w:t>
      </w:r>
      <w:r w:rsidRPr="007B5F7E">
        <w:rPr>
          <w:rFonts w:cs="Arial"/>
        </w:rPr>
        <w:t>ngażowanie nauczycieli w</w:t>
      </w:r>
      <w:r w:rsidR="00E53955">
        <w:rPr>
          <w:rFonts w:cs="Arial"/>
        </w:rPr>
        <w:t xml:space="preserve"> ich</w:t>
      </w:r>
      <w:r w:rsidRPr="007B5F7E">
        <w:rPr>
          <w:rFonts w:cs="Arial"/>
        </w:rPr>
        <w:t xml:space="preserve"> działalność.</w:t>
      </w:r>
    </w:p>
    <w:p w14:paraId="51BF2BA6" w14:textId="77777777" w:rsidR="00DA2E7D" w:rsidRDefault="00DA2E7D" w:rsidP="00DF64C7">
      <w:pPr>
        <w:jc w:val="left"/>
      </w:pPr>
      <w:r>
        <w:t>W przypadku wsparcia kierowanego w zakresie szkolnictwa zawodowego, badani</w:t>
      </w:r>
      <w:r w:rsidR="00606A94">
        <w:t xml:space="preserve"> (przedstawiciele IZ/IP)</w:t>
      </w:r>
      <w:r>
        <w:t xml:space="preserve"> podkreślili wpisywanie się charakteru pomocy udzielan</w:t>
      </w:r>
      <w:r w:rsidR="001674EF">
        <w:t>ej w ramach RPO WSL 2014-2020 w </w:t>
      </w:r>
      <w:r>
        <w:t>ogólnokrajowy trend dot. rozwoju praktycznego aspektu nauki zawodu. Tym samym, możliwe było postawienie nacisku na naukę umiejętności praktycznych, wymaganych przez pracodawców. Ponadto wskazywano na znaczny wkład Programu w doposażenie pracowni szkolnych oraz rozszerzenie zakresu zajęć dodatkowych. Badani wskazywali przy tym, że potrzeba dostosowania sektora edukacji zawodowej do</w:t>
      </w:r>
      <w:r w:rsidR="001674EF">
        <w:t xml:space="preserve"> potrzeb rynku pracy to jedno z </w:t>
      </w:r>
      <w:r>
        <w:t>głównych wyzwań, zarówno na poziomie lokalnym, jak i krajowym. Tym samym, wsparcie w tym zakresie trafnie wpisywało się w aktualne potrzeby, przy czym ze względu na skalę potrzeb, problem ten będzie aktualny również w przyszłej perspektywie finansowej.</w:t>
      </w:r>
    </w:p>
    <w:p w14:paraId="2DFA643C" w14:textId="77777777" w:rsidR="00DA2E7D" w:rsidRDefault="00DA2E7D" w:rsidP="00DF64C7">
      <w:pPr>
        <w:jc w:val="left"/>
      </w:pPr>
      <w:r>
        <w:t>Beneficjenci realizowanych projektów dodali, iż zarówno w przypadku OP XI, jak i OP XII środki finansowe przeznaczone na realizację projektów były wystarczające do sprawnego wdrożenia zaplanowanych</w:t>
      </w:r>
      <w:r w:rsidR="00252F42">
        <w:t xml:space="preserve"> działań</w:t>
      </w:r>
      <w:r>
        <w:t xml:space="preserve"> </w:t>
      </w:r>
      <w:r w:rsidR="00252F42">
        <w:t xml:space="preserve">(jak wskazano wcześniej, jedynie </w:t>
      </w:r>
      <w:r w:rsidR="005243B5">
        <w:t>niespełna, co</w:t>
      </w:r>
      <w:r w:rsidR="00252F42">
        <w:t xml:space="preserve"> dziesiąty projekt posiadał zdaniem badanych beneficjentów zbyt mały budżet (co wynikało jednak z jego niedoszacowania przez wnioskodawców na etapie </w:t>
      </w:r>
      <w:r w:rsidR="005243B5">
        <w:t>aplikowania o wsparcie)</w:t>
      </w:r>
      <w:r>
        <w:t xml:space="preserve">. W przypadku części z projektów koszty okazały się niższe, niż założono, w </w:t>
      </w:r>
      <w:r w:rsidR="005243B5">
        <w:t>związku, z czym</w:t>
      </w:r>
      <w:r>
        <w:t xml:space="preserve"> zrealizowane wskaźniki były wyższe, niż początkowo planowano. Jako wystarczające do realizacji projektu uznano</w:t>
      </w:r>
      <w:r w:rsidR="001674EF">
        <w:t xml:space="preserve"> również zasoby organizacyjne i </w:t>
      </w:r>
      <w:r>
        <w:t>ludzkie.</w:t>
      </w:r>
    </w:p>
    <w:p w14:paraId="79E41EF8" w14:textId="77777777" w:rsidR="00316B74" w:rsidRDefault="00316B74" w:rsidP="00DF64C7">
      <w:pPr>
        <w:jc w:val="left"/>
      </w:pPr>
      <w:r>
        <w:t xml:space="preserve">Przeprowadzona została również analiza </w:t>
      </w:r>
      <w:r w:rsidRPr="00610089">
        <w:rPr>
          <w:rFonts w:eastAsia="Arial" w:cs="Arial"/>
        </w:rPr>
        <w:t>wniosków</w:t>
      </w:r>
      <w:r>
        <w:rPr>
          <w:rFonts w:eastAsia="Arial" w:cs="Arial"/>
        </w:rPr>
        <w:t xml:space="preserve"> o </w:t>
      </w:r>
      <w:r w:rsidRPr="00610089">
        <w:rPr>
          <w:rFonts w:eastAsia="Arial" w:cs="Arial"/>
        </w:rPr>
        <w:t>płatność</w:t>
      </w:r>
      <w:r>
        <w:rPr>
          <w:rFonts w:eastAsia="Arial" w:cs="Arial"/>
        </w:rPr>
        <w:t xml:space="preserve">, która wykazać miała, czy występują projekty charakteryzujące się szczególnie niskim (w porównaniu do pozostałych projektów) poziomem nakładów finansowych, które jednocześnie pozwoliły osiągnąć poziom wartości wskaźników charakterystyczny dla projektów, które w innych przypadkach okazywały się bardziej kosztowne. W tym celu starano się wybierać projekty jak najbardziej zbliżone do siebie. Niemniej jednak, analiza wykazała, że tego typu podejście jest niezasadne. W teorii jest możliwe wskazanie projektów o podobnym typie </w:t>
      </w:r>
      <w:r w:rsidR="00507E86">
        <w:rPr>
          <w:rFonts w:eastAsia="Arial" w:cs="Arial"/>
        </w:rPr>
        <w:t>i</w:t>
      </w:r>
      <w:r>
        <w:rPr>
          <w:rFonts w:eastAsia="Arial" w:cs="Arial"/>
        </w:rPr>
        <w:t xml:space="preserve"> porównywalnych osiągniętych wartościach wskaźników, lecz w praktyce (biorąc pod uwagę dane podawane we wnioskach o dofinansowanie i wnioskach o płatność) trudno jednoznacznie określić, </w:t>
      </w:r>
      <w:r w:rsidR="00507E86">
        <w:rPr>
          <w:rFonts w:eastAsia="Arial" w:cs="Arial"/>
        </w:rPr>
        <w:t>ż</w:t>
      </w:r>
      <w:r>
        <w:rPr>
          <w:rFonts w:eastAsia="Arial" w:cs="Arial"/>
        </w:rPr>
        <w:t xml:space="preserve">e projekty te są na tyle zbliżone, aby wnioskować o zbyt wysokim poziomie kosztów w którymś z porównywanych projektów. Zakres czynników w tym zakresie (np. stawki płac, robót, usług) uzależnione są od wielu czynników (w tym lokalizacji), wobec czego podane w ten sposób szacunki byłyby nierzetelne. Potwierdzają to również wyniki przeprowadzonych badań, w </w:t>
      </w:r>
      <w:r w:rsidR="005243B5">
        <w:rPr>
          <w:rFonts w:eastAsia="Arial" w:cs="Arial"/>
        </w:rPr>
        <w:t>trakcie, których</w:t>
      </w:r>
      <w:r>
        <w:rPr>
          <w:rFonts w:eastAsia="Arial" w:cs="Arial"/>
        </w:rPr>
        <w:t xml:space="preserve"> zarówno beneficjenci, jak i przedstawiciele </w:t>
      </w:r>
      <w:r w:rsidR="007C21BB">
        <w:rPr>
          <w:rFonts w:eastAsia="Arial" w:cs="Arial"/>
        </w:rPr>
        <w:t>IZ</w:t>
      </w:r>
      <w:r>
        <w:rPr>
          <w:rFonts w:eastAsia="Arial" w:cs="Arial"/>
        </w:rPr>
        <w:t>/IP nie potrafili wskazać kosztów, których ich zdaniem można było uniknąć w ramach poszczególnych projektów.</w:t>
      </w:r>
    </w:p>
    <w:p w14:paraId="3F8513BE" w14:textId="77777777" w:rsidR="00DA2E7D" w:rsidRDefault="00DA2E7D" w:rsidP="00DF64C7">
      <w:pPr>
        <w:jc w:val="left"/>
      </w:pPr>
    </w:p>
    <w:p w14:paraId="6F533F68" w14:textId="77777777" w:rsidR="00DA2E7D" w:rsidRPr="00D32040" w:rsidRDefault="00DA2E7D" w:rsidP="00DF64C7">
      <w:pPr>
        <w:jc w:val="left"/>
        <w:rPr>
          <w:rStyle w:val="Odwoanieintensywne"/>
        </w:rPr>
      </w:pPr>
      <w:r w:rsidRPr="00D32040">
        <w:rPr>
          <w:rStyle w:val="Odwoanieintensywne"/>
        </w:rPr>
        <w:t>Podsumowanie</w:t>
      </w:r>
    </w:p>
    <w:p w14:paraId="0D22C04E" w14:textId="77777777" w:rsidR="004A5C17" w:rsidRDefault="004A5C17" w:rsidP="00DF64C7">
      <w:pPr>
        <w:jc w:val="left"/>
      </w:pPr>
      <w:r>
        <w:t xml:space="preserve">Analiza </w:t>
      </w:r>
      <w:r w:rsidR="00023F05">
        <w:t xml:space="preserve">diagnozy RPO WSL 2014-2020 oraz pozostałych </w:t>
      </w:r>
      <w:r>
        <w:t>dostępnych dokumentów umożliwiła odtworzenie logiki interwencji. Pozwoliło to na identyfikację problemów i potrzeb województwa charakterystycznych dla początku okresu wdrażania interwencji oraz przyrównanie ich do zarówno założonych celów poszczególnych działań i poddziałań, jak i celów OP XI, XII i całego Programu.</w:t>
      </w:r>
    </w:p>
    <w:p w14:paraId="093833ED" w14:textId="77777777" w:rsidR="004A5C17" w:rsidRDefault="004A5C17" w:rsidP="00DF64C7">
      <w:pPr>
        <w:jc w:val="left"/>
      </w:pPr>
      <w:r>
        <w:t>Przeprowadzona analiza pozwala stwierdzić, że zaszły spodziewane związki przyczynowo-skutkowe, a udzielone wsparcie w ramach OP XI i XII RPO WSL 2014-2020 było zgodne z faktycznymi problemami i trudnościami regionalnymi.</w:t>
      </w:r>
    </w:p>
    <w:p w14:paraId="4C2CB86E" w14:textId="77777777" w:rsidR="00591415" w:rsidRDefault="00591241" w:rsidP="00DF64C7">
      <w:pPr>
        <w:jc w:val="left"/>
      </w:pPr>
      <w:r w:rsidRPr="00591241">
        <w:t>Zaplanowane w Programie nakłady (w tym finansowe) i działania doprowadziły do zaplanowanych efektów mających odpowiedzieć na zdiagnozowane problemy</w:t>
      </w:r>
      <w:r w:rsidR="00A305EF">
        <w:t xml:space="preserve"> (za wyjątek należy uznać Działanie 11.4 Podnoszenie kwalifikacji zawodowych osób dorosłych, cechujące się stosunkowo niskim poziomem osiągnięcia wskaźników rezultatu (tj. poniżej 50%)</w:t>
      </w:r>
      <w:r w:rsidRPr="00591241">
        <w:t>.</w:t>
      </w:r>
      <w:r>
        <w:t xml:space="preserve"> </w:t>
      </w:r>
      <w:r w:rsidR="00591415">
        <w:t>Działania w ramach RPO WSL 2014-2020 w zakresie edukacji ukierunkowane są na główne wyzwania regionu, zidentyfikowane w powstałej w ramach dokumentu diagnozy</w:t>
      </w:r>
      <w:r>
        <w:t xml:space="preserve"> (w tym dot. edukacji przedszkolnej, ogólnej oraz zawodowej)</w:t>
      </w:r>
      <w:r w:rsidR="00591415">
        <w:t>. Co istotne, alokacja na działania te została efektywnie wykorzystana – w ramach OP XI w</w:t>
      </w:r>
      <w:r w:rsidR="00591415" w:rsidRPr="00767A6A">
        <w:t>artość docelowa wskaźnika finansowego na 2019 rok wynosi</w:t>
      </w:r>
      <w:r w:rsidR="00591415">
        <w:t>ła</w:t>
      </w:r>
      <w:r w:rsidR="00591415" w:rsidRPr="00767A6A">
        <w:t xml:space="preserve"> 55 84 092 EUR</w:t>
      </w:r>
      <w:r w:rsidR="00591415">
        <w:t>, zaś 1.10.2019 roku</w:t>
      </w:r>
      <w:r w:rsidR="00591415" w:rsidRPr="00767A6A">
        <w:t xml:space="preserve"> wartość wskaźnika na podstawie zatwierdzonych wniosków o płatność wyniosła 79 885 889 EUR, </w:t>
      </w:r>
      <w:r w:rsidR="00591415">
        <w:t xml:space="preserve">stanowiąc </w:t>
      </w:r>
      <w:r w:rsidR="00591415" w:rsidRPr="00767A6A">
        <w:t>142,9% wartości docelowej na rok 2019</w:t>
      </w:r>
      <w:r w:rsidR="00591415">
        <w:t xml:space="preserve">. Podobnie prezentuje się postęp realizacji wskaźnika finansowego w ramach OP XII, gdzie </w:t>
      </w:r>
      <w:r w:rsidR="00591415" w:rsidRPr="00767A6A">
        <w:t xml:space="preserve">wartość wskaźnika na podstawie zatwierdzonych wniosków o płatność wyniosła 47 268 881 EUR, </w:t>
      </w:r>
      <w:r w:rsidR="00591415">
        <w:t>stanowiąc tym samym</w:t>
      </w:r>
      <w:r w:rsidR="00591415" w:rsidRPr="00767A6A">
        <w:t xml:space="preserve"> 157,9% wartości docelowej na rok 2019</w:t>
      </w:r>
      <w:r w:rsidR="00591415">
        <w:t xml:space="preserve"> (stan na dzień 1.10.2019). </w:t>
      </w:r>
      <w:r>
        <w:t>Przeprowadzone badanie z beneficjentami dowiodło</w:t>
      </w:r>
      <w:r w:rsidR="00591415">
        <w:t xml:space="preserve">, że realizacja działań w takim samym zakresie nie byłaby możliwa bez dofinansowania w ramach RPO WSL 2014-2020, w szczególności w przypadku działań z zakresu </w:t>
      </w:r>
      <w:r w:rsidR="00591415" w:rsidRPr="00FC3DCC">
        <w:t>zwiększeni</w:t>
      </w:r>
      <w:r w:rsidR="00591415">
        <w:t>a</w:t>
      </w:r>
      <w:r w:rsidR="00591415" w:rsidRPr="00FC3DCC">
        <w:t xml:space="preserve"> dos</w:t>
      </w:r>
      <w:r w:rsidR="00591415">
        <w:t xml:space="preserve">tępności miejsc przedszkolnych oraz wzrostu </w:t>
      </w:r>
      <w:r w:rsidR="00591415" w:rsidRPr="00FC3DCC">
        <w:t>jakości i kompleksowości oferowanych usług edukacyjnych</w:t>
      </w:r>
      <w:r w:rsidR="00591415">
        <w:t>, charakteryzujących się znacznym zainteresowaniem beneficjentów i odpowiadających na zdiagnozowane potrzeby regionu.</w:t>
      </w:r>
      <w:r>
        <w:t xml:space="preserve"> Nie bez znaczenia były również czynniki zewnętrzne, pojawiające się w trakcie realizacji interwencji. Zmiany w prawie oświatowym wymusiły na gminach konieczność zapewnienia znacznej liczby miejsc przedszkolnych, co miało zdecydowany wpływ na wzrost zainteresowania oferowanym wsparciem i, tym samym, uzyskanie zaplanowanych efektów bez problemów związanych z niewystarczającym zainteresowaniem potencjalnych beneficjentów (szerzej o tym zjawisku przeczytać można w dalszej części niniejszego opracowania).</w:t>
      </w:r>
    </w:p>
    <w:p w14:paraId="6AAC29AD" w14:textId="77777777" w:rsidR="004A5C17" w:rsidRDefault="004A5C17" w:rsidP="00DF64C7">
      <w:pPr>
        <w:jc w:val="left"/>
      </w:pPr>
      <w:r>
        <w:t>Biorąc pod uwagę</w:t>
      </w:r>
      <w:r w:rsidRPr="004A5C17">
        <w:t xml:space="preserve"> szkolnictwo zawodowe należy wskazać, że wsparcie udzielone w ramach interwencji wpisywało się w ogólnokrajowy trend dot. rozwoju praktycznego aspektu nauki zawodu. Poprzez to, możliwe było postawienie nacisku na naukę umiejętności praktycznych (wymaganych przez pracodawców), doposażenie pracowni szkolnych oraz rozszerzenie zakresu zajęć dodatkowych. Wsparcie w tym zakresie trafnie wpisywało się więc w aktualne potrzeby, przy czym ze względu na skalę </w:t>
      </w:r>
      <w:r w:rsidR="00507E86">
        <w:t>zapotrzebowanie</w:t>
      </w:r>
      <w:r w:rsidRPr="004A5C17">
        <w:t>, problem ten będzie aktualny również w przyszłej perspektywie finansowej.</w:t>
      </w:r>
    </w:p>
    <w:p w14:paraId="69C7CA41" w14:textId="77777777" w:rsidR="00A50351" w:rsidRDefault="00A50351" w:rsidP="00DF64C7">
      <w:pPr>
        <w:jc w:val="left"/>
      </w:pPr>
      <w:r w:rsidRPr="00A50351">
        <w:t>Również w przypadku kształcenia ogólnego udzielone wsparcie w znacznym stopniu wpłynęło pozytywnie na ofertę edukacyjną placówek oraz zaangażowanie nauczycieli (cel "Wzrost dostępu do wysokiej jakości oferty kształcenia ogólnokształcącego" realizowany był za pośrednictwem Poddziałania 11.1.4, umożliwiaj</w:t>
      </w:r>
      <w:r w:rsidR="00507E86">
        <w:t>ą</w:t>
      </w:r>
      <w:r w:rsidRPr="00A50351">
        <w:t>cego realizacj</w:t>
      </w:r>
      <w:r w:rsidR="00507E86">
        <w:t>ę</w:t>
      </w:r>
      <w:r w:rsidRPr="00A50351">
        <w:t xml:space="preserve"> działań w zakresie m.in. kształtowania kompetencji kluczowych i umiejętności uniwersalnych uczniów niezbędnych na rynku pracy, tworzenia w szkołach warunków do nauczania eksperymentalnego, indywidualizacji pracy z uczniem o specjalnych bądź największych potrzebach edukacyjnych i rozwojowych oraz doskonalenia umiejętności i kompetencji zawodowych nauczycieli w zakresie zgodnym z zaplanowanym wsparciem </w:t>
      </w:r>
      <w:r>
        <w:t>na rzecz uczniów</w:t>
      </w:r>
      <w:r w:rsidRPr="00A50351">
        <w:t>)</w:t>
      </w:r>
      <w:r>
        <w:t>.</w:t>
      </w:r>
    </w:p>
    <w:p w14:paraId="30A71BD8" w14:textId="77777777" w:rsidR="00591415" w:rsidRPr="003B2919" w:rsidRDefault="00591415" w:rsidP="00DF64C7">
      <w:pPr>
        <w:jc w:val="left"/>
      </w:pPr>
      <w:r w:rsidRPr="003B2919">
        <w:t>W oparciu o pozyskany materiał badawczy należy wskazać, iż wsparcie udzielone w ramach OP XI i XII RPO WSL 2014-2020 było skuteczne</w:t>
      </w:r>
      <w:r>
        <w:t xml:space="preserve">, a </w:t>
      </w:r>
      <w:r w:rsidRPr="003B2919">
        <w:t xml:space="preserve">realizacja projektów </w:t>
      </w:r>
      <w:r>
        <w:t xml:space="preserve">w wysokim stopniu </w:t>
      </w:r>
      <w:r w:rsidRPr="003B2919">
        <w:t>przyczyniła się do osiągnięcia celów szczegółowych poszczególnych osi, wpisujących się z kolei w określone priorytety inwestycyjne</w:t>
      </w:r>
      <w:r w:rsidR="00A305EF">
        <w:t xml:space="preserve"> (z zastrzeżeniem wyjątku w postaci Działania 11.4, charakteryzującego się stosunkowo niskim poziomem osiągnięcia wskaźników rezultatu (tj. poniżej 50%)</w:t>
      </w:r>
      <w:r w:rsidR="00507E86">
        <w:t>)</w:t>
      </w:r>
      <w:r w:rsidRPr="003B2919">
        <w:t>.</w:t>
      </w:r>
      <w:r>
        <w:t xml:space="preserve"> </w:t>
      </w:r>
    </w:p>
    <w:p w14:paraId="1BB94DA2" w14:textId="3856256B" w:rsidR="009C3481" w:rsidRDefault="00A464CB" w:rsidP="009C3481">
      <w:pPr>
        <w:pStyle w:val="Nagwek3"/>
        <w:spacing w:line="271" w:lineRule="auto"/>
        <w:ind w:left="426"/>
        <w:jc w:val="left"/>
        <w:rPr>
          <w:rFonts w:eastAsia="Arial"/>
        </w:rPr>
      </w:pPr>
      <w:bookmarkStart w:id="33" w:name="_Toc35626693"/>
      <w:bookmarkStart w:id="34" w:name="_Toc35626745"/>
      <w:bookmarkStart w:id="35" w:name="_Toc38035008"/>
      <w:bookmarkEnd w:id="33"/>
      <w:bookmarkEnd w:id="34"/>
      <w:r w:rsidRPr="00610089">
        <w:rPr>
          <w:rFonts w:eastAsia="Arial"/>
        </w:rPr>
        <w:t>Które potrzeby zidentyfikowane</w:t>
      </w:r>
      <w:r>
        <w:rPr>
          <w:rFonts w:eastAsia="Arial"/>
        </w:rPr>
        <w:t xml:space="preserve"> w </w:t>
      </w:r>
      <w:r w:rsidRPr="00610089">
        <w:rPr>
          <w:rFonts w:eastAsia="Arial"/>
        </w:rPr>
        <w:t>ramach OP XI</w:t>
      </w:r>
      <w:r>
        <w:rPr>
          <w:rFonts w:eastAsia="Arial"/>
        </w:rPr>
        <w:t xml:space="preserve"> i </w:t>
      </w:r>
      <w:r w:rsidRPr="00610089">
        <w:rPr>
          <w:rFonts w:eastAsia="Arial"/>
        </w:rPr>
        <w:t>XII zostały dotychczas zaspokojone,</w:t>
      </w:r>
      <w:r>
        <w:rPr>
          <w:rFonts w:eastAsia="Arial"/>
        </w:rPr>
        <w:t xml:space="preserve"> a </w:t>
      </w:r>
      <w:r w:rsidRPr="00610089">
        <w:rPr>
          <w:rFonts w:eastAsia="Arial"/>
        </w:rPr>
        <w:t>które wymagają dalszego wsparcia?</w:t>
      </w:r>
      <w:bookmarkEnd w:id="22"/>
      <w:bookmarkEnd w:id="23"/>
      <w:bookmarkEnd w:id="24"/>
      <w:bookmarkEnd w:id="35"/>
    </w:p>
    <w:p w14:paraId="68E4E8C4" w14:textId="77777777" w:rsidR="001E6E38" w:rsidRPr="007B5F7E" w:rsidRDefault="001E6E38" w:rsidP="00DF64C7">
      <w:pPr>
        <w:jc w:val="left"/>
      </w:pPr>
      <w:r w:rsidRPr="007B5F7E">
        <w:t xml:space="preserve">Beneficjenci projektów realizowanych oraz nauczyciele i dyrektorzy wspartych placówek w ramach OP XI wskazali potrzeby, na które odpowiadały wdrażane przez nich działania. Jak wynika z analizy udzielanych przez beneficjentów odpowiedzi, efekty realizowanych projektów w wysokim stopniu odpowiadały na szereg zidentyfikowanych potrzeb, przy czym szczególną uwagę należy zwrócić na odpowiedzi cechujące się wysokim odsetkiem pozytywnych wskazań respondentów, przekraczając 70% wszystkich odpowiedzi udzielanych w ramach poszczególnych działań. Zdaniem beneficjentów badania CAWI/CATI realizowane projekty pozwoliły doposażyć placówki w brakujące nowoczesne materiały dydaktyczne oraz niezbędny sprzęt, w tym również odpowiedni sprzęt i materiały umożliwiające nauczanie metodą eksperymentu. Realizowane projekty skutecznie odpowiadały także na problem związany ze zbyt niską liczbą dostępnych miejsc przedszkolnych w kontekście wysokiego zapotrzebowania na usługi przedszkolne. Kolejny aspekt dotyczył poszerzenia oferty w zakresie zajęć specjalistycznych dla uczniów oraz kursów potwierdzających kwalifikacje i umiejętności osób dorosłych. Wysoki odsetek respondentów badania w kontekście zidentyfikowanych potrzeb wskazał również osiągnięcie zwiększenia poziomu kompetencji kluczowych uczniów i kompetencji językowych osób dorosłych. </w:t>
      </w:r>
    </w:p>
    <w:p w14:paraId="30C287F0" w14:textId="77777777" w:rsidR="001E6E38" w:rsidRPr="007B5F7E" w:rsidRDefault="001E6E38" w:rsidP="00DF64C7">
      <w:pPr>
        <w:jc w:val="left"/>
      </w:pPr>
      <w:r w:rsidRPr="007B5F7E">
        <w:t xml:space="preserve">Najniższy odsetek respondentów wskazywał zaś potrzeby związane z zapewnieniem większej liczby godzin dodatkowych zajęć językowych i matematycznych realizowanych w placówkach wychowania przedszkolnego oraz ze wzrostem kompetencji cyfrowych pośród osób dorosłych, co świadczy o fakcie, iż w celu osiągnięcia większych efektów w tym zakresie aspekty te wymagają dalszego wsparcia. </w:t>
      </w:r>
    </w:p>
    <w:p w14:paraId="31E5C8C5" w14:textId="77777777" w:rsidR="001E6E38" w:rsidRDefault="001E6E38" w:rsidP="00DF64C7">
      <w:pPr>
        <w:jc w:val="left"/>
      </w:pPr>
      <w:r w:rsidRPr="007B5F7E">
        <w:t>Również w przypadku potrzeb identyfikowanych przez placówki edukacyjne możliwe jest wyodrębnienie aspektów, w ramach których podejmowane przedsięwzięcia w największym stopniu cechowały się wysoką efektywnością. Wśród działań tego rodzaju uwagę zwrócić należy na odpowiedzi wskazywane przez ponad 90% respondentów odpowiadających w ramach danego działania/poddziałania</w:t>
      </w:r>
      <w:r w:rsidR="00606A94">
        <w:t xml:space="preserve"> (dot. OP XI Wzmocnienie potencjału edukacyjnego)</w:t>
      </w:r>
      <w:r w:rsidRPr="007B5F7E">
        <w:t>, w tym doposażenie placówek i rozszerzenie oferty edukacyjnej, oraz działania dążące do podnoszenia umiejętności, a także rozwoju współpracy.</w:t>
      </w:r>
    </w:p>
    <w:p w14:paraId="57540B73" w14:textId="40DCB402" w:rsidR="004229E6" w:rsidRDefault="007201DD" w:rsidP="00DF64C7">
      <w:pPr>
        <w:pStyle w:val="Legenda"/>
        <w:spacing w:line="271" w:lineRule="auto"/>
        <w:jc w:val="left"/>
      </w:pPr>
      <w:r>
        <w:t xml:space="preserve">Tabela </w:t>
      </w:r>
      <w:r w:rsidR="000C2F92">
        <w:rPr>
          <w:noProof/>
        </w:rPr>
        <w:fldChar w:fldCharType="begin"/>
      </w:r>
      <w:r w:rsidR="000C2F92">
        <w:rPr>
          <w:noProof/>
        </w:rPr>
        <w:instrText xml:space="preserve"> SEQ Tabela \* ARABIC </w:instrText>
      </w:r>
      <w:r w:rsidR="000C2F92">
        <w:rPr>
          <w:noProof/>
        </w:rPr>
        <w:fldChar w:fldCharType="separate"/>
      </w:r>
      <w:r w:rsidR="00A8147E">
        <w:rPr>
          <w:noProof/>
        </w:rPr>
        <w:t>19</w:t>
      </w:r>
      <w:r w:rsidR="000C2F92">
        <w:rPr>
          <w:noProof/>
        </w:rPr>
        <w:fldChar w:fldCharType="end"/>
      </w:r>
      <w:r>
        <w:t xml:space="preserve">. </w:t>
      </w:r>
      <w:bookmarkStart w:id="36" w:name="_Toc33457214"/>
      <w:r>
        <w:t xml:space="preserve"> </w:t>
      </w:r>
      <w:r w:rsidR="004229E6">
        <w:t>Potrzeby, na które odpowiadają/odpowiadały projekty realizowane przez beneficjentów OP XI</w:t>
      </w:r>
      <w:bookmarkEnd w:id="36"/>
    </w:p>
    <w:tbl>
      <w:tblPr>
        <w:tblStyle w:val="Tabelasiatki5ciemnaakcent61"/>
        <w:tblW w:w="0" w:type="auto"/>
        <w:tblLook w:val="04A0" w:firstRow="1" w:lastRow="0" w:firstColumn="1" w:lastColumn="0" w:noHBand="0" w:noVBand="1"/>
        <w:tblCaption w:val="Potrzeby, na które odpowiadają/odpowiadały projekty realizowane przez beneficjentów OP XI"/>
        <w:tblDescription w:val="W tabeli przedstawione zostały potrzeby, na które odpowiadają/odpowiadały projekty realizowane przez beneficjentów w ramach poszczególnych działań OP XI w ocenie beneficjentów."/>
      </w:tblPr>
      <w:tblGrid>
        <w:gridCol w:w="1100"/>
        <w:gridCol w:w="6954"/>
        <w:gridCol w:w="1006"/>
      </w:tblGrid>
      <w:tr w:rsidR="001A540E" w:rsidRPr="00093418" w14:paraId="01D6A089" w14:textId="77777777" w:rsidTr="00DA127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01" w:type="dxa"/>
          </w:tcPr>
          <w:p w14:paraId="4E482B78" w14:textId="77777777" w:rsidR="001A540E" w:rsidRPr="00093418" w:rsidRDefault="00B31ABF" w:rsidP="00DF64C7">
            <w:pPr>
              <w:jc w:val="left"/>
              <w:rPr>
                <w:rFonts w:cs="Arial"/>
                <w:sz w:val="20"/>
                <w:szCs w:val="20"/>
              </w:rPr>
            </w:pPr>
            <w:r w:rsidRPr="00093418">
              <w:rPr>
                <w:rFonts w:cs="Arial"/>
                <w:sz w:val="20"/>
                <w:szCs w:val="20"/>
              </w:rPr>
              <w:t>Działanie</w:t>
            </w:r>
          </w:p>
        </w:tc>
        <w:tc>
          <w:tcPr>
            <w:tcW w:w="7179" w:type="dxa"/>
          </w:tcPr>
          <w:p w14:paraId="41B87BA0" w14:textId="77777777" w:rsidR="001A540E" w:rsidRPr="00093418" w:rsidRDefault="00B31ABF"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Potrzeba, na którą odpowiadał projekt</w:t>
            </w:r>
          </w:p>
        </w:tc>
        <w:tc>
          <w:tcPr>
            <w:tcW w:w="1006" w:type="dxa"/>
          </w:tcPr>
          <w:p w14:paraId="5D6B8B94" w14:textId="77777777" w:rsidR="001A540E" w:rsidRPr="00093418" w:rsidRDefault="00B31ABF"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Wartość %</w:t>
            </w:r>
            <w:r w:rsidR="001E6E38">
              <w:rPr>
                <w:rStyle w:val="Odwoanieprzypisudolnego"/>
                <w:sz w:val="20"/>
                <w:szCs w:val="20"/>
              </w:rPr>
              <w:footnoteReference w:id="68"/>
            </w:r>
          </w:p>
        </w:tc>
      </w:tr>
      <w:tr w:rsidR="00B31ABF" w:rsidRPr="00093418" w14:paraId="12561E37"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21D94D3C" w14:textId="77777777" w:rsidR="00B31ABF" w:rsidRPr="00093418" w:rsidRDefault="00B31ABF" w:rsidP="00DF64C7">
            <w:pPr>
              <w:jc w:val="left"/>
              <w:rPr>
                <w:rFonts w:cs="Arial"/>
                <w:sz w:val="20"/>
                <w:szCs w:val="20"/>
              </w:rPr>
            </w:pPr>
            <w:r w:rsidRPr="00093418">
              <w:rPr>
                <w:rFonts w:cs="Arial"/>
                <w:sz w:val="20"/>
                <w:szCs w:val="20"/>
              </w:rPr>
              <w:t>11.1.1-11.1.3</w:t>
            </w:r>
          </w:p>
        </w:tc>
        <w:tc>
          <w:tcPr>
            <w:tcW w:w="7179" w:type="dxa"/>
          </w:tcPr>
          <w:p w14:paraId="2874C9BF" w14:textId="77777777" w:rsidR="00B31ABF" w:rsidRPr="00093418" w:rsidRDefault="00B31ABF"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Niewystarczające wyposażenie placówki w materiały dydaktyczne i niezbędny sprzęt</w:t>
            </w:r>
          </w:p>
        </w:tc>
        <w:tc>
          <w:tcPr>
            <w:tcW w:w="1006" w:type="dxa"/>
          </w:tcPr>
          <w:p w14:paraId="236C71CA" w14:textId="77777777" w:rsidR="00B31ABF" w:rsidRPr="00093418" w:rsidRDefault="00B31ABF"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84,2%</w:t>
            </w:r>
          </w:p>
        </w:tc>
      </w:tr>
      <w:tr w:rsidR="00B31ABF" w:rsidRPr="00093418" w14:paraId="689C063B"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0CD1D091" w14:textId="77777777" w:rsidR="00B31ABF" w:rsidRPr="00093418" w:rsidRDefault="00B31ABF" w:rsidP="00DF64C7">
            <w:pPr>
              <w:jc w:val="left"/>
              <w:rPr>
                <w:rFonts w:cs="Arial"/>
                <w:sz w:val="20"/>
                <w:szCs w:val="20"/>
              </w:rPr>
            </w:pPr>
          </w:p>
        </w:tc>
        <w:tc>
          <w:tcPr>
            <w:tcW w:w="7179" w:type="dxa"/>
          </w:tcPr>
          <w:p w14:paraId="683B0112" w14:textId="77777777" w:rsidR="00B31ABF" w:rsidRPr="00093418" w:rsidRDefault="00B31ABF"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Zbyt mała liczba miejsc przedszkolnych w stosunku do zwiększającej się liczby dzieci</w:t>
            </w:r>
          </w:p>
        </w:tc>
        <w:tc>
          <w:tcPr>
            <w:tcW w:w="1006" w:type="dxa"/>
          </w:tcPr>
          <w:p w14:paraId="3AA50ACC" w14:textId="77777777" w:rsidR="00B31ABF" w:rsidRPr="00093418" w:rsidRDefault="00B31ABF"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77,2%</w:t>
            </w:r>
          </w:p>
        </w:tc>
      </w:tr>
      <w:tr w:rsidR="00B31ABF" w:rsidRPr="00093418" w14:paraId="2681D028"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44A7E245" w14:textId="77777777" w:rsidR="00B31ABF" w:rsidRPr="00093418" w:rsidRDefault="00B31ABF" w:rsidP="00DF64C7">
            <w:pPr>
              <w:jc w:val="left"/>
              <w:rPr>
                <w:rFonts w:cs="Arial"/>
                <w:sz w:val="20"/>
                <w:szCs w:val="20"/>
              </w:rPr>
            </w:pPr>
          </w:p>
        </w:tc>
        <w:tc>
          <w:tcPr>
            <w:tcW w:w="7179" w:type="dxa"/>
          </w:tcPr>
          <w:p w14:paraId="77A04CED" w14:textId="77777777" w:rsidR="00B31ABF" w:rsidRPr="00093418" w:rsidRDefault="00B31ABF"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lub niewystarczająca liczba godzin zajęć specjalistycznych tj. korekcyjno-kompensacyjnych, logopedycznych, rozwijających kompetencje emocjonalno-społeczne w placówkach wychowania przedszkolnego</w:t>
            </w:r>
          </w:p>
        </w:tc>
        <w:tc>
          <w:tcPr>
            <w:tcW w:w="1006" w:type="dxa"/>
          </w:tcPr>
          <w:p w14:paraId="5BB41476" w14:textId="77777777" w:rsidR="00B31ABF" w:rsidRPr="00093418" w:rsidRDefault="00B31ABF"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69,3%</w:t>
            </w:r>
          </w:p>
        </w:tc>
      </w:tr>
      <w:tr w:rsidR="00B31ABF" w:rsidRPr="00093418" w14:paraId="63AFF497"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5D1B477A" w14:textId="77777777" w:rsidR="00B31ABF" w:rsidRPr="00093418" w:rsidRDefault="00B31ABF" w:rsidP="00DF64C7">
            <w:pPr>
              <w:jc w:val="left"/>
              <w:rPr>
                <w:rFonts w:cs="Arial"/>
                <w:sz w:val="20"/>
                <w:szCs w:val="20"/>
              </w:rPr>
            </w:pPr>
          </w:p>
        </w:tc>
        <w:tc>
          <w:tcPr>
            <w:tcW w:w="7179" w:type="dxa"/>
          </w:tcPr>
          <w:p w14:paraId="7A91EEF4" w14:textId="77777777" w:rsidR="00B31ABF" w:rsidRPr="00093418" w:rsidRDefault="00B31ABF"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lub niewystarczająca liczba godzin dodatkowych zajęć stymulujących rozwój psychoruchowy w placówkach wychowania przedszkolnego</w:t>
            </w:r>
          </w:p>
        </w:tc>
        <w:tc>
          <w:tcPr>
            <w:tcW w:w="1006" w:type="dxa"/>
          </w:tcPr>
          <w:p w14:paraId="4B890C76" w14:textId="77777777" w:rsidR="00B31ABF" w:rsidRPr="00093418" w:rsidRDefault="00B31ABF"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43,0%</w:t>
            </w:r>
          </w:p>
        </w:tc>
      </w:tr>
      <w:tr w:rsidR="00B31ABF" w:rsidRPr="00093418" w14:paraId="2E4813A4"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70472A02" w14:textId="77777777" w:rsidR="00B31ABF" w:rsidRPr="00093418" w:rsidRDefault="00B31ABF" w:rsidP="00DF64C7">
            <w:pPr>
              <w:jc w:val="left"/>
              <w:rPr>
                <w:rFonts w:cs="Arial"/>
                <w:sz w:val="20"/>
                <w:szCs w:val="20"/>
              </w:rPr>
            </w:pPr>
          </w:p>
        </w:tc>
        <w:tc>
          <w:tcPr>
            <w:tcW w:w="7179" w:type="dxa"/>
          </w:tcPr>
          <w:p w14:paraId="752370CE" w14:textId="77777777" w:rsidR="00B31ABF" w:rsidRPr="00093418" w:rsidRDefault="00B31ABF"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Niewystarczające umiejętności i kompetencje nauczycieli do pracy z dziećmi ze specjalnymi potrzebami edukacyjnymi</w:t>
            </w:r>
          </w:p>
        </w:tc>
        <w:tc>
          <w:tcPr>
            <w:tcW w:w="1006" w:type="dxa"/>
          </w:tcPr>
          <w:p w14:paraId="6BAB8632" w14:textId="77777777" w:rsidR="00B31ABF" w:rsidRPr="00093418" w:rsidRDefault="00B31ABF"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42,1%</w:t>
            </w:r>
          </w:p>
        </w:tc>
      </w:tr>
      <w:tr w:rsidR="00B31ABF" w:rsidRPr="00093418" w14:paraId="75D109DF"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1E264E93" w14:textId="77777777" w:rsidR="00B31ABF" w:rsidRPr="00093418" w:rsidRDefault="00B31ABF" w:rsidP="00DF64C7">
            <w:pPr>
              <w:jc w:val="left"/>
              <w:rPr>
                <w:rFonts w:cs="Arial"/>
                <w:sz w:val="20"/>
                <w:szCs w:val="20"/>
              </w:rPr>
            </w:pPr>
          </w:p>
        </w:tc>
        <w:tc>
          <w:tcPr>
            <w:tcW w:w="7179" w:type="dxa"/>
          </w:tcPr>
          <w:p w14:paraId="3EA128A1" w14:textId="77777777" w:rsidR="00B31ABF" w:rsidRPr="00093418" w:rsidRDefault="00B31ABF"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Niewystarczające umiejętności i kompetencje nauczycieli do pracy z dziećmi w wieku przedszkolnym</w:t>
            </w:r>
          </w:p>
        </w:tc>
        <w:tc>
          <w:tcPr>
            <w:tcW w:w="1006" w:type="dxa"/>
          </w:tcPr>
          <w:p w14:paraId="47A0906A" w14:textId="77777777" w:rsidR="00B31ABF" w:rsidRPr="00093418" w:rsidRDefault="00B31ABF"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21,9%</w:t>
            </w:r>
          </w:p>
        </w:tc>
      </w:tr>
      <w:tr w:rsidR="00B31ABF" w:rsidRPr="00093418" w14:paraId="0F24B8F2"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6F74A845" w14:textId="77777777" w:rsidR="00B31ABF" w:rsidRPr="00093418" w:rsidRDefault="00B31ABF" w:rsidP="00DF64C7">
            <w:pPr>
              <w:jc w:val="left"/>
              <w:rPr>
                <w:rFonts w:cs="Arial"/>
                <w:sz w:val="20"/>
                <w:szCs w:val="20"/>
              </w:rPr>
            </w:pPr>
          </w:p>
        </w:tc>
        <w:tc>
          <w:tcPr>
            <w:tcW w:w="7179" w:type="dxa"/>
          </w:tcPr>
          <w:p w14:paraId="69684D6F" w14:textId="77777777" w:rsidR="00B31ABF" w:rsidRPr="00093418" w:rsidRDefault="00B31ABF"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lub niewystarczająca liczba godzin dodatkowych zajęć językowych i matematycznych w placówkach wychowania przedszkolnego</w:t>
            </w:r>
          </w:p>
        </w:tc>
        <w:tc>
          <w:tcPr>
            <w:tcW w:w="1006" w:type="dxa"/>
          </w:tcPr>
          <w:p w14:paraId="616F8A97" w14:textId="77777777" w:rsidR="00B31ABF" w:rsidRPr="00093418" w:rsidRDefault="00B31ABF"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5,3%</w:t>
            </w:r>
          </w:p>
        </w:tc>
      </w:tr>
      <w:tr w:rsidR="00B31ABF" w:rsidRPr="00093418" w14:paraId="1A610422"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0ED7D995" w14:textId="77777777" w:rsidR="00B31ABF" w:rsidRPr="00093418" w:rsidRDefault="00B31ABF" w:rsidP="00DF64C7">
            <w:pPr>
              <w:jc w:val="left"/>
              <w:rPr>
                <w:rFonts w:cs="Arial"/>
                <w:sz w:val="20"/>
                <w:szCs w:val="20"/>
              </w:rPr>
            </w:pPr>
            <w:r w:rsidRPr="00093418">
              <w:rPr>
                <w:rFonts w:cs="Arial"/>
                <w:sz w:val="20"/>
                <w:szCs w:val="20"/>
              </w:rPr>
              <w:t>11.1.4</w:t>
            </w:r>
          </w:p>
        </w:tc>
        <w:tc>
          <w:tcPr>
            <w:tcW w:w="7179" w:type="dxa"/>
          </w:tcPr>
          <w:p w14:paraId="09C2EF6A" w14:textId="77777777" w:rsidR="00B31ABF" w:rsidRPr="00093418" w:rsidRDefault="00B31ABF"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Niski poziom kompetencji kluczowych uczniów</w:t>
            </w:r>
          </w:p>
        </w:tc>
        <w:tc>
          <w:tcPr>
            <w:tcW w:w="1006" w:type="dxa"/>
          </w:tcPr>
          <w:p w14:paraId="16677786" w14:textId="77777777" w:rsidR="00B31ABF" w:rsidRPr="00093418" w:rsidRDefault="00B31ABF"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80,5%</w:t>
            </w:r>
          </w:p>
        </w:tc>
      </w:tr>
      <w:tr w:rsidR="00B31ABF" w:rsidRPr="00093418" w14:paraId="40F7EA27"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16E84586" w14:textId="77777777" w:rsidR="00B31ABF" w:rsidRPr="00093418" w:rsidRDefault="00B31ABF" w:rsidP="00DF64C7">
            <w:pPr>
              <w:jc w:val="left"/>
              <w:rPr>
                <w:rFonts w:cs="Arial"/>
                <w:sz w:val="20"/>
                <w:szCs w:val="20"/>
              </w:rPr>
            </w:pPr>
          </w:p>
        </w:tc>
        <w:tc>
          <w:tcPr>
            <w:tcW w:w="7179" w:type="dxa"/>
          </w:tcPr>
          <w:p w14:paraId="67BFEFDB" w14:textId="77777777" w:rsidR="00B31ABF" w:rsidRPr="00093418" w:rsidRDefault="00B31ABF"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odpowiedniego sprzętu i materiałów dydaktycznych umożliwiających nauczanie metodą eksperymentu</w:t>
            </w:r>
          </w:p>
        </w:tc>
        <w:tc>
          <w:tcPr>
            <w:tcW w:w="1006" w:type="dxa"/>
          </w:tcPr>
          <w:p w14:paraId="49619E04" w14:textId="77777777" w:rsidR="00B31ABF" w:rsidRPr="00093418" w:rsidRDefault="00B31ABF"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70,7%</w:t>
            </w:r>
          </w:p>
        </w:tc>
      </w:tr>
      <w:tr w:rsidR="00B31ABF" w:rsidRPr="00093418" w14:paraId="0D5742F5"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01DEA6D3" w14:textId="77777777" w:rsidR="00B31ABF" w:rsidRPr="00093418" w:rsidRDefault="00B31ABF" w:rsidP="00DF64C7">
            <w:pPr>
              <w:jc w:val="left"/>
              <w:rPr>
                <w:rFonts w:cs="Arial"/>
                <w:sz w:val="20"/>
                <w:szCs w:val="20"/>
              </w:rPr>
            </w:pPr>
          </w:p>
        </w:tc>
        <w:tc>
          <w:tcPr>
            <w:tcW w:w="7179" w:type="dxa"/>
          </w:tcPr>
          <w:p w14:paraId="55B29929" w14:textId="77777777" w:rsidR="00B31ABF" w:rsidRPr="00093418" w:rsidRDefault="00B31ABF"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zajęć rozwijających uzdolnienia</w:t>
            </w:r>
          </w:p>
        </w:tc>
        <w:tc>
          <w:tcPr>
            <w:tcW w:w="1006" w:type="dxa"/>
          </w:tcPr>
          <w:p w14:paraId="3FAA8FB1" w14:textId="77777777" w:rsidR="00B31ABF" w:rsidRPr="00093418" w:rsidRDefault="00B31ABF"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61,7%</w:t>
            </w:r>
          </w:p>
        </w:tc>
      </w:tr>
      <w:tr w:rsidR="00B31ABF" w:rsidRPr="00093418" w14:paraId="65DCF362"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67B079AF" w14:textId="77777777" w:rsidR="00B31ABF" w:rsidRPr="00093418" w:rsidRDefault="00B31ABF" w:rsidP="00DF64C7">
            <w:pPr>
              <w:jc w:val="left"/>
              <w:rPr>
                <w:rFonts w:cs="Arial"/>
                <w:sz w:val="20"/>
                <w:szCs w:val="20"/>
              </w:rPr>
            </w:pPr>
          </w:p>
        </w:tc>
        <w:tc>
          <w:tcPr>
            <w:tcW w:w="7179" w:type="dxa"/>
          </w:tcPr>
          <w:p w14:paraId="78390FC1" w14:textId="77777777" w:rsidR="00B31ABF" w:rsidRPr="00093418" w:rsidRDefault="00B31ABF"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zajęć dla uczniów ze specjalnymi potrzebami edukacyjnymi</w:t>
            </w:r>
          </w:p>
        </w:tc>
        <w:tc>
          <w:tcPr>
            <w:tcW w:w="1006" w:type="dxa"/>
          </w:tcPr>
          <w:p w14:paraId="401E4F82" w14:textId="77777777" w:rsidR="00B31ABF" w:rsidRPr="00093418" w:rsidRDefault="00B31ABF"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59,4%</w:t>
            </w:r>
          </w:p>
        </w:tc>
      </w:tr>
      <w:tr w:rsidR="00B31ABF" w:rsidRPr="00093418" w14:paraId="353E89BC"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6871E98A" w14:textId="77777777" w:rsidR="00B31ABF" w:rsidRPr="00093418" w:rsidRDefault="00B31ABF" w:rsidP="00DF64C7">
            <w:pPr>
              <w:jc w:val="left"/>
              <w:rPr>
                <w:rFonts w:cs="Arial"/>
                <w:sz w:val="20"/>
                <w:szCs w:val="20"/>
              </w:rPr>
            </w:pPr>
          </w:p>
        </w:tc>
        <w:tc>
          <w:tcPr>
            <w:tcW w:w="7179" w:type="dxa"/>
          </w:tcPr>
          <w:p w14:paraId="75194565" w14:textId="77777777" w:rsidR="00B31ABF" w:rsidRPr="00093418" w:rsidRDefault="00B31ABF"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Niewystarczający poziom umiejętności lub kompetencji zawodowych nauczycieli</w:t>
            </w:r>
          </w:p>
        </w:tc>
        <w:tc>
          <w:tcPr>
            <w:tcW w:w="1006" w:type="dxa"/>
          </w:tcPr>
          <w:p w14:paraId="658833F7" w14:textId="77777777" w:rsidR="00B31ABF" w:rsidRPr="00093418" w:rsidRDefault="00B31ABF"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51,9%</w:t>
            </w:r>
          </w:p>
        </w:tc>
      </w:tr>
      <w:tr w:rsidR="00B31ABF" w:rsidRPr="00093418" w14:paraId="159C6EEB"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3B36C691" w14:textId="77777777" w:rsidR="00B31ABF" w:rsidRPr="00093418" w:rsidRDefault="00B31ABF" w:rsidP="00DF64C7">
            <w:pPr>
              <w:jc w:val="left"/>
              <w:rPr>
                <w:rFonts w:cs="Arial"/>
                <w:sz w:val="20"/>
                <w:szCs w:val="20"/>
              </w:rPr>
            </w:pPr>
          </w:p>
        </w:tc>
        <w:tc>
          <w:tcPr>
            <w:tcW w:w="7179" w:type="dxa"/>
          </w:tcPr>
          <w:p w14:paraId="3F6C7747" w14:textId="77777777" w:rsidR="00B31ABF" w:rsidRPr="00093418" w:rsidRDefault="00B31ABF"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Niski wymiar godzin doradztwa edukacyjno-zawodowego dla uczniów</w:t>
            </w:r>
          </w:p>
        </w:tc>
        <w:tc>
          <w:tcPr>
            <w:tcW w:w="1006" w:type="dxa"/>
          </w:tcPr>
          <w:p w14:paraId="3F28A706" w14:textId="77777777" w:rsidR="00B31ABF" w:rsidRPr="00093418" w:rsidRDefault="00B31ABF"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27,8%</w:t>
            </w:r>
          </w:p>
        </w:tc>
      </w:tr>
      <w:tr w:rsidR="0071252A" w:rsidRPr="00093418" w14:paraId="67E26FF7"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2D57E9C4" w14:textId="77777777" w:rsidR="0071252A" w:rsidRPr="00093418" w:rsidRDefault="0071252A" w:rsidP="00DF64C7">
            <w:pPr>
              <w:jc w:val="left"/>
              <w:rPr>
                <w:rFonts w:cs="Arial"/>
                <w:sz w:val="20"/>
                <w:szCs w:val="20"/>
              </w:rPr>
            </w:pPr>
            <w:r w:rsidRPr="00093418">
              <w:rPr>
                <w:rFonts w:cs="Arial"/>
                <w:sz w:val="20"/>
                <w:szCs w:val="20"/>
              </w:rPr>
              <w:t>11.2</w:t>
            </w:r>
          </w:p>
        </w:tc>
        <w:tc>
          <w:tcPr>
            <w:tcW w:w="7179" w:type="dxa"/>
          </w:tcPr>
          <w:p w14:paraId="20AFC71E" w14:textId="77777777" w:rsidR="0071252A" w:rsidRPr="00093418" w:rsidRDefault="0071252A"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dodatkowych zajęć specjalistycznych dla uczniów</w:t>
            </w:r>
          </w:p>
        </w:tc>
        <w:tc>
          <w:tcPr>
            <w:tcW w:w="1006" w:type="dxa"/>
          </w:tcPr>
          <w:p w14:paraId="1276853F" w14:textId="77777777" w:rsidR="0071252A" w:rsidRPr="00093418" w:rsidRDefault="0071252A"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78,7%</w:t>
            </w:r>
          </w:p>
        </w:tc>
      </w:tr>
      <w:tr w:rsidR="0071252A" w:rsidRPr="00093418" w14:paraId="4254D800"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74EE4BC4" w14:textId="77777777" w:rsidR="0071252A" w:rsidRPr="00093418" w:rsidRDefault="0071252A" w:rsidP="00DF64C7">
            <w:pPr>
              <w:jc w:val="left"/>
              <w:rPr>
                <w:rFonts w:cs="Arial"/>
                <w:sz w:val="20"/>
                <w:szCs w:val="20"/>
              </w:rPr>
            </w:pPr>
          </w:p>
        </w:tc>
        <w:tc>
          <w:tcPr>
            <w:tcW w:w="7179" w:type="dxa"/>
          </w:tcPr>
          <w:p w14:paraId="74DD93C3" w14:textId="77777777" w:rsidR="0071252A" w:rsidRPr="00093418" w:rsidRDefault="0071252A"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Zbyt mała liczba godzin praktyk zawodowych</w:t>
            </w:r>
          </w:p>
        </w:tc>
        <w:tc>
          <w:tcPr>
            <w:tcW w:w="1006" w:type="dxa"/>
          </w:tcPr>
          <w:p w14:paraId="737A9FE4" w14:textId="77777777" w:rsidR="0071252A" w:rsidRPr="00093418" w:rsidRDefault="0071252A"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66,0%</w:t>
            </w:r>
          </w:p>
        </w:tc>
      </w:tr>
      <w:tr w:rsidR="0071252A" w:rsidRPr="00093418" w14:paraId="5F04D4F2"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4BEF60AD" w14:textId="77777777" w:rsidR="0071252A" w:rsidRPr="00093418" w:rsidRDefault="0071252A" w:rsidP="00DF64C7">
            <w:pPr>
              <w:jc w:val="left"/>
              <w:rPr>
                <w:rFonts w:cs="Arial"/>
                <w:sz w:val="20"/>
                <w:szCs w:val="20"/>
              </w:rPr>
            </w:pPr>
          </w:p>
        </w:tc>
        <w:tc>
          <w:tcPr>
            <w:tcW w:w="7179" w:type="dxa"/>
          </w:tcPr>
          <w:p w14:paraId="395C9D2C" w14:textId="77777777" w:rsidR="0071252A" w:rsidRPr="00093418" w:rsidRDefault="0071252A"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Niedostateczne wyposażenie pracowni praktycznej nauki zawodu w nowoczesne technologie i materiały dydaktyczne</w:t>
            </w:r>
          </w:p>
        </w:tc>
        <w:tc>
          <w:tcPr>
            <w:tcW w:w="1006" w:type="dxa"/>
          </w:tcPr>
          <w:p w14:paraId="31067009" w14:textId="77777777" w:rsidR="0071252A" w:rsidRPr="00093418" w:rsidRDefault="0071252A"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63,8%</w:t>
            </w:r>
          </w:p>
        </w:tc>
      </w:tr>
      <w:tr w:rsidR="0071252A" w:rsidRPr="00093418" w14:paraId="5772FBD1"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576A3349" w14:textId="77777777" w:rsidR="0071252A" w:rsidRPr="00093418" w:rsidRDefault="0071252A" w:rsidP="00DF64C7">
            <w:pPr>
              <w:jc w:val="left"/>
              <w:rPr>
                <w:rFonts w:cs="Arial"/>
                <w:sz w:val="20"/>
                <w:szCs w:val="20"/>
              </w:rPr>
            </w:pPr>
          </w:p>
        </w:tc>
        <w:tc>
          <w:tcPr>
            <w:tcW w:w="7179" w:type="dxa"/>
          </w:tcPr>
          <w:p w14:paraId="203E5C86" w14:textId="77777777" w:rsidR="0071252A" w:rsidRPr="00093418" w:rsidRDefault="0071252A" w:rsidP="00DF64C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093418">
              <w:rPr>
                <w:rFonts w:eastAsia="Times New Roman" w:cs="Arial"/>
                <w:color w:val="000000"/>
                <w:sz w:val="20"/>
                <w:szCs w:val="20"/>
                <w:lang w:eastAsia="pl-PL"/>
              </w:rPr>
              <w:t>Niewystarczająca liczba godzin zajęć z doradztwa edukacyjno-zawodowego</w:t>
            </w:r>
          </w:p>
        </w:tc>
        <w:tc>
          <w:tcPr>
            <w:tcW w:w="1006" w:type="dxa"/>
          </w:tcPr>
          <w:p w14:paraId="137054D4" w14:textId="77777777" w:rsidR="0071252A" w:rsidRPr="00093418" w:rsidRDefault="0071252A" w:rsidP="008F612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093418">
              <w:rPr>
                <w:rFonts w:eastAsia="Times New Roman" w:cs="Arial"/>
                <w:color w:val="000000"/>
                <w:sz w:val="20"/>
                <w:szCs w:val="20"/>
                <w:lang w:eastAsia="pl-PL"/>
              </w:rPr>
              <w:t>59,6%</w:t>
            </w:r>
          </w:p>
        </w:tc>
      </w:tr>
      <w:tr w:rsidR="0071252A" w:rsidRPr="00093418" w14:paraId="2BE3913F"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7133609B" w14:textId="77777777" w:rsidR="0071252A" w:rsidRPr="00093418" w:rsidRDefault="0071252A" w:rsidP="00DF64C7">
            <w:pPr>
              <w:jc w:val="left"/>
              <w:rPr>
                <w:rFonts w:cs="Arial"/>
                <w:sz w:val="20"/>
                <w:szCs w:val="20"/>
              </w:rPr>
            </w:pPr>
          </w:p>
        </w:tc>
        <w:tc>
          <w:tcPr>
            <w:tcW w:w="7179" w:type="dxa"/>
          </w:tcPr>
          <w:p w14:paraId="5B0E18C9" w14:textId="77777777" w:rsidR="0071252A" w:rsidRPr="00093418" w:rsidRDefault="0071252A"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Niski poziom umiejętności i kompetencji zawodowych wśród nauczycieli zawodu i instruktorów praktycznej nauki zawodu</w:t>
            </w:r>
          </w:p>
        </w:tc>
        <w:tc>
          <w:tcPr>
            <w:tcW w:w="1006" w:type="dxa"/>
          </w:tcPr>
          <w:p w14:paraId="46D9C83C" w14:textId="77777777" w:rsidR="0071252A" w:rsidRPr="00093418" w:rsidRDefault="0071252A"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44,7%</w:t>
            </w:r>
          </w:p>
        </w:tc>
      </w:tr>
      <w:tr w:rsidR="0071252A" w:rsidRPr="00093418" w14:paraId="20EFCB7D"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5447E37F" w14:textId="77777777" w:rsidR="0071252A" w:rsidRPr="00093418" w:rsidRDefault="0071252A" w:rsidP="00DF64C7">
            <w:pPr>
              <w:jc w:val="left"/>
              <w:rPr>
                <w:rFonts w:cs="Arial"/>
                <w:sz w:val="20"/>
                <w:szCs w:val="20"/>
              </w:rPr>
            </w:pPr>
          </w:p>
        </w:tc>
        <w:tc>
          <w:tcPr>
            <w:tcW w:w="7179" w:type="dxa"/>
          </w:tcPr>
          <w:p w14:paraId="64EF4F29" w14:textId="77777777" w:rsidR="0071252A" w:rsidRPr="00093418" w:rsidRDefault="0071252A"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Niezadawalający poziom współpracy szkół z przedsiębiorstwami</w:t>
            </w:r>
          </w:p>
        </w:tc>
        <w:tc>
          <w:tcPr>
            <w:tcW w:w="1006" w:type="dxa"/>
          </w:tcPr>
          <w:p w14:paraId="4BBCB16F" w14:textId="77777777" w:rsidR="0071252A" w:rsidRPr="00093418" w:rsidRDefault="0071252A"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38,3%</w:t>
            </w:r>
          </w:p>
        </w:tc>
      </w:tr>
      <w:tr w:rsidR="00BA0C90" w:rsidRPr="00093418" w14:paraId="75C1847F"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2A5E3DEC" w14:textId="77777777" w:rsidR="00BA0C90" w:rsidRPr="00093418" w:rsidRDefault="00BA0C90" w:rsidP="00DF64C7">
            <w:pPr>
              <w:jc w:val="left"/>
              <w:rPr>
                <w:rFonts w:cs="Arial"/>
                <w:sz w:val="20"/>
                <w:szCs w:val="20"/>
              </w:rPr>
            </w:pPr>
            <w:r w:rsidRPr="00093418">
              <w:rPr>
                <w:rFonts w:cs="Arial"/>
                <w:sz w:val="20"/>
                <w:szCs w:val="20"/>
              </w:rPr>
              <w:t>11.3</w:t>
            </w:r>
          </w:p>
        </w:tc>
        <w:tc>
          <w:tcPr>
            <w:tcW w:w="7179" w:type="dxa"/>
          </w:tcPr>
          <w:p w14:paraId="7C7A5375" w14:textId="77777777" w:rsidR="00BA0C90" w:rsidRPr="00093418" w:rsidRDefault="00BA0C90"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wystarczającej oferty w zakresie kursów potwierdzających kwalifikacje i umiejętności osób dorosłych</w:t>
            </w:r>
          </w:p>
        </w:tc>
        <w:tc>
          <w:tcPr>
            <w:tcW w:w="1006" w:type="dxa"/>
          </w:tcPr>
          <w:p w14:paraId="7BE0AFB4" w14:textId="77777777" w:rsidR="00BA0C90" w:rsidRPr="00093418" w:rsidRDefault="00BA0C90"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71,9%</w:t>
            </w:r>
          </w:p>
        </w:tc>
      </w:tr>
      <w:tr w:rsidR="00BA0C90" w:rsidRPr="00093418" w14:paraId="67A11D08"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1C0502EF" w14:textId="77777777" w:rsidR="00BA0C90" w:rsidRPr="00093418" w:rsidRDefault="00BA0C90" w:rsidP="00DF64C7">
            <w:pPr>
              <w:jc w:val="left"/>
              <w:rPr>
                <w:rFonts w:cs="Arial"/>
                <w:sz w:val="20"/>
                <w:szCs w:val="20"/>
              </w:rPr>
            </w:pPr>
          </w:p>
        </w:tc>
        <w:tc>
          <w:tcPr>
            <w:tcW w:w="7179" w:type="dxa"/>
          </w:tcPr>
          <w:p w14:paraId="074E5BFA" w14:textId="77777777" w:rsidR="00BA0C90" w:rsidRPr="00093418" w:rsidRDefault="00BA0C90" w:rsidP="00DF64C7">
            <w:pPr>
              <w:tabs>
                <w:tab w:val="left" w:pos="1230"/>
              </w:tabs>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wystarczającej oferty dla osób dorosłych, chcących podnieść swoje wykształcenie, kompetencje, kwalifikacji i umiejętności zawodowe</w:t>
            </w:r>
          </w:p>
        </w:tc>
        <w:tc>
          <w:tcPr>
            <w:tcW w:w="1006" w:type="dxa"/>
          </w:tcPr>
          <w:p w14:paraId="642B2E6E" w14:textId="77777777" w:rsidR="00BA0C90" w:rsidRPr="00093418" w:rsidRDefault="00BA0C90"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68,4%</w:t>
            </w:r>
          </w:p>
        </w:tc>
      </w:tr>
      <w:tr w:rsidR="00BA0C90" w:rsidRPr="00093418" w14:paraId="132FEB15"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2AE3AB67" w14:textId="77777777" w:rsidR="00BA0C90" w:rsidRPr="00093418" w:rsidRDefault="00BA0C90" w:rsidP="00DF64C7">
            <w:pPr>
              <w:jc w:val="left"/>
              <w:rPr>
                <w:rFonts w:cs="Arial"/>
                <w:sz w:val="20"/>
                <w:szCs w:val="20"/>
              </w:rPr>
            </w:pPr>
          </w:p>
        </w:tc>
        <w:tc>
          <w:tcPr>
            <w:tcW w:w="7179" w:type="dxa"/>
          </w:tcPr>
          <w:p w14:paraId="7B334CAE" w14:textId="77777777" w:rsidR="00BA0C90" w:rsidRPr="00093418" w:rsidRDefault="00BA0C90"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wystarczającej oferty w zakresie kursów przygotowujących do egzaminów sprawdzających, czeladniczych bądź mistrzowskich</w:t>
            </w:r>
          </w:p>
        </w:tc>
        <w:tc>
          <w:tcPr>
            <w:tcW w:w="1006" w:type="dxa"/>
          </w:tcPr>
          <w:p w14:paraId="7A11AD3D" w14:textId="77777777" w:rsidR="00BA0C90" w:rsidRPr="00093418" w:rsidRDefault="00BA0C90"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1,8%</w:t>
            </w:r>
          </w:p>
        </w:tc>
      </w:tr>
      <w:tr w:rsidR="00BA0C90" w:rsidRPr="00093418" w14:paraId="5D919CCA"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305A4A17" w14:textId="77777777" w:rsidR="00BA0C90" w:rsidRPr="00093418" w:rsidRDefault="00BA0C90" w:rsidP="00DF64C7">
            <w:pPr>
              <w:jc w:val="left"/>
              <w:rPr>
                <w:rFonts w:cs="Arial"/>
                <w:sz w:val="20"/>
                <w:szCs w:val="20"/>
              </w:rPr>
            </w:pPr>
          </w:p>
        </w:tc>
        <w:tc>
          <w:tcPr>
            <w:tcW w:w="7179" w:type="dxa"/>
          </w:tcPr>
          <w:p w14:paraId="12D91672" w14:textId="77777777" w:rsidR="00BA0C90" w:rsidRPr="00093418" w:rsidRDefault="00BA0C90"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wystarczającej oferty w zakresie dokształcania się dla młodocianych pracowników</w:t>
            </w:r>
          </w:p>
        </w:tc>
        <w:tc>
          <w:tcPr>
            <w:tcW w:w="1006" w:type="dxa"/>
          </w:tcPr>
          <w:p w14:paraId="2D3ECED5" w14:textId="77777777" w:rsidR="00BA0C90" w:rsidRPr="00093418" w:rsidRDefault="00BA0C90"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1,8%</w:t>
            </w:r>
          </w:p>
        </w:tc>
      </w:tr>
      <w:tr w:rsidR="00BA0C90" w:rsidRPr="00093418" w14:paraId="67D93A2A"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3638E24D" w14:textId="77777777" w:rsidR="00BA0C90" w:rsidRPr="00093418" w:rsidRDefault="00BA0C90" w:rsidP="00DF64C7">
            <w:pPr>
              <w:jc w:val="left"/>
              <w:rPr>
                <w:rFonts w:cs="Arial"/>
                <w:sz w:val="20"/>
                <w:szCs w:val="20"/>
              </w:rPr>
            </w:pPr>
          </w:p>
        </w:tc>
        <w:tc>
          <w:tcPr>
            <w:tcW w:w="7179" w:type="dxa"/>
          </w:tcPr>
          <w:p w14:paraId="3F4E738C" w14:textId="77777777" w:rsidR="00BA0C90" w:rsidRPr="00093418" w:rsidRDefault="00BA0C90"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Niewystarczające formy kształcenia zawodu w szkołach i placówkach prowadzących kształcenie ustawiczne</w:t>
            </w:r>
          </w:p>
        </w:tc>
        <w:tc>
          <w:tcPr>
            <w:tcW w:w="1006" w:type="dxa"/>
          </w:tcPr>
          <w:p w14:paraId="3FB397F4" w14:textId="77777777" w:rsidR="00BA0C90" w:rsidRPr="00093418" w:rsidRDefault="00BA0C90"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1,8%</w:t>
            </w:r>
          </w:p>
        </w:tc>
      </w:tr>
      <w:tr w:rsidR="00800581" w:rsidRPr="00093418" w14:paraId="5FAB7C79"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139944E3" w14:textId="77777777" w:rsidR="00800581" w:rsidRPr="00093418" w:rsidRDefault="00800581" w:rsidP="00DF64C7">
            <w:pPr>
              <w:jc w:val="left"/>
              <w:rPr>
                <w:rFonts w:cs="Arial"/>
                <w:sz w:val="20"/>
                <w:szCs w:val="20"/>
              </w:rPr>
            </w:pPr>
            <w:r w:rsidRPr="00093418">
              <w:rPr>
                <w:rFonts w:cs="Arial"/>
                <w:sz w:val="20"/>
                <w:szCs w:val="20"/>
              </w:rPr>
              <w:t>11.4</w:t>
            </w:r>
          </w:p>
        </w:tc>
        <w:tc>
          <w:tcPr>
            <w:tcW w:w="7179" w:type="dxa"/>
          </w:tcPr>
          <w:p w14:paraId="79F473F4" w14:textId="77777777" w:rsidR="00800581" w:rsidRPr="00093418" w:rsidRDefault="00800581"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posiadanych kompetencji językowych wśród osób dorosłych</w:t>
            </w:r>
          </w:p>
        </w:tc>
        <w:tc>
          <w:tcPr>
            <w:tcW w:w="1006" w:type="dxa"/>
          </w:tcPr>
          <w:p w14:paraId="32116063" w14:textId="77777777" w:rsidR="00800581" w:rsidRPr="00093418" w:rsidRDefault="00800581"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95,5%</w:t>
            </w:r>
          </w:p>
        </w:tc>
      </w:tr>
      <w:tr w:rsidR="00800581" w:rsidRPr="00093418" w14:paraId="44E78AAD"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50D304E0" w14:textId="77777777" w:rsidR="00800581" w:rsidRPr="00093418" w:rsidRDefault="00800581" w:rsidP="00DF64C7">
            <w:pPr>
              <w:jc w:val="left"/>
              <w:rPr>
                <w:rFonts w:cs="Arial"/>
                <w:sz w:val="20"/>
                <w:szCs w:val="20"/>
              </w:rPr>
            </w:pPr>
          </w:p>
        </w:tc>
        <w:tc>
          <w:tcPr>
            <w:tcW w:w="7179" w:type="dxa"/>
          </w:tcPr>
          <w:p w14:paraId="4A6ED3D3" w14:textId="77777777" w:rsidR="00800581" w:rsidRPr="00093418" w:rsidRDefault="00800581"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certyfikowanych kompetencji wśród osób dorosłych</w:t>
            </w:r>
          </w:p>
        </w:tc>
        <w:tc>
          <w:tcPr>
            <w:tcW w:w="1006" w:type="dxa"/>
          </w:tcPr>
          <w:p w14:paraId="18C12650" w14:textId="77777777" w:rsidR="00800581" w:rsidRPr="00093418" w:rsidRDefault="00800581"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31,8%</w:t>
            </w:r>
          </w:p>
        </w:tc>
      </w:tr>
      <w:tr w:rsidR="00AE0801" w:rsidRPr="00093418" w14:paraId="3D448425" w14:textId="77777777" w:rsidTr="00DA127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01" w:type="dxa"/>
            <w:vMerge/>
          </w:tcPr>
          <w:p w14:paraId="01BFF0DC" w14:textId="77777777" w:rsidR="00800581" w:rsidRPr="00093418" w:rsidRDefault="00800581" w:rsidP="00DF64C7">
            <w:pPr>
              <w:jc w:val="left"/>
              <w:rPr>
                <w:rFonts w:cs="Arial"/>
                <w:sz w:val="20"/>
                <w:szCs w:val="20"/>
              </w:rPr>
            </w:pPr>
          </w:p>
        </w:tc>
        <w:tc>
          <w:tcPr>
            <w:tcW w:w="7179" w:type="dxa"/>
          </w:tcPr>
          <w:p w14:paraId="3B87CB83" w14:textId="77777777" w:rsidR="00800581" w:rsidRPr="00093418" w:rsidRDefault="00800581"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Brak posiadanych kompetencji cyfrowych wśród osób dorosłych</w:t>
            </w:r>
          </w:p>
        </w:tc>
        <w:tc>
          <w:tcPr>
            <w:tcW w:w="1006" w:type="dxa"/>
          </w:tcPr>
          <w:p w14:paraId="63974525" w14:textId="77777777" w:rsidR="00800581" w:rsidRPr="00093418" w:rsidRDefault="00800581"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eastAsia="Times New Roman" w:cs="Arial"/>
                <w:color w:val="000000"/>
                <w:sz w:val="20"/>
                <w:szCs w:val="20"/>
                <w:lang w:eastAsia="pl-PL"/>
              </w:rPr>
              <w:t>4,5%</w:t>
            </w:r>
          </w:p>
        </w:tc>
      </w:tr>
    </w:tbl>
    <w:p w14:paraId="088E41E8" w14:textId="5E7A7408" w:rsidR="001A540E" w:rsidRDefault="004229E6" w:rsidP="00DF64C7">
      <w:pPr>
        <w:pStyle w:val="podpisrdailustracji"/>
        <w:spacing w:after="0" w:line="271" w:lineRule="auto"/>
        <w:jc w:val="left"/>
      </w:pPr>
      <w:r>
        <w:t>Źródło: opracowanie własne na podstawie badania CAWI/CATI z beneficjentami OP XI, n=373.</w:t>
      </w:r>
    </w:p>
    <w:p w14:paraId="1AC23A1D" w14:textId="77777777" w:rsidR="009C3481" w:rsidRDefault="009C3481" w:rsidP="00DF64C7">
      <w:pPr>
        <w:pStyle w:val="podpisrdailustracji"/>
        <w:spacing w:after="0" w:line="271" w:lineRule="auto"/>
        <w:jc w:val="left"/>
      </w:pPr>
    </w:p>
    <w:p w14:paraId="5483192D" w14:textId="175FEA21" w:rsidR="00093418" w:rsidRDefault="007201DD" w:rsidP="00DF64C7">
      <w:pPr>
        <w:pStyle w:val="Legenda"/>
        <w:spacing w:before="0" w:line="271" w:lineRule="auto"/>
        <w:jc w:val="left"/>
      </w:pPr>
      <w:bookmarkStart w:id="37" w:name="_Toc33457215"/>
      <w:r>
        <w:t xml:space="preserve">Tabela </w:t>
      </w:r>
      <w:r w:rsidR="000C2F92">
        <w:rPr>
          <w:noProof/>
        </w:rPr>
        <w:fldChar w:fldCharType="begin"/>
      </w:r>
      <w:r w:rsidR="000C2F92">
        <w:rPr>
          <w:noProof/>
        </w:rPr>
        <w:instrText xml:space="preserve"> SEQ Tabela \* ARABIC </w:instrText>
      </w:r>
      <w:r w:rsidR="000C2F92">
        <w:rPr>
          <w:noProof/>
        </w:rPr>
        <w:fldChar w:fldCharType="separate"/>
      </w:r>
      <w:r w:rsidR="00A8147E">
        <w:rPr>
          <w:noProof/>
        </w:rPr>
        <w:t>20</w:t>
      </w:r>
      <w:r w:rsidR="000C2F92">
        <w:rPr>
          <w:noProof/>
        </w:rPr>
        <w:fldChar w:fldCharType="end"/>
      </w:r>
      <w:r>
        <w:t xml:space="preserve">. </w:t>
      </w:r>
      <w:r w:rsidR="00372426">
        <w:t xml:space="preserve">Przedsięwzięcia, które </w:t>
      </w:r>
      <w:r w:rsidR="00093418" w:rsidRPr="00D70AA8">
        <w:t>w największym stopniu odpowiadają na potrzeby placów</w:t>
      </w:r>
      <w:r w:rsidR="00372426">
        <w:t>ek edukacyjnych</w:t>
      </w:r>
      <w:r w:rsidR="00093418">
        <w:t xml:space="preserve"> – w tabeli uwzględniono odpowiedzi „raczej odpowiada” i „zdecydowanie odpowiada”</w:t>
      </w:r>
      <w:bookmarkEnd w:id="37"/>
    </w:p>
    <w:tbl>
      <w:tblPr>
        <w:tblStyle w:val="Tabelasiatki5ciemnaakcent61"/>
        <w:tblW w:w="0" w:type="auto"/>
        <w:tblLayout w:type="fixed"/>
        <w:tblLook w:val="04A0" w:firstRow="1" w:lastRow="0" w:firstColumn="1" w:lastColumn="0" w:noHBand="0" w:noVBand="1"/>
        <w:tblCaption w:val="Przedsięwzięcia, które w największym stopniu odpowiadają na potrzeby placówek edukacyjnych – w tabeli uwzględniono odpowiedzi „raczej odpowiada” i „zdecydowanie odpowiada”"/>
        <w:tblDescription w:val="W tabeli przedstawiono przedsięwzięcia, które w ocenie nauczycieli i dyrektorów wspartych placówek, w największym stopniu odpowiadają na potrzeby placówek edukacyjnych."/>
      </w:tblPr>
      <w:tblGrid>
        <w:gridCol w:w="817"/>
        <w:gridCol w:w="7371"/>
        <w:gridCol w:w="1024"/>
      </w:tblGrid>
      <w:tr w:rsidR="00093418" w:rsidRPr="00093418" w14:paraId="0D03F1DB" w14:textId="77777777" w:rsidTr="00DA127E">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817" w:type="dxa"/>
          </w:tcPr>
          <w:p w14:paraId="4469C085" w14:textId="77777777" w:rsidR="00093418" w:rsidRPr="00093418" w:rsidRDefault="00093418" w:rsidP="00DF64C7">
            <w:pPr>
              <w:keepNext/>
              <w:jc w:val="left"/>
              <w:rPr>
                <w:rFonts w:cs="Arial"/>
                <w:sz w:val="20"/>
                <w:szCs w:val="20"/>
              </w:rPr>
            </w:pPr>
            <w:r w:rsidRPr="00093418">
              <w:rPr>
                <w:rFonts w:cs="Arial"/>
                <w:sz w:val="20"/>
                <w:szCs w:val="20"/>
              </w:rPr>
              <w:t>Działanie</w:t>
            </w:r>
          </w:p>
        </w:tc>
        <w:tc>
          <w:tcPr>
            <w:tcW w:w="7371" w:type="dxa"/>
          </w:tcPr>
          <w:p w14:paraId="280B7ABF" w14:textId="77777777" w:rsidR="00093418" w:rsidRPr="00093418" w:rsidRDefault="00093418"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Przedsięwzięcia</w:t>
            </w:r>
          </w:p>
        </w:tc>
        <w:tc>
          <w:tcPr>
            <w:tcW w:w="1024" w:type="dxa"/>
          </w:tcPr>
          <w:p w14:paraId="5B70AF5A" w14:textId="77777777" w:rsidR="00093418" w:rsidRPr="00467DBB" w:rsidRDefault="00093418"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67DBB">
              <w:rPr>
                <w:rFonts w:cs="Arial"/>
                <w:sz w:val="20"/>
                <w:szCs w:val="20"/>
              </w:rPr>
              <w:t xml:space="preserve">Wartość </w:t>
            </w:r>
            <w:r w:rsidRPr="001C6C6F">
              <w:rPr>
                <w:rFonts w:cs="Arial"/>
                <w:sz w:val="20"/>
                <w:szCs w:val="20"/>
              </w:rPr>
              <w:t>%</w:t>
            </w:r>
            <w:r w:rsidR="001C6C6F" w:rsidRPr="007B5F7E">
              <w:rPr>
                <w:rStyle w:val="Odwoanieprzypisudolnego"/>
                <w:sz w:val="20"/>
                <w:szCs w:val="20"/>
              </w:rPr>
              <w:footnoteReference w:id="69"/>
            </w:r>
          </w:p>
        </w:tc>
      </w:tr>
      <w:tr w:rsidR="00093418" w:rsidRPr="00093418" w14:paraId="31F0C79A" w14:textId="77777777" w:rsidTr="00DA12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6B621015" w14:textId="77777777" w:rsidR="00093418" w:rsidRPr="00093418" w:rsidRDefault="00093418" w:rsidP="00DF64C7">
            <w:pPr>
              <w:keepNext/>
              <w:jc w:val="left"/>
              <w:rPr>
                <w:rFonts w:cs="Arial"/>
                <w:sz w:val="20"/>
                <w:szCs w:val="20"/>
              </w:rPr>
            </w:pPr>
            <w:r w:rsidRPr="00093418">
              <w:rPr>
                <w:rFonts w:cs="Arial"/>
                <w:sz w:val="20"/>
                <w:szCs w:val="20"/>
              </w:rPr>
              <w:t>11.1</w:t>
            </w:r>
            <w:r w:rsidR="00372426">
              <w:rPr>
                <w:rFonts w:cs="Arial"/>
                <w:sz w:val="20"/>
                <w:szCs w:val="20"/>
              </w:rPr>
              <w:t>.1-11.1.3</w:t>
            </w:r>
          </w:p>
          <w:p w14:paraId="2C0FF84E" w14:textId="77777777" w:rsidR="00093418" w:rsidRPr="00093418" w:rsidRDefault="00093418" w:rsidP="00DF64C7">
            <w:pPr>
              <w:keepNext/>
              <w:jc w:val="left"/>
              <w:rPr>
                <w:rFonts w:cs="Arial"/>
                <w:sz w:val="20"/>
                <w:szCs w:val="20"/>
              </w:rPr>
            </w:pPr>
          </w:p>
        </w:tc>
        <w:tc>
          <w:tcPr>
            <w:tcW w:w="7371" w:type="dxa"/>
          </w:tcPr>
          <w:p w14:paraId="7BB599C8" w14:textId="77777777" w:rsidR="00093418" w:rsidRPr="00093418" w:rsidRDefault="00093418"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cs="Arial"/>
                <w:sz w:val="20"/>
                <w:szCs w:val="20"/>
              </w:rPr>
              <w:t>Doposażenie placówki w niezbędny sprzęt i materiały dydaktyczne</w:t>
            </w:r>
          </w:p>
        </w:tc>
        <w:tc>
          <w:tcPr>
            <w:tcW w:w="1024" w:type="dxa"/>
          </w:tcPr>
          <w:p w14:paraId="00D97882" w14:textId="77777777" w:rsidR="00093418" w:rsidRPr="00467DBB" w:rsidRDefault="00093418" w:rsidP="008F6121">
            <w:pPr>
              <w:keepNext/>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467DBB">
              <w:rPr>
                <w:rFonts w:cs="Arial"/>
                <w:color w:val="000000"/>
                <w:sz w:val="20"/>
              </w:rPr>
              <w:t>99,1%</w:t>
            </w:r>
          </w:p>
        </w:tc>
      </w:tr>
      <w:tr w:rsidR="00093418" w:rsidRPr="00093418" w14:paraId="451FDA1A" w14:textId="77777777" w:rsidTr="00DA127E">
        <w:trPr>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7D263782" w14:textId="77777777" w:rsidR="00093418" w:rsidRPr="00093418" w:rsidRDefault="00093418" w:rsidP="00DF64C7">
            <w:pPr>
              <w:keepNext/>
              <w:jc w:val="left"/>
              <w:rPr>
                <w:rFonts w:cs="Arial"/>
                <w:sz w:val="20"/>
                <w:szCs w:val="20"/>
              </w:rPr>
            </w:pPr>
          </w:p>
        </w:tc>
        <w:tc>
          <w:tcPr>
            <w:tcW w:w="7371" w:type="dxa"/>
          </w:tcPr>
          <w:p w14:paraId="3E2C7664" w14:textId="77777777" w:rsidR="00093418" w:rsidRPr="00093418" w:rsidRDefault="00093418" w:rsidP="00DF64C7">
            <w:pPr>
              <w:keepNext/>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Rozszerzenie oferty o dodatkowe zajęcia wyrównujące szanse edukacyjne dzieci</w:t>
            </w:r>
          </w:p>
        </w:tc>
        <w:tc>
          <w:tcPr>
            <w:tcW w:w="1024" w:type="dxa"/>
          </w:tcPr>
          <w:p w14:paraId="4AC6BBCF" w14:textId="77777777" w:rsidR="00093418" w:rsidRPr="00467DBB" w:rsidRDefault="00093418" w:rsidP="008F6121">
            <w:pPr>
              <w:keepNext/>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467DBB">
              <w:rPr>
                <w:rFonts w:cs="Arial"/>
                <w:color w:val="000000"/>
                <w:sz w:val="20"/>
              </w:rPr>
              <w:t>97,6%</w:t>
            </w:r>
          </w:p>
        </w:tc>
      </w:tr>
      <w:tr w:rsidR="00093418" w:rsidRPr="00093418" w14:paraId="3C9EBD03" w14:textId="77777777" w:rsidTr="00DA12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71FEF27B" w14:textId="77777777" w:rsidR="00093418" w:rsidRPr="00093418" w:rsidRDefault="00093418" w:rsidP="00DF64C7">
            <w:pPr>
              <w:jc w:val="left"/>
              <w:rPr>
                <w:rFonts w:cs="Arial"/>
                <w:sz w:val="20"/>
                <w:szCs w:val="20"/>
              </w:rPr>
            </w:pPr>
          </w:p>
        </w:tc>
        <w:tc>
          <w:tcPr>
            <w:tcW w:w="7371" w:type="dxa"/>
          </w:tcPr>
          <w:p w14:paraId="5CA94D1F" w14:textId="77777777" w:rsidR="00093418" w:rsidRPr="00093418"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cs="Arial"/>
                <w:sz w:val="20"/>
                <w:szCs w:val="20"/>
              </w:rPr>
              <w:t>Doskonalenie umiejętności, kompetencji lub kwalifikacji nauczycieli ośrodków wychowania przedszkolnego</w:t>
            </w:r>
          </w:p>
        </w:tc>
        <w:tc>
          <w:tcPr>
            <w:tcW w:w="1024" w:type="dxa"/>
          </w:tcPr>
          <w:p w14:paraId="66008297" w14:textId="77777777" w:rsidR="00093418" w:rsidRPr="00467DBB" w:rsidRDefault="00093418" w:rsidP="008F6121">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467DBB">
              <w:rPr>
                <w:rFonts w:cs="Arial"/>
                <w:color w:val="000000"/>
                <w:sz w:val="20"/>
              </w:rPr>
              <w:t>94,3%</w:t>
            </w:r>
          </w:p>
        </w:tc>
      </w:tr>
      <w:tr w:rsidR="00093418" w:rsidRPr="00093418" w14:paraId="7796D3F9" w14:textId="77777777" w:rsidTr="00DA127E">
        <w:trPr>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30C5F3FB" w14:textId="77777777" w:rsidR="00093418" w:rsidRPr="00093418" w:rsidRDefault="00093418" w:rsidP="00DF64C7">
            <w:pPr>
              <w:jc w:val="left"/>
              <w:rPr>
                <w:rFonts w:cs="Arial"/>
                <w:sz w:val="20"/>
                <w:szCs w:val="20"/>
              </w:rPr>
            </w:pPr>
          </w:p>
        </w:tc>
        <w:tc>
          <w:tcPr>
            <w:tcW w:w="7371" w:type="dxa"/>
          </w:tcPr>
          <w:p w14:paraId="352DC07F" w14:textId="77777777" w:rsidR="00093418" w:rsidRPr="00093418"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Dostosowanie istniejących miejsc wychowania przedszkolnego do potrzeb dzieci z niepełnosprawnościami lub realizacja dodatkowej oferty dla takich dzieci</w:t>
            </w:r>
          </w:p>
        </w:tc>
        <w:tc>
          <w:tcPr>
            <w:tcW w:w="1024" w:type="dxa"/>
          </w:tcPr>
          <w:p w14:paraId="373E9996" w14:textId="77777777" w:rsidR="00093418" w:rsidRPr="00467DBB" w:rsidRDefault="00093418" w:rsidP="008F6121">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467DBB">
              <w:rPr>
                <w:rFonts w:cs="Arial"/>
                <w:color w:val="000000"/>
                <w:sz w:val="20"/>
              </w:rPr>
              <w:t>83,0%</w:t>
            </w:r>
          </w:p>
        </w:tc>
      </w:tr>
      <w:tr w:rsidR="00093418" w:rsidRPr="00093418" w14:paraId="54C385B0" w14:textId="77777777" w:rsidTr="00DA12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704EF868" w14:textId="77777777" w:rsidR="00093418" w:rsidRPr="00093418" w:rsidRDefault="00093418" w:rsidP="00DF64C7">
            <w:pPr>
              <w:jc w:val="left"/>
              <w:rPr>
                <w:rFonts w:cs="Arial"/>
                <w:sz w:val="20"/>
                <w:szCs w:val="20"/>
              </w:rPr>
            </w:pPr>
          </w:p>
        </w:tc>
        <w:tc>
          <w:tcPr>
            <w:tcW w:w="7371" w:type="dxa"/>
          </w:tcPr>
          <w:p w14:paraId="209C9EDA" w14:textId="77777777" w:rsidR="00093418" w:rsidRPr="00093418"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cs="Arial"/>
                <w:sz w:val="20"/>
                <w:szCs w:val="20"/>
              </w:rPr>
              <w:t>Tworzenie nowych miejsc wychowania przedszkolnego</w:t>
            </w:r>
          </w:p>
        </w:tc>
        <w:tc>
          <w:tcPr>
            <w:tcW w:w="1024" w:type="dxa"/>
          </w:tcPr>
          <w:p w14:paraId="3386C86B" w14:textId="77777777" w:rsidR="00093418" w:rsidRPr="00467DBB" w:rsidRDefault="00093418" w:rsidP="008F6121">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467DBB">
              <w:rPr>
                <w:rFonts w:cs="Arial"/>
                <w:color w:val="000000"/>
                <w:sz w:val="20"/>
              </w:rPr>
              <w:t>75,5%</w:t>
            </w:r>
          </w:p>
        </w:tc>
      </w:tr>
      <w:tr w:rsidR="00093418" w:rsidRPr="00093418" w14:paraId="06752962" w14:textId="77777777" w:rsidTr="00DA127E">
        <w:trPr>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6BECA274" w14:textId="77777777" w:rsidR="00093418" w:rsidRPr="00093418" w:rsidRDefault="00093418" w:rsidP="00DF64C7">
            <w:pPr>
              <w:jc w:val="left"/>
              <w:rPr>
                <w:rFonts w:cs="Arial"/>
                <w:sz w:val="20"/>
                <w:szCs w:val="20"/>
              </w:rPr>
            </w:pPr>
          </w:p>
        </w:tc>
        <w:tc>
          <w:tcPr>
            <w:tcW w:w="7371" w:type="dxa"/>
          </w:tcPr>
          <w:p w14:paraId="70211D18" w14:textId="77777777" w:rsidR="00093418" w:rsidRPr="00093418"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Wydłużenie godzin pracy przedszkola</w:t>
            </w:r>
          </w:p>
        </w:tc>
        <w:tc>
          <w:tcPr>
            <w:tcW w:w="1024" w:type="dxa"/>
          </w:tcPr>
          <w:p w14:paraId="416623B8" w14:textId="77777777" w:rsidR="00093418" w:rsidRPr="00467DBB" w:rsidRDefault="00093418" w:rsidP="008F6121">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467DBB">
              <w:rPr>
                <w:rFonts w:cs="Arial"/>
                <w:color w:val="000000"/>
                <w:sz w:val="20"/>
              </w:rPr>
              <w:t>43,4%</w:t>
            </w:r>
          </w:p>
        </w:tc>
      </w:tr>
      <w:tr w:rsidR="00093418" w:rsidRPr="00093418" w14:paraId="3471C99D" w14:textId="77777777" w:rsidTr="00DA12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57C1386B" w14:textId="77777777" w:rsidR="00093418" w:rsidRPr="00093418" w:rsidRDefault="00093418" w:rsidP="00DF64C7">
            <w:pPr>
              <w:jc w:val="left"/>
              <w:rPr>
                <w:rFonts w:cs="Arial"/>
                <w:sz w:val="20"/>
                <w:szCs w:val="20"/>
              </w:rPr>
            </w:pPr>
            <w:r w:rsidRPr="00093418">
              <w:rPr>
                <w:rFonts w:cs="Arial"/>
                <w:sz w:val="20"/>
                <w:szCs w:val="20"/>
              </w:rPr>
              <w:t>11.1.4</w:t>
            </w:r>
          </w:p>
        </w:tc>
        <w:tc>
          <w:tcPr>
            <w:tcW w:w="7371" w:type="dxa"/>
          </w:tcPr>
          <w:p w14:paraId="2A9E33F8" w14:textId="77777777" w:rsidR="00093418" w:rsidRPr="00093418"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cs="Arial"/>
                <w:sz w:val="20"/>
                <w:szCs w:val="20"/>
              </w:rPr>
              <w:t>Zajęcia dla uczniów z zakresu kształtowania kompetencji kluczowych i umiejętności uniwersalnych niezbędnych na rynku pracy</w:t>
            </w:r>
          </w:p>
        </w:tc>
        <w:tc>
          <w:tcPr>
            <w:tcW w:w="1024" w:type="dxa"/>
          </w:tcPr>
          <w:p w14:paraId="123C756E" w14:textId="77777777" w:rsidR="00093418" w:rsidRPr="00467DBB" w:rsidRDefault="00093418"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67DBB">
              <w:rPr>
                <w:rFonts w:cs="Arial"/>
                <w:sz w:val="20"/>
                <w:szCs w:val="20"/>
              </w:rPr>
              <w:t>91,8%</w:t>
            </w:r>
          </w:p>
        </w:tc>
      </w:tr>
      <w:tr w:rsidR="00093418" w:rsidRPr="00093418" w14:paraId="283D161F" w14:textId="77777777" w:rsidTr="00DA127E">
        <w:trPr>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0C505EE9" w14:textId="77777777" w:rsidR="00093418" w:rsidRPr="00093418" w:rsidRDefault="00093418" w:rsidP="00DF64C7">
            <w:pPr>
              <w:jc w:val="left"/>
              <w:rPr>
                <w:rFonts w:cs="Arial"/>
                <w:sz w:val="20"/>
                <w:szCs w:val="20"/>
              </w:rPr>
            </w:pPr>
          </w:p>
        </w:tc>
        <w:tc>
          <w:tcPr>
            <w:tcW w:w="7371" w:type="dxa"/>
          </w:tcPr>
          <w:p w14:paraId="0255C014" w14:textId="77777777" w:rsidR="00093418" w:rsidRPr="00093418"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Dodatkowe zajęcia dydaktyczno-wyrównawcze dla uczniów</w:t>
            </w:r>
          </w:p>
        </w:tc>
        <w:tc>
          <w:tcPr>
            <w:tcW w:w="1024" w:type="dxa"/>
          </w:tcPr>
          <w:p w14:paraId="2EB671EB" w14:textId="77777777" w:rsidR="00093418" w:rsidRPr="00467DBB" w:rsidRDefault="00093418"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67DBB">
              <w:rPr>
                <w:rFonts w:cs="Arial"/>
                <w:sz w:val="20"/>
                <w:szCs w:val="20"/>
              </w:rPr>
              <w:t>91,2%</w:t>
            </w:r>
          </w:p>
        </w:tc>
      </w:tr>
      <w:tr w:rsidR="00093418" w:rsidRPr="00093418" w14:paraId="2BCB052F" w14:textId="77777777" w:rsidTr="00DA12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4A867442" w14:textId="77777777" w:rsidR="00093418" w:rsidRPr="00093418" w:rsidRDefault="00093418" w:rsidP="00DF64C7">
            <w:pPr>
              <w:jc w:val="left"/>
              <w:rPr>
                <w:rFonts w:cs="Arial"/>
                <w:sz w:val="20"/>
                <w:szCs w:val="20"/>
              </w:rPr>
            </w:pPr>
          </w:p>
        </w:tc>
        <w:tc>
          <w:tcPr>
            <w:tcW w:w="7371" w:type="dxa"/>
          </w:tcPr>
          <w:p w14:paraId="2326EF61" w14:textId="77777777" w:rsidR="00093418" w:rsidRPr="00093418"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cs="Arial"/>
                <w:sz w:val="20"/>
                <w:szCs w:val="20"/>
              </w:rPr>
              <w:t>Zajęcia rozwijające dla uczniów uzdolnionych</w:t>
            </w:r>
          </w:p>
        </w:tc>
        <w:tc>
          <w:tcPr>
            <w:tcW w:w="1024" w:type="dxa"/>
          </w:tcPr>
          <w:p w14:paraId="27BA2931" w14:textId="77777777" w:rsidR="00093418" w:rsidRPr="00467DBB" w:rsidRDefault="00093418"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67DBB">
              <w:rPr>
                <w:rFonts w:cs="Arial"/>
                <w:sz w:val="20"/>
                <w:szCs w:val="20"/>
              </w:rPr>
              <w:t>89,7%</w:t>
            </w:r>
          </w:p>
        </w:tc>
      </w:tr>
      <w:tr w:rsidR="00093418" w:rsidRPr="00093418" w14:paraId="1559C19E" w14:textId="77777777" w:rsidTr="00DA127E">
        <w:trPr>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2692A163" w14:textId="77777777" w:rsidR="00093418" w:rsidRPr="00093418" w:rsidRDefault="00093418" w:rsidP="00DF64C7">
            <w:pPr>
              <w:jc w:val="left"/>
              <w:rPr>
                <w:rFonts w:cs="Arial"/>
                <w:sz w:val="20"/>
                <w:szCs w:val="20"/>
              </w:rPr>
            </w:pPr>
          </w:p>
        </w:tc>
        <w:tc>
          <w:tcPr>
            <w:tcW w:w="7371" w:type="dxa"/>
          </w:tcPr>
          <w:p w14:paraId="6246071D" w14:textId="77777777" w:rsidR="00093418" w:rsidRPr="00093418"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Realizacja programu z zakresu indywidualizacji pracy z uczniem ze specjalnymi potrzebami edukacyjnymi</w:t>
            </w:r>
          </w:p>
        </w:tc>
        <w:tc>
          <w:tcPr>
            <w:tcW w:w="1024" w:type="dxa"/>
          </w:tcPr>
          <w:p w14:paraId="338BCD8F" w14:textId="77777777" w:rsidR="00093418" w:rsidRPr="00467DBB" w:rsidRDefault="00093418"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67DBB">
              <w:rPr>
                <w:rFonts w:cs="Arial"/>
                <w:sz w:val="20"/>
                <w:szCs w:val="20"/>
              </w:rPr>
              <w:t>84,0%</w:t>
            </w:r>
          </w:p>
        </w:tc>
      </w:tr>
      <w:tr w:rsidR="00093418" w:rsidRPr="00093418" w14:paraId="62553AAB" w14:textId="77777777" w:rsidTr="00DA12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2F6575A2" w14:textId="77777777" w:rsidR="00093418" w:rsidRPr="00093418" w:rsidRDefault="00093418" w:rsidP="00DF64C7">
            <w:pPr>
              <w:jc w:val="left"/>
              <w:rPr>
                <w:rFonts w:cs="Arial"/>
                <w:sz w:val="20"/>
                <w:szCs w:val="20"/>
              </w:rPr>
            </w:pPr>
          </w:p>
        </w:tc>
        <w:tc>
          <w:tcPr>
            <w:tcW w:w="7371" w:type="dxa"/>
          </w:tcPr>
          <w:p w14:paraId="625E9A45" w14:textId="77777777" w:rsidR="00093418" w:rsidRPr="00093418"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cs="Arial"/>
                <w:sz w:val="20"/>
                <w:szCs w:val="20"/>
              </w:rPr>
              <w:t>Doskonalenie kompetencji i umiejętności zawodowych nauczycieli</w:t>
            </w:r>
          </w:p>
        </w:tc>
        <w:tc>
          <w:tcPr>
            <w:tcW w:w="1024" w:type="dxa"/>
          </w:tcPr>
          <w:p w14:paraId="625141C6" w14:textId="77777777" w:rsidR="00093418" w:rsidRPr="00467DBB" w:rsidRDefault="00093418"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67DBB">
              <w:rPr>
                <w:rFonts w:cs="Arial"/>
                <w:sz w:val="20"/>
                <w:szCs w:val="20"/>
              </w:rPr>
              <w:t>84,0%</w:t>
            </w:r>
          </w:p>
        </w:tc>
      </w:tr>
      <w:tr w:rsidR="00093418" w:rsidRPr="00093418" w14:paraId="1E5F533E" w14:textId="77777777" w:rsidTr="00DA127E">
        <w:trPr>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7AB8A7FB" w14:textId="77777777" w:rsidR="00093418" w:rsidRPr="00093418" w:rsidRDefault="00093418" w:rsidP="00DF64C7">
            <w:pPr>
              <w:jc w:val="left"/>
              <w:rPr>
                <w:rFonts w:cs="Arial"/>
                <w:sz w:val="20"/>
                <w:szCs w:val="20"/>
              </w:rPr>
            </w:pPr>
          </w:p>
        </w:tc>
        <w:tc>
          <w:tcPr>
            <w:tcW w:w="7371" w:type="dxa"/>
          </w:tcPr>
          <w:p w14:paraId="19113DAD" w14:textId="77777777" w:rsidR="00093418" w:rsidRPr="00093418"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Stworzenie warunków do nauczania opartego na metodzie eksperymentu</w:t>
            </w:r>
          </w:p>
        </w:tc>
        <w:tc>
          <w:tcPr>
            <w:tcW w:w="1024" w:type="dxa"/>
          </w:tcPr>
          <w:p w14:paraId="4577C221" w14:textId="77777777" w:rsidR="00093418" w:rsidRPr="00467DBB" w:rsidRDefault="00093418"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67DBB">
              <w:rPr>
                <w:rFonts w:cs="Arial"/>
                <w:sz w:val="20"/>
                <w:szCs w:val="20"/>
              </w:rPr>
              <w:t>80,4%</w:t>
            </w:r>
          </w:p>
        </w:tc>
      </w:tr>
      <w:tr w:rsidR="00093418" w:rsidRPr="00093418" w14:paraId="682B33D3" w14:textId="77777777" w:rsidTr="00DA12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4A09308A" w14:textId="77777777" w:rsidR="00093418" w:rsidRPr="00093418" w:rsidRDefault="00093418" w:rsidP="00DF64C7">
            <w:pPr>
              <w:jc w:val="left"/>
              <w:rPr>
                <w:rFonts w:cs="Arial"/>
                <w:sz w:val="20"/>
                <w:szCs w:val="20"/>
              </w:rPr>
            </w:pPr>
          </w:p>
        </w:tc>
        <w:tc>
          <w:tcPr>
            <w:tcW w:w="7371" w:type="dxa"/>
          </w:tcPr>
          <w:p w14:paraId="5D97EEC1" w14:textId="77777777" w:rsidR="00093418" w:rsidRPr="00093418"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cs="Arial"/>
                <w:sz w:val="20"/>
                <w:szCs w:val="20"/>
              </w:rPr>
              <w:t>Wsparcie uczniów młodszych</w:t>
            </w:r>
          </w:p>
        </w:tc>
        <w:tc>
          <w:tcPr>
            <w:tcW w:w="1024" w:type="dxa"/>
          </w:tcPr>
          <w:p w14:paraId="28AF4D0A" w14:textId="77777777" w:rsidR="00093418" w:rsidRPr="00467DBB" w:rsidRDefault="00093418"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67DBB">
              <w:rPr>
                <w:rFonts w:cs="Arial"/>
                <w:sz w:val="20"/>
                <w:szCs w:val="20"/>
              </w:rPr>
              <w:t>76,3%</w:t>
            </w:r>
          </w:p>
        </w:tc>
      </w:tr>
      <w:tr w:rsidR="00093418" w:rsidRPr="00093418" w14:paraId="66893C90" w14:textId="77777777" w:rsidTr="00DA127E">
        <w:trPr>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5C701286" w14:textId="77777777" w:rsidR="00093418" w:rsidRPr="00093418" w:rsidRDefault="00093418" w:rsidP="00DF64C7">
            <w:pPr>
              <w:jc w:val="left"/>
              <w:rPr>
                <w:rFonts w:cs="Arial"/>
                <w:sz w:val="20"/>
                <w:szCs w:val="20"/>
              </w:rPr>
            </w:pPr>
          </w:p>
        </w:tc>
        <w:tc>
          <w:tcPr>
            <w:tcW w:w="7371" w:type="dxa"/>
          </w:tcPr>
          <w:p w14:paraId="52837598" w14:textId="77777777" w:rsidR="00093418" w:rsidRPr="00093418"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Doradztwo edukacyjno-zawodowe dla uczniów</w:t>
            </w:r>
          </w:p>
        </w:tc>
        <w:tc>
          <w:tcPr>
            <w:tcW w:w="1024" w:type="dxa"/>
          </w:tcPr>
          <w:p w14:paraId="18433D09" w14:textId="77777777" w:rsidR="00093418" w:rsidRPr="00467DBB" w:rsidRDefault="00093418"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67DBB">
              <w:rPr>
                <w:rFonts w:cs="Arial"/>
                <w:sz w:val="20"/>
                <w:szCs w:val="20"/>
              </w:rPr>
              <w:t>66,0%</w:t>
            </w:r>
          </w:p>
        </w:tc>
      </w:tr>
      <w:tr w:rsidR="00093418" w:rsidRPr="00093418" w14:paraId="65859735" w14:textId="77777777" w:rsidTr="00DA12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39E5464A" w14:textId="77777777" w:rsidR="00093418" w:rsidRPr="00093418" w:rsidRDefault="00093418" w:rsidP="00DF64C7">
            <w:pPr>
              <w:jc w:val="left"/>
              <w:rPr>
                <w:rFonts w:cs="Arial"/>
                <w:sz w:val="20"/>
                <w:szCs w:val="20"/>
              </w:rPr>
            </w:pPr>
            <w:r w:rsidRPr="00093418">
              <w:rPr>
                <w:rFonts w:cs="Arial"/>
                <w:sz w:val="20"/>
                <w:szCs w:val="20"/>
              </w:rPr>
              <w:t>11.2</w:t>
            </w:r>
          </w:p>
        </w:tc>
        <w:tc>
          <w:tcPr>
            <w:tcW w:w="7371" w:type="dxa"/>
          </w:tcPr>
          <w:p w14:paraId="2BC666E4" w14:textId="77777777" w:rsidR="00093418" w:rsidRPr="00093418"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cs="Arial"/>
                <w:sz w:val="20"/>
                <w:szCs w:val="20"/>
              </w:rPr>
              <w:t>Dodatkowe zajęcia specjalistyczne (szkolenia i kursy zawodowe)</w:t>
            </w:r>
          </w:p>
        </w:tc>
        <w:tc>
          <w:tcPr>
            <w:tcW w:w="1024" w:type="dxa"/>
          </w:tcPr>
          <w:p w14:paraId="756602C8" w14:textId="77777777" w:rsidR="00093418" w:rsidRPr="00467DBB" w:rsidRDefault="00093418"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67DBB">
              <w:rPr>
                <w:rFonts w:cs="Arial"/>
                <w:sz w:val="20"/>
                <w:szCs w:val="20"/>
              </w:rPr>
              <w:t>98,6%</w:t>
            </w:r>
          </w:p>
        </w:tc>
      </w:tr>
      <w:tr w:rsidR="00093418" w:rsidRPr="00093418" w14:paraId="2FB4098E" w14:textId="77777777" w:rsidTr="00DA127E">
        <w:trPr>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5106C377" w14:textId="77777777" w:rsidR="00093418" w:rsidRPr="00093418" w:rsidRDefault="00093418" w:rsidP="00DF64C7">
            <w:pPr>
              <w:jc w:val="left"/>
              <w:rPr>
                <w:rFonts w:cs="Arial"/>
                <w:sz w:val="20"/>
                <w:szCs w:val="20"/>
              </w:rPr>
            </w:pPr>
          </w:p>
        </w:tc>
        <w:tc>
          <w:tcPr>
            <w:tcW w:w="7371" w:type="dxa"/>
          </w:tcPr>
          <w:p w14:paraId="0B8585B3" w14:textId="77777777" w:rsidR="00093418" w:rsidRPr="00093418"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Doposażenie pracowni praktycznej nauki zawodu w nowoczesny sprzęt i materiały dydaktyczne</w:t>
            </w:r>
          </w:p>
        </w:tc>
        <w:tc>
          <w:tcPr>
            <w:tcW w:w="1024" w:type="dxa"/>
          </w:tcPr>
          <w:p w14:paraId="1C66D2DC" w14:textId="77777777" w:rsidR="00093418" w:rsidRPr="00467DBB" w:rsidRDefault="00093418"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67DBB">
              <w:rPr>
                <w:rFonts w:cs="Arial"/>
                <w:sz w:val="20"/>
                <w:szCs w:val="20"/>
              </w:rPr>
              <w:t>95,9%</w:t>
            </w:r>
          </w:p>
        </w:tc>
      </w:tr>
      <w:tr w:rsidR="00093418" w:rsidRPr="00093418" w14:paraId="60BDFF3B" w14:textId="77777777" w:rsidTr="00DA12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28DF58F1" w14:textId="77777777" w:rsidR="00093418" w:rsidRPr="00093418" w:rsidRDefault="00093418" w:rsidP="00DF64C7">
            <w:pPr>
              <w:jc w:val="left"/>
              <w:rPr>
                <w:rFonts w:cs="Arial"/>
                <w:sz w:val="20"/>
                <w:szCs w:val="20"/>
              </w:rPr>
            </w:pPr>
          </w:p>
        </w:tc>
        <w:tc>
          <w:tcPr>
            <w:tcW w:w="7371" w:type="dxa"/>
          </w:tcPr>
          <w:p w14:paraId="1B63CC8D" w14:textId="77777777" w:rsidR="00093418" w:rsidRPr="00093418"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cs="Arial"/>
                <w:sz w:val="20"/>
                <w:szCs w:val="20"/>
              </w:rPr>
              <w:t>Podnoszenie umiejętności oraz uzyskiwanie kwalifikacji zawodowych przez uczniów i wzmacnianie ich zdolności do zatrudnienia</w:t>
            </w:r>
          </w:p>
        </w:tc>
        <w:tc>
          <w:tcPr>
            <w:tcW w:w="1024" w:type="dxa"/>
          </w:tcPr>
          <w:p w14:paraId="5EAAFD23" w14:textId="77777777" w:rsidR="00093418" w:rsidRPr="00467DBB" w:rsidRDefault="00093418"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67DBB">
              <w:rPr>
                <w:rFonts w:cs="Arial"/>
                <w:sz w:val="20"/>
                <w:szCs w:val="20"/>
              </w:rPr>
              <w:t>94,5%</w:t>
            </w:r>
          </w:p>
        </w:tc>
      </w:tr>
      <w:tr w:rsidR="00093418" w:rsidRPr="00093418" w14:paraId="095F60EF" w14:textId="77777777" w:rsidTr="00DA127E">
        <w:trPr>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73F55A44" w14:textId="77777777" w:rsidR="00093418" w:rsidRPr="00093418" w:rsidRDefault="00093418" w:rsidP="00DF64C7">
            <w:pPr>
              <w:jc w:val="left"/>
              <w:rPr>
                <w:rFonts w:cs="Arial"/>
                <w:sz w:val="20"/>
                <w:szCs w:val="20"/>
              </w:rPr>
            </w:pPr>
          </w:p>
        </w:tc>
        <w:tc>
          <w:tcPr>
            <w:tcW w:w="7371" w:type="dxa"/>
          </w:tcPr>
          <w:p w14:paraId="2694C8C2" w14:textId="77777777" w:rsidR="00093418" w:rsidRPr="00093418"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Rozwój współpracy szkół z pracodawcami (praktyki i staże zawodowe u pracodawców)</w:t>
            </w:r>
          </w:p>
        </w:tc>
        <w:tc>
          <w:tcPr>
            <w:tcW w:w="1024" w:type="dxa"/>
          </w:tcPr>
          <w:p w14:paraId="34E67D3D" w14:textId="77777777" w:rsidR="00093418" w:rsidRPr="00467DBB" w:rsidRDefault="00093418"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67DBB">
              <w:rPr>
                <w:rFonts w:cs="Arial"/>
                <w:sz w:val="20"/>
                <w:szCs w:val="20"/>
              </w:rPr>
              <w:t>94,5%</w:t>
            </w:r>
          </w:p>
        </w:tc>
      </w:tr>
      <w:tr w:rsidR="00093418" w:rsidRPr="00093418" w14:paraId="70C440CE" w14:textId="77777777" w:rsidTr="00DA12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2B166726" w14:textId="77777777" w:rsidR="00093418" w:rsidRPr="00093418" w:rsidRDefault="00093418" w:rsidP="00DF64C7">
            <w:pPr>
              <w:jc w:val="left"/>
              <w:rPr>
                <w:rFonts w:cs="Arial"/>
                <w:sz w:val="20"/>
                <w:szCs w:val="20"/>
              </w:rPr>
            </w:pPr>
          </w:p>
        </w:tc>
        <w:tc>
          <w:tcPr>
            <w:tcW w:w="7371" w:type="dxa"/>
          </w:tcPr>
          <w:p w14:paraId="157FEABC" w14:textId="77777777" w:rsidR="00093418" w:rsidRPr="00093418"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93418">
              <w:rPr>
                <w:rFonts w:cs="Arial"/>
                <w:sz w:val="20"/>
                <w:szCs w:val="20"/>
              </w:rPr>
              <w:t>Doskonalenie umiejętności i kompetencji zawodowych nauczycieli zawodu i instruktorów praktycznej nauki zawodu</w:t>
            </w:r>
          </w:p>
        </w:tc>
        <w:tc>
          <w:tcPr>
            <w:tcW w:w="1024" w:type="dxa"/>
          </w:tcPr>
          <w:p w14:paraId="675CDE2D" w14:textId="77777777" w:rsidR="00093418" w:rsidRPr="00467DBB" w:rsidRDefault="00093418"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67DBB">
              <w:rPr>
                <w:rFonts w:cs="Arial"/>
                <w:sz w:val="20"/>
                <w:szCs w:val="20"/>
              </w:rPr>
              <w:t>87,7%</w:t>
            </w:r>
          </w:p>
        </w:tc>
      </w:tr>
      <w:tr w:rsidR="00093418" w:rsidRPr="00093418" w14:paraId="59D43FB1" w14:textId="77777777" w:rsidTr="00DA127E">
        <w:trPr>
          <w:trHeight w:val="170"/>
        </w:trPr>
        <w:tc>
          <w:tcPr>
            <w:cnfStyle w:val="001000000000" w:firstRow="0" w:lastRow="0" w:firstColumn="1" w:lastColumn="0" w:oddVBand="0" w:evenVBand="0" w:oddHBand="0" w:evenHBand="0" w:firstRowFirstColumn="0" w:firstRowLastColumn="0" w:lastRowFirstColumn="0" w:lastRowLastColumn="0"/>
            <w:tcW w:w="817" w:type="dxa"/>
            <w:vMerge/>
          </w:tcPr>
          <w:p w14:paraId="33F72496" w14:textId="77777777" w:rsidR="00093418" w:rsidRPr="00093418" w:rsidRDefault="00093418" w:rsidP="00DF64C7">
            <w:pPr>
              <w:jc w:val="left"/>
              <w:rPr>
                <w:rFonts w:cs="Arial"/>
                <w:sz w:val="20"/>
                <w:szCs w:val="20"/>
              </w:rPr>
            </w:pPr>
          </w:p>
        </w:tc>
        <w:tc>
          <w:tcPr>
            <w:tcW w:w="7371" w:type="dxa"/>
          </w:tcPr>
          <w:p w14:paraId="2B434AD0" w14:textId="77777777" w:rsidR="00093418" w:rsidRPr="00093418"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93418">
              <w:rPr>
                <w:rFonts w:cs="Arial"/>
                <w:sz w:val="20"/>
                <w:szCs w:val="20"/>
              </w:rPr>
              <w:t>Realizacja zajęć z zakresu doradztwa edukacyjno-zawodowego</w:t>
            </w:r>
          </w:p>
        </w:tc>
        <w:tc>
          <w:tcPr>
            <w:tcW w:w="1024" w:type="dxa"/>
          </w:tcPr>
          <w:p w14:paraId="4F99C981" w14:textId="77777777" w:rsidR="00093418" w:rsidRPr="00467DBB" w:rsidRDefault="00093418"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467DBB">
              <w:rPr>
                <w:rFonts w:cs="Arial"/>
                <w:sz w:val="20"/>
                <w:szCs w:val="20"/>
              </w:rPr>
              <w:t>83,6%</w:t>
            </w:r>
          </w:p>
        </w:tc>
      </w:tr>
    </w:tbl>
    <w:p w14:paraId="3E9C3D5F" w14:textId="77777777" w:rsidR="00093418" w:rsidRDefault="00093418" w:rsidP="00DF64C7">
      <w:pPr>
        <w:pStyle w:val="podpisrdailustracji"/>
        <w:spacing w:after="0" w:line="271" w:lineRule="auto"/>
        <w:jc w:val="left"/>
      </w:pPr>
      <w:r>
        <w:t>Źródło: opracowanie własne na podstawie badania CAWI/CATI z nauczycielami i dyrektorami wspartych placówek OP XI, n=470.</w:t>
      </w:r>
    </w:p>
    <w:p w14:paraId="0AEB37B6" w14:textId="77777777" w:rsidR="000F3F66" w:rsidRDefault="000F3F66" w:rsidP="00DF64C7">
      <w:pPr>
        <w:jc w:val="left"/>
      </w:pPr>
    </w:p>
    <w:p w14:paraId="7CC4FE8E" w14:textId="77777777" w:rsidR="00222927" w:rsidRDefault="00222F22" w:rsidP="00DF64C7">
      <w:pPr>
        <w:jc w:val="left"/>
      </w:pPr>
      <w:r>
        <w:t>Jak wskazuje tabela wykonania wskaźników</w:t>
      </w:r>
      <w:r w:rsidR="007F4D5C">
        <w:t xml:space="preserve"> (zaprezentowana w po</w:t>
      </w:r>
      <w:r w:rsidR="000F3F66">
        <w:t>p</w:t>
      </w:r>
      <w:r w:rsidR="007F4D5C">
        <w:t>r</w:t>
      </w:r>
      <w:r w:rsidR="000F3F66">
        <w:t>zednim podrozdziale)</w:t>
      </w:r>
      <w:r w:rsidR="00E128D4">
        <w:t xml:space="preserve"> oraz informacje pozyskane od przedstawicieli </w:t>
      </w:r>
      <w:r w:rsidR="005D30C3">
        <w:t>IZ i IP</w:t>
      </w:r>
      <w:r>
        <w:t xml:space="preserve">, w pełni </w:t>
      </w:r>
      <w:r w:rsidR="00457B63">
        <w:t>zaspokojono potrzeby związane z </w:t>
      </w:r>
      <w:r>
        <w:t xml:space="preserve">tworzeniem nowych miejsc przedszkolnych – do 30.09.2019 roku na terenie województwa śląskiego stworzono 4 309 miejsc przedszkolnych, co stanowi 140% założonej wartości docelowej. </w:t>
      </w:r>
      <w:r w:rsidR="00222927">
        <w:t>Warto jednak mieć na uwadze, że zrealizowano zakres planowanego działania, co nie jest jednoznaczne z zaspokojeniem ogółu potrzeb dla całego województwa. Niewątpliwie tak szeroka skala udzielonego wsparcia w przypadku tworzenia nowych miejsc przedszkolnych zmniejszyła zakres istniejącego zapotrzebowania w regionie, lecz nie wpłynęła na jego zupełne zaspokojenie. W tym przypadku należy wskazać na dalsze występowanie zapotrzebowania na tworzenie miejsc przedszkolnych na teren</w:t>
      </w:r>
      <w:r w:rsidR="00BA214A">
        <w:t>a</w:t>
      </w:r>
      <w:r w:rsidR="00222927">
        <w:t>ch wiejskich</w:t>
      </w:r>
      <w:r w:rsidR="001B0696">
        <w:t xml:space="preserve"> (co potwierdzili badani przedstawiciele IZ/IP)</w:t>
      </w:r>
      <w:r w:rsidR="00222927">
        <w:t>.</w:t>
      </w:r>
    </w:p>
    <w:p w14:paraId="2C668BB1" w14:textId="77777777" w:rsidR="001B0696" w:rsidRDefault="00222F22" w:rsidP="00DF64C7">
      <w:pPr>
        <w:jc w:val="left"/>
      </w:pPr>
      <w:r>
        <w:t xml:space="preserve">W 80% zrealizowano także </w:t>
      </w:r>
      <w:r w:rsidR="001B0696">
        <w:t xml:space="preserve">zakładany </w:t>
      </w:r>
      <w:r>
        <w:t xml:space="preserve">wskaźnik dotyczący liczby dzieci objętych dodatkowymi zajęciami zwiększającymi ich szanse edukacyjne w edukacji przedszkolnej. Należy więc wskazać, że potrzeba wsparcia dzieci przedszkolnych </w:t>
      </w:r>
      <w:r w:rsidR="001B0696">
        <w:t>(</w:t>
      </w:r>
      <w:r w:rsidR="00BA214A">
        <w:t>określona</w:t>
      </w:r>
      <w:r w:rsidR="001B0696">
        <w:t xml:space="preserve"> </w:t>
      </w:r>
      <w:r w:rsidR="00BA214A">
        <w:t>wartością</w:t>
      </w:r>
      <w:r w:rsidR="001B0696">
        <w:t xml:space="preserve"> docelową) </w:t>
      </w:r>
      <w:r>
        <w:t>powinna zostać zaspokojona do roku 2023.</w:t>
      </w:r>
      <w:r w:rsidR="001B0696">
        <w:t xml:space="preserve"> Biorąc jednak pod uwagę charakter wsparcia, w tym napływ kolejnych uczniów, potrzeby w zakresie dalszego wparcia tego typu projektów występować będą również w kolejnych latach.</w:t>
      </w:r>
    </w:p>
    <w:p w14:paraId="7509D3BF" w14:textId="77777777" w:rsidR="00222F22" w:rsidRDefault="007A4131" w:rsidP="00DF64C7">
      <w:pPr>
        <w:jc w:val="left"/>
      </w:pPr>
      <w:r>
        <w:t xml:space="preserve">Zrealizowano także wskaźniki związane z </w:t>
      </w:r>
      <w:r w:rsidR="00222F22">
        <w:t>rozwojem umiejętności kluczowych, w tym umiejętności z zakresu TIK wśród dzieci i młodzieży. Takie umiejętności mają pomóc w zdobyciu wiedzy, umiejętności i postaw niezbędnych dla potrzeb samorealizacji i rozwoju osobistego, a także integracji społecznej i zatrudnienia. Wsparciem w zakresie rozwijania kompetencji kluczowych objęto prawie dwukrotnie więcej dzieci niż zakładano (184%), wsparcie w postaci doposażenia pracowni przedmiotowych oraz wyposażenia w sprzęt TIK otrzymało także ponad trzy razy więcej szkół, niż zakłada wskaźnik docelowy (odpowiednio 314% i 346%).</w:t>
      </w:r>
      <w:r>
        <w:t xml:space="preserve"> Równocześnie jednak na etapie oceny odrzucono aż 450 wniosków w ramach Poddziałania </w:t>
      </w:r>
      <w:r w:rsidR="00F20410">
        <w:t>11.1.4</w:t>
      </w:r>
      <w:r w:rsidR="0092076D">
        <w:t>, z czego 2/3 odrzuconych wniosków dotyczyło niespełniania kryteriów oceny merytorycznej, a pozostała 1/3 została odrzucona z powodu wyczerpania alokacji, c</w:t>
      </w:r>
      <w:r>
        <w:t>o oznacza, że potrzeby w tym zakresie wciąż istnieją</w:t>
      </w:r>
      <w:r w:rsidR="001B0696">
        <w:t xml:space="preserve"> (za czym przemawia, podobnie jak w przypadku wsparcia organizacji zajęć zwiększających szanse edukacyjne, charakter działań, na które zapotrzebowanie występować będzie niewątpliwie również w kolejnych latach).</w:t>
      </w:r>
    </w:p>
    <w:p w14:paraId="150D4D69" w14:textId="77777777" w:rsidR="00FE5DB8" w:rsidRDefault="00222F22" w:rsidP="00DF64C7">
      <w:pPr>
        <w:jc w:val="left"/>
        <w:rPr>
          <w:noProof/>
          <w:lang w:eastAsia="pl-PL"/>
        </w:rPr>
      </w:pPr>
      <w:r>
        <w:t xml:space="preserve">W ramach Działania 11.2 udało się objąć wsparciem większą niż zakładano liczbę nauczycieli kształcenia zawodowego oraz instruktorów praktycznej nauki zawodu (223% wskaźnika docelowego), co pozwoliło na przekroczenie wskaźnika rezultatu dotyczącego liczby nauczycieli i instruktorów, którzy uzyskali kwalifikacje i kompetencje z zakresu praktycznej nauki zawodu. Szkoły i placówki kształcenia </w:t>
      </w:r>
      <w:r w:rsidR="00457B63">
        <w:t>zawodowego zostały doposażone w </w:t>
      </w:r>
      <w:r>
        <w:t>sprzęt i materiały dydaktyczne, co pozwoliło na kompleksowe wsparcie uczniów</w:t>
      </w:r>
      <w:r w:rsidRPr="002A714D">
        <w:rPr>
          <w:rFonts w:cstheme="minorHAnsi"/>
          <w:bCs/>
          <w:color w:val="000000" w:themeColor="text1"/>
          <w:sz w:val="20"/>
          <w:szCs w:val="20"/>
        </w:rPr>
        <w:t xml:space="preserve"> </w:t>
      </w:r>
      <w:r w:rsidR="00457B63">
        <w:t>szkół i </w:t>
      </w:r>
      <w:r w:rsidRPr="002A714D">
        <w:t>placówek kształcenia zawodowego</w:t>
      </w:r>
      <w:r>
        <w:t>. W 2019 roku niespełna połowa założonej liczby uczniów uczestniczyła w stażach i praktykach u pracodawcy, co wskazuje, iż konieczne jest dalsze wsparcie realizacji projektów polegających n</w:t>
      </w:r>
      <w:r w:rsidR="00457B63">
        <w:t>a współpracy szkół zawodowych z </w:t>
      </w:r>
      <w:r>
        <w:t>przedstawicielami lokalnego rynku pracy</w:t>
      </w:r>
      <w:r w:rsidR="008E7A97">
        <w:t xml:space="preserve"> i promowaniu staży i praktyk zawodowych</w:t>
      </w:r>
      <w:r>
        <w:t>.</w:t>
      </w:r>
      <w:r w:rsidR="00FE5DB8">
        <w:t xml:space="preserve"> Przedstawiciele I</w:t>
      </w:r>
      <w:r w:rsidR="00BA69E3">
        <w:t>Z</w:t>
      </w:r>
      <w:r w:rsidR="00FE5DB8">
        <w:t xml:space="preserve"> oraz IP wskazywali, że problemy sektora edukacji zawodowej, ze względu na znacznie większą skalę, pozostają aktualne i wymagają</w:t>
      </w:r>
      <w:r w:rsidR="00467DBB">
        <w:t xml:space="preserve"> dalszego wsparcia. Wynika to z </w:t>
      </w:r>
      <w:r w:rsidR="00FE5DB8">
        <w:t>jednej strony z wielu lat wcześniejszych zaniedbań (podkreślano, że dotychczas większy nacisk kładziono na wsparcie edukacji ogólnej, kosztem zaw</w:t>
      </w:r>
      <w:r w:rsidR="00467DBB">
        <w:t>odowej) oraz z drugiej strony z </w:t>
      </w:r>
      <w:r w:rsidR="00FE5DB8">
        <w:t>dynamicznych zmian zachodzących na rynku pracy, wymuszających potrzebę dostosowywania się szkół do potrzeb</w:t>
      </w:r>
      <w:r w:rsidR="005D30C3">
        <w:t xml:space="preserve"> wynikających z ww. zmian</w:t>
      </w:r>
      <w:r w:rsidR="00FE5DB8">
        <w:t>.</w:t>
      </w:r>
      <w:r w:rsidR="00FE5DB8" w:rsidRPr="006F3917">
        <w:rPr>
          <w:noProof/>
          <w:lang w:eastAsia="pl-PL"/>
        </w:rPr>
        <w:t xml:space="preserve"> </w:t>
      </w:r>
    </w:p>
    <w:p w14:paraId="3A5F74E9" w14:textId="77777777" w:rsidR="00FE5DB8" w:rsidRDefault="005D30C3" w:rsidP="00DF64C7">
      <w:pPr>
        <w:jc w:val="left"/>
        <w:rPr>
          <w:noProof/>
          <w:lang w:eastAsia="pl-PL"/>
        </w:rPr>
      </w:pPr>
      <w:r>
        <w:rPr>
          <w:noProof/>
          <w:lang w:eastAsia="pl-PL"/>
        </w:rPr>
        <w:t>Badani przedstawiciele IZ/IP</w:t>
      </w:r>
      <w:r w:rsidR="00FE5DB8">
        <w:rPr>
          <w:noProof/>
          <w:lang w:eastAsia="pl-PL"/>
        </w:rPr>
        <w:t xml:space="preserve"> zaznaczali jednak, że wsparcie dla sektora edukacji zawodowej powinno zostać kontynuowane, lecz istotne jest przeprowadzenie nowej diagnozy potrzeb. Nie należy bowiem kopiować dotychczasowych form wsparcia, lecz zadbać o ich dostosowanie do zmieniających się potrzeb lokalnych. </w:t>
      </w:r>
    </w:p>
    <w:p w14:paraId="7B14D839" w14:textId="76E16E5C" w:rsidR="00222F22" w:rsidRDefault="00222F22" w:rsidP="00DF64C7">
      <w:pPr>
        <w:jc w:val="left"/>
      </w:pPr>
      <w:r>
        <w:t>Bardzo dużym zainteresowaniem w ramach Działania 11.3 cieszą się pozaszkolne formy kształcenia realizowane głównie poprzez kursy i szkolenia, k</w:t>
      </w:r>
      <w:r w:rsidR="00457B63">
        <w:t>tóre pozwalają na uzyskiwanie i </w:t>
      </w:r>
      <w:r>
        <w:t>uzupełnianie wiedzy, umiejętności i kwalifikacji zaw</w:t>
      </w:r>
      <w:r w:rsidR="00457B63">
        <w:t>odowych</w:t>
      </w:r>
      <w:r w:rsidR="005D30C3">
        <w:t xml:space="preserve"> osób dorosłych</w:t>
      </w:r>
      <w:r w:rsidR="00457B63">
        <w:t>. Duża liczba chętnych (</w:t>
      </w:r>
      <w:r>
        <w:t>do 30.09.2019 roku w projektach tego typu wzięło udział 26 815 osób, przy założonym wskaźniku 4 729 osób do końca roku 2023) wskazuje na szerokie zapotrzebowanie na tego typu działania. Niespełniona został</w:t>
      </w:r>
      <w:r w:rsidR="008116AD">
        <w:t>a</w:t>
      </w:r>
      <w:r>
        <w:t xml:space="preserve"> jednak potrzeba rozwoju CKZIU oraz wsparcia usług edukacyjnych przez nie realizowanych. Co istotne, tworzone CKZIU lub inne zespoły realizujące zbieżne zadania mają odpowiadać na potrzeby branż kluczowych z punktu widzenia rozwoju gospodarki.</w:t>
      </w:r>
      <w:r w:rsidR="008E7A97">
        <w:t xml:space="preserve"> Powodem bardzo niskiej realizacji wskaźnika nie są odrzucone wnioski, a niechęć CKZiU do aplikowania o środki.</w:t>
      </w:r>
    </w:p>
    <w:p w14:paraId="69B7EAC8" w14:textId="77777777" w:rsidR="00222927" w:rsidRDefault="00222F22" w:rsidP="00DF64C7">
      <w:pPr>
        <w:jc w:val="left"/>
      </w:pPr>
      <w:r>
        <w:t xml:space="preserve">Do końca września 2019 roku </w:t>
      </w:r>
      <w:r w:rsidR="00A07515" w:rsidRPr="00A07515">
        <w:t>nie udało się zaspokoić</w:t>
      </w:r>
      <w:r>
        <w:t xml:space="preserve"> potrzeb związanych z kształceniem grup defaworyzowanych – osób o niskich kwalifikacjach oraz osób w wieku 50 lat i więcej. Diagnoza wykazała, że to między innymi te grupy wykazują </w:t>
      </w:r>
      <w:r w:rsidR="00457B63">
        <w:t>największą lukę kompetencyjną i </w:t>
      </w:r>
      <w:r>
        <w:t>są najbardziej narażone n</w:t>
      </w:r>
      <w:r w:rsidR="002E26FC">
        <w:t xml:space="preserve">a trudności w znalezieniu pracy. </w:t>
      </w:r>
      <w:r w:rsidR="006E2FF4">
        <w:t xml:space="preserve">Zgodnie z informacjami pozyskanymi od badanych przedstawicieli IZ/IP, głównym problemem w tym zakresie była sama grupa docelowa wsparcia. Osoby powyżej 50 roku życia i osoby o niskich kwalifikacjach okazywały się dla </w:t>
      </w:r>
      <w:r w:rsidR="00CA547B">
        <w:t>beneficjentów</w:t>
      </w:r>
      <w:r w:rsidR="006E2FF4">
        <w:t xml:space="preserve"> najtrudniejsz</w:t>
      </w:r>
      <w:r w:rsidR="0076099D">
        <w:t>ą</w:t>
      </w:r>
      <w:r w:rsidR="006E2FF4">
        <w:t xml:space="preserve"> w rekrutacji grupą</w:t>
      </w:r>
      <w:r w:rsidR="00801FED">
        <w:t xml:space="preserve"> (Działanie 11.4 Podnoszenie kwalifikacji zawodowych osób dorosłych)</w:t>
      </w:r>
      <w:r w:rsidR="00CA547B">
        <w:t xml:space="preserve">. Bardzo często zdarzało się, że problem związany z ich rekrutacją wskazywany był jako kwestia problemowa we wnioskach o płatność. </w:t>
      </w:r>
    </w:p>
    <w:p w14:paraId="4FB6E009" w14:textId="737E9D56" w:rsidR="00222F22" w:rsidRDefault="00222927" w:rsidP="00DF64C7">
      <w:pPr>
        <w:jc w:val="left"/>
      </w:pPr>
      <w:r>
        <w:t>Należy zaznaczyć jednak, że stosunkowo niski poziom realizacji zakładanych wskaźników dotyczy również szkoleń przeznaczonych dla osób w wieku 25-49 lat. Problemy ze znalezieniem odpowiedniej liczby osób ch</w:t>
      </w:r>
      <w:r w:rsidR="00B61219">
        <w:t>ę</w:t>
      </w:r>
      <w:r>
        <w:t xml:space="preserve">tnych do </w:t>
      </w:r>
      <w:r w:rsidR="008116AD">
        <w:t>udziału w szkoleniach pozwalały</w:t>
      </w:r>
      <w:r>
        <w:t>by poddać  w wątpliwość zasadność tego typu działań i, tym samym, faktyczne występowanie potrzeb w tym zakresie. Po części jednak wpływ na te sytuacje może mieć postępowanie samych beneficjentów, którzy często dążyli do realizacji szkoleń w formule grupowej (wbrew zamysłowi regulaminu konkursu), co wiązało się z koniecznością stosunkowo długiego czasu oczekiwania uczestników na zebranie grupy wymaganej do rozpoczęcia szkoleń – co może mieć jednocześnie wpływ na spadek zainteresowania wzięciem w nich udziału.</w:t>
      </w:r>
    </w:p>
    <w:p w14:paraId="35BD89E5" w14:textId="77777777" w:rsidR="0014315B" w:rsidRDefault="00A23B6D" w:rsidP="00DF64C7">
      <w:pPr>
        <w:jc w:val="left"/>
      </w:pPr>
      <w:r>
        <w:t xml:space="preserve">Zgodnie z wypowiedziami beneficjentów projektów realizowanych w ramach Osi Priorytetowej XI, </w:t>
      </w:r>
      <w:r w:rsidR="00056D5A">
        <w:t xml:space="preserve">realizacja projektów pozwala na zaspokojenie zidentyfikowanych potrzeb, równocześnie jednak </w:t>
      </w:r>
      <w:r>
        <w:t>zachodzi potrzeba dalszego wsparcia w ramach obszarów, w których realizowali oni projekty. Wynika to ze specyfiki obszaru edukacji, a przede wszystkim zmian zachodzących w obrębie grupy docelowej tychże działań – do przedszkoli i szkół przychodzą nowe dzieci, które również potrzebują wysokiej jakości zajęć wspomagających ich rozwój. Tylko stała realizacja działań pozwala na nieustanne podnoszenie jakości edukacji na wszystkich poziomach. Ponadto, należy pamiętać, że są potrzeby, które ulegają zmianie, np. w zakresie rodzaju zajęć dodatkowych, które są wskazane do</w:t>
      </w:r>
      <w:r w:rsidR="00467DBB">
        <w:t xml:space="preserve"> realizacji, czy też szkoleń, z </w:t>
      </w:r>
      <w:r>
        <w:t>których mogliby korzystać nauczyciele. Szczególnie duży potencjał do zmiany można zauważyć w przypadku kształcenia zawodowego oraz kształcenia osób dorosłych. Jest to obszar mocno rozwojowy z uwagi na zmieniający się rynek zatrudnienia oraz idąca za nim konieczność kształcenia pracowników odpowiadających na aktualne zapotrzebowanie na tymże rynk</w:t>
      </w:r>
      <w:r w:rsidR="00056D5A">
        <w:t>u.</w:t>
      </w:r>
    </w:p>
    <w:p w14:paraId="435FDAC0" w14:textId="626CDC98" w:rsidR="00056D5A" w:rsidRDefault="00056D5A" w:rsidP="00DF64C7">
      <w:pPr>
        <w:pStyle w:val="Legenda"/>
        <w:spacing w:line="271" w:lineRule="auto"/>
        <w:jc w:val="left"/>
      </w:pPr>
      <w:bookmarkStart w:id="38" w:name="_Toc33459788"/>
      <w:r>
        <w:t xml:space="preserve">Wykres </w:t>
      </w:r>
      <w:r w:rsidR="00A57FB6">
        <w:rPr>
          <w:noProof/>
        </w:rPr>
        <w:fldChar w:fldCharType="begin"/>
      </w:r>
      <w:r w:rsidR="00A57FB6">
        <w:rPr>
          <w:noProof/>
        </w:rPr>
        <w:instrText xml:space="preserve"> SEQ Wykres \* ARABIC </w:instrText>
      </w:r>
      <w:r w:rsidR="00A57FB6">
        <w:rPr>
          <w:noProof/>
        </w:rPr>
        <w:fldChar w:fldCharType="separate"/>
      </w:r>
      <w:r w:rsidR="00A8147E">
        <w:rPr>
          <w:noProof/>
        </w:rPr>
        <w:t>3</w:t>
      </w:r>
      <w:r w:rsidR="00A57FB6">
        <w:rPr>
          <w:noProof/>
        </w:rPr>
        <w:fldChar w:fldCharType="end"/>
      </w:r>
      <w:r w:rsidR="00467DBB">
        <w:rPr>
          <w:noProof/>
        </w:rPr>
        <w:t>.</w:t>
      </w:r>
      <w:r>
        <w:t xml:space="preserve"> W </w:t>
      </w:r>
      <w:r w:rsidRPr="00EE597B">
        <w:t>jakim stopniu projekt pozwala/pozwolił na zaspokojenie zidentyfikowanych przez Państwa potrzeb placówek?</w:t>
      </w:r>
      <w:r>
        <w:t xml:space="preserve"> (w skali od 1 do 5, gdzie 1 oznacza, iż projekt zdecydowanie nie pozwolił, zaś 5, że zdecydowanie pozwolił na zaspokojenie potrzeb) – OP XI</w:t>
      </w:r>
      <w:bookmarkEnd w:id="38"/>
    </w:p>
    <w:p w14:paraId="4F57D94E" w14:textId="77777777" w:rsidR="0014315B" w:rsidRDefault="0014315B" w:rsidP="00DF64C7">
      <w:pPr>
        <w:jc w:val="left"/>
      </w:pPr>
      <w:r>
        <w:rPr>
          <w:noProof/>
          <w:lang w:eastAsia="pl-PL"/>
        </w:rPr>
        <w:drawing>
          <wp:inline distT="0" distB="0" distL="0" distR="0" wp14:anchorId="58784B9C" wp14:editId="19F979BD">
            <wp:extent cx="5676900" cy="1657350"/>
            <wp:effectExtent l="0" t="0" r="19050" b="19050"/>
            <wp:docPr id="35" name="Wykres 35" descr="Wykres przedstawia odpowiedź beneficjentów na pytanie: &quot;W jakim stopniu projekt pozwala/pozwolił na zaspokojenie zidentyfikowanych przez Państwa potrzeb placówek?&quot; w rozkładzie procentowym. Beneficjenci korzystali ze skali od 1 do 5, gdzie 1 oznacza, iż projekt zdecydowanie nie pozwolił, zaś 5, że zdecydowanie pozwolił na zaspokojenie potrzeb - dot. OP XI.&#10; Na wykresie kolumnowym zaprezentowane takie odpowiedzi jak:&#10;1 (0,3%), 2 (1,1%), 3 (6,2%), 4 (14,7%), 5 (77,7%)." title="W jakim stopniu projekt pozwala/pozwolił na zaspokojenie zidentyfikowanych przez Państwa potrzeb placówek? (w skali od 1 do 5, gdzie 1 oznacza, iż projekt zdecydowanie nie pozwolił, zaś 5, że zdecydowanie pozwolił na zaspokojenie potrzeb) – OP XI"/>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387234" w14:textId="77777777" w:rsidR="00056D5A" w:rsidRDefault="00056D5A" w:rsidP="00DF64C7">
      <w:pPr>
        <w:pStyle w:val="podpisrdailustracji"/>
        <w:spacing w:line="271" w:lineRule="auto"/>
        <w:jc w:val="left"/>
      </w:pPr>
      <w:r>
        <w:t>Źródło: opracowanie własne na podstawie badania CAWI/CATI z beneficjentami OP XI, n=373.</w:t>
      </w:r>
    </w:p>
    <w:p w14:paraId="2882322C" w14:textId="77777777" w:rsidR="00A23B6D" w:rsidRDefault="00A23B6D" w:rsidP="00DF64C7">
      <w:pPr>
        <w:jc w:val="left"/>
      </w:pPr>
      <w:r>
        <w:t xml:space="preserve">Wśród bieżących potrzeb </w:t>
      </w:r>
      <w:r w:rsidR="00AB5B54">
        <w:t xml:space="preserve">oraz </w:t>
      </w:r>
      <w:r w:rsidR="00BA214A">
        <w:t>tych</w:t>
      </w:r>
      <w:r w:rsidR="00AB5B54">
        <w:t xml:space="preserve">, których nie udało się zaspokoić dzięki realizacji projektów, </w:t>
      </w:r>
      <w:r>
        <w:t>respondenci wskazywali na:</w:t>
      </w:r>
    </w:p>
    <w:p w14:paraId="25CB9070" w14:textId="77777777" w:rsidR="00A23B6D" w:rsidRDefault="00A23B6D" w:rsidP="00DF64C7">
      <w:pPr>
        <w:pStyle w:val="Akapitzlist"/>
        <w:numPr>
          <w:ilvl w:val="0"/>
          <w:numId w:val="39"/>
        </w:numPr>
        <w:jc w:val="left"/>
      </w:pPr>
      <w:r>
        <w:t>Realizację zajęć dodatkowych, szczególnie z przedmiotów ścisłych (matematyka, chemia, fizyka);</w:t>
      </w:r>
    </w:p>
    <w:p w14:paraId="0D70D2FC" w14:textId="77777777" w:rsidR="00AB5B54" w:rsidRDefault="00016B51" w:rsidP="00DF64C7">
      <w:pPr>
        <w:pStyle w:val="Akapitzlist"/>
        <w:numPr>
          <w:ilvl w:val="0"/>
          <w:numId w:val="39"/>
        </w:numPr>
        <w:jc w:val="left"/>
      </w:pPr>
      <w:r>
        <w:t>Wzrost kompetencji kluczowych, w tym szczególnie języków obcych i ICT;</w:t>
      </w:r>
    </w:p>
    <w:p w14:paraId="3C5ACD29" w14:textId="77777777" w:rsidR="00A23B6D" w:rsidRDefault="00AB5B54" w:rsidP="00DF64C7">
      <w:pPr>
        <w:pStyle w:val="Akapitzlist"/>
        <w:numPr>
          <w:ilvl w:val="0"/>
          <w:numId w:val="39"/>
        </w:numPr>
        <w:jc w:val="left"/>
      </w:pPr>
      <w:r>
        <w:t>Rozwijanie</w:t>
      </w:r>
      <w:r w:rsidR="00A23B6D">
        <w:t xml:space="preserve"> programów edukacyjnych w przedszkolu w zakresie kompetencji emocjonalnych i społecznych, motoryki małej;</w:t>
      </w:r>
    </w:p>
    <w:p w14:paraId="027D7FE8" w14:textId="77777777" w:rsidR="00AB5B54" w:rsidRDefault="00AB5B54" w:rsidP="00DF64C7">
      <w:pPr>
        <w:pStyle w:val="Akapitzlist"/>
        <w:numPr>
          <w:ilvl w:val="0"/>
          <w:numId w:val="39"/>
        </w:numPr>
        <w:jc w:val="left"/>
      </w:pPr>
      <w:r>
        <w:t>Objęcie wsparciem większej liczby dzieci i młodzieży;</w:t>
      </w:r>
    </w:p>
    <w:p w14:paraId="23A08AE0" w14:textId="77777777" w:rsidR="00A23B6D" w:rsidRDefault="00A23B6D" w:rsidP="00DF64C7">
      <w:pPr>
        <w:pStyle w:val="Akapitzlist"/>
        <w:numPr>
          <w:ilvl w:val="0"/>
          <w:numId w:val="39"/>
        </w:numPr>
        <w:jc w:val="left"/>
      </w:pPr>
      <w:r>
        <w:t>Realizację programu stypendialnego;</w:t>
      </w:r>
    </w:p>
    <w:p w14:paraId="60FC7191" w14:textId="77777777" w:rsidR="00A23B6D" w:rsidRDefault="00A23B6D" w:rsidP="00DF64C7">
      <w:pPr>
        <w:pStyle w:val="Akapitzlist"/>
        <w:numPr>
          <w:ilvl w:val="0"/>
          <w:numId w:val="39"/>
        </w:numPr>
        <w:jc w:val="left"/>
      </w:pPr>
      <w:r>
        <w:t>Wsparcie dla uczniów zdolnych;</w:t>
      </w:r>
    </w:p>
    <w:p w14:paraId="4F9DAF60" w14:textId="77777777" w:rsidR="00A23B6D" w:rsidRDefault="00A23B6D" w:rsidP="00DF64C7">
      <w:pPr>
        <w:pStyle w:val="Akapitzlist"/>
        <w:numPr>
          <w:ilvl w:val="0"/>
          <w:numId w:val="39"/>
        </w:numPr>
        <w:jc w:val="left"/>
      </w:pPr>
      <w:r>
        <w:t>Realizację wsparcia szkoleniowego dla nauczycieli;</w:t>
      </w:r>
    </w:p>
    <w:p w14:paraId="6F5DDEB2" w14:textId="77777777" w:rsidR="00A23B6D" w:rsidRDefault="00A23B6D" w:rsidP="00DF64C7">
      <w:pPr>
        <w:pStyle w:val="Akapitzlist"/>
        <w:numPr>
          <w:ilvl w:val="0"/>
          <w:numId w:val="39"/>
        </w:numPr>
        <w:jc w:val="left"/>
      </w:pPr>
      <w:r>
        <w:t>Wdrażanie wsparcia dla uczniów o specjalnych oraz największych potrzebach edukacyjnych;</w:t>
      </w:r>
    </w:p>
    <w:p w14:paraId="7F355749" w14:textId="77777777" w:rsidR="00016B51" w:rsidRDefault="00016B51" w:rsidP="00DF64C7">
      <w:pPr>
        <w:pStyle w:val="Akapitzlist"/>
        <w:numPr>
          <w:ilvl w:val="0"/>
          <w:numId w:val="39"/>
        </w:numPr>
        <w:jc w:val="left"/>
      </w:pPr>
      <w:r>
        <w:t>Wsparcie dla rodziców, w tym szczególnie rodziców dzieci ze specjalnymi potrzebami;</w:t>
      </w:r>
    </w:p>
    <w:p w14:paraId="3C6278D7" w14:textId="77777777" w:rsidR="00A23B6D" w:rsidRDefault="00A23B6D" w:rsidP="00DF64C7">
      <w:pPr>
        <w:pStyle w:val="Akapitzlist"/>
        <w:numPr>
          <w:ilvl w:val="0"/>
          <w:numId w:val="39"/>
        </w:numPr>
        <w:jc w:val="left"/>
      </w:pPr>
      <w:r>
        <w:t>Doposażenie placówek;</w:t>
      </w:r>
    </w:p>
    <w:p w14:paraId="28C2AA8C" w14:textId="77777777" w:rsidR="00A23B6D" w:rsidRDefault="00A23B6D" w:rsidP="00DF64C7">
      <w:pPr>
        <w:pStyle w:val="Akapitzlist"/>
        <w:numPr>
          <w:ilvl w:val="0"/>
          <w:numId w:val="39"/>
        </w:numPr>
        <w:jc w:val="left"/>
      </w:pPr>
      <w:r>
        <w:t xml:space="preserve">Realizację </w:t>
      </w:r>
      <w:r w:rsidR="00AB5B54">
        <w:t xml:space="preserve">kolejnych </w:t>
      </w:r>
      <w:r>
        <w:t>szkoleń i kursów z</w:t>
      </w:r>
      <w:r w:rsidR="00AB5B54">
        <w:t>awodowych</w:t>
      </w:r>
      <w:r>
        <w:t>;</w:t>
      </w:r>
    </w:p>
    <w:p w14:paraId="4F15798D" w14:textId="77777777" w:rsidR="00A23B6D" w:rsidRDefault="00A23B6D" w:rsidP="00DF64C7">
      <w:pPr>
        <w:pStyle w:val="Akapitzlist"/>
        <w:numPr>
          <w:ilvl w:val="0"/>
          <w:numId w:val="39"/>
        </w:numPr>
        <w:jc w:val="left"/>
      </w:pPr>
      <w:r>
        <w:t>Realizacj</w:t>
      </w:r>
      <w:r w:rsidR="00AB5B54">
        <w:t>ę</w:t>
      </w:r>
      <w:r>
        <w:t xml:space="preserve"> kursów pierwszej pomocy oraz k</w:t>
      </w:r>
      <w:r w:rsidR="00AB5B54">
        <w:t>ursów dla ratowników medycznych.</w:t>
      </w:r>
    </w:p>
    <w:p w14:paraId="05E4F503" w14:textId="77777777" w:rsidR="00A23B6D" w:rsidRPr="008C14B7" w:rsidRDefault="00A23B6D" w:rsidP="00DF64C7">
      <w:pPr>
        <w:jc w:val="left"/>
      </w:pPr>
    </w:p>
    <w:p w14:paraId="3B981EF3" w14:textId="77777777" w:rsidR="00BA69E3" w:rsidRDefault="0036141C" w:rsidP="00DF64C7">
      <w:pPr>
        <w:jc w:val="left"/>
      </w:pPr>
      <w:r>
        <w:t xml:space="preserve">Potrzeby, na które odpowiadają realizowane projekty, wskazali także beneficjenci </w:t>
      </w:r>
      <w:r w:rsidR="00372426">
        <w:t xml:space="preserve">oraz nauczyciele i dyrektorzy wspartych placówek </w:t>
      </w:r>
      <w:r>
        <w:t>w ramach OP XII:</w:t>
      </w:r>
    </w:p>
    <w:p w14:paraId="55E82638" w14:textId="5C8C3AE3" w:rsidR="00BA69E3" w:rsidRDefault="00BA69E3" w:rsidP="00DF64C7">
      <w:pPr>
        <w:pStyle w:val="Legenda"/>
        <w:spacing w:line="271" w:lineRule="auto"/>
        <w:jc w:val="left"/>
      </w:pPr>
      <w:bookmarkStart w:id="39" w:name="_Toc33457219"/>
      <w:r>
        <w:t xml:space="preserve">Tabela </w:t>
      </w:r>
      <w:r w:rsidR="00A57FB6">
        <w:rPr>
          <w:noProof/>
        </w:rPr>
        <w:fldChar w:fldCharType="begin"/>
      </w:r>
      <w:r w:rsidR="00A57FB6">
        <w:rPr>
          <w:noProof/>
        </w:rPr>
        <w:instrText xml:space="preserve"> SEQ Tabela \* ARABIC </w:instrText>
      </w:r>
      <w:r w:rsidR="00A57FB6">
        <w:rPr>
          <w:noProof/>
        </w:rPr>
        <w:fldChar w:fldCharType="separate"/>
      </w:r>
      <w:r w:rsidR="00A8147E">
        <w:rPr>
          <w:noProof/>
        </w:rPr>
        <w:t>21</w:t>
      </w:r>
      <w:r w:rsidR="00A57FB6">
        <w:rPr>
          <w:noProof/>
        </w:rPr>
        <w:fldChar w:fldCharType="end"/>
      </w:r>
      <w:r w:rsidR="00905E4B">
        <w:rPr>
          <w:noProof/>
        </w:rPr>
        <w:t>.</w:t>
      </w:r>
      <w:r>
        <w:t xml:space="preserve"> Potrzeby, na które odpowiadają/odpowiadały projekty realizowane przez beneficjentów OP XII</w:t>
      </w:r>
      <w:bookmarkEnd w:id="39"/>
    </w:p>
    <w:tbl>
      <w:tblPr>
        <w:tblStyle w:val="Tabelasiatki5ciemnaakcent61"/>
        <w:tblW w:w="0" w:type="auto"/>
        <w:tblLook w:val="04A0" w:firstRow="1" w:lastRow="0" w:firstColumn="1" w:lastColumn="0" w:noHBand="0" w:noVBand="1"/>
        <w:tblCaption w:val="Potrzeby, na które odpowiadają/odpowiadały projekty realizowane przez beneficjentów OP XII"/>
        <w:tblDescription w:val="Tabela przedstawia potrzeby, na które odpowiadają/odpowiadały projekty realizowane przez beneficjentów OP XII w ocenie beneficjentów."/>
      </w:tblPr>
      <w:tblGrid>
        <w:gridCol w:w="1100"/>
        <w:gridCol w:w="6729"/>
        <w:gridCol w:w="1231"/>
      </w:tblGrid>
      <w:tr w:rsidR="00BA69E3" w:rsidRPr="00905E4B" w14:paraId="75E50400" w14:textId="77777777" w:rsidTr="007B5F7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01" w:type="dxa"/>
          </w:tcPr>
          <w:p w14:paraId="460F194C" w14:textId="77777777" w:rsidR="00BA69E3" w:rsidRPr="00905E4B" w:rsidRDefault="00BA69E3" w:rsidP="00DF64C7">
            <w:pPr>
              <w:jc w:val="left"/>
              <w:rPr>
                <w:rFonts w:cs="Arial"/>
                <w:sz w:val="20"/>
                <w:szCs w:val="20"/>
              </w:rPr>
            </w:pPr>
            <w:r w:rsidRPr="00905E4B">
              <w:rPr>
                <w:rFonts w:cs="Arial"/>
                <w:sz w:val="20"/>
                <w:szCs w:val="20"/>
              </w:rPr>
              <w:t>Działanie</w:t>
            </w:r>
          </w:p>
        </w:tc>
        <w:tc>
          <w:tcPr>
            <w:tcW w:w="6945" w:type="dxa"/>
          </w:tcPr>
          <w:p w14:paraId="4C4A421D" w14:textId="77777777" w:rsidR="00BA69E3" w:rsidRPr="00905E4B" w:rsidRDefault="00BA69E3"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905E4B">
              <w:rPr>
                <w:rFonts w:cs="Arial"/>
                <w:sz w:val="20"/>
                <w:szCs w:val="20"/>
              </w:rPr>
              <w:t>Potrzeba, na którą odpowiadał projekt</w:t>
            </w:r>
          </w:p>
        </w:tc>
        <w:tc>
          <w:tcPr>
            <w:tcW w:w="1242" w:type="dxa"/>
          </w:tcPr>
          <w:p w14:paraId="57D733A4" w14:textId="77777777" w:rsidR="00BA69E3" w:rsidRPr="00905E4B" w:rsidRDefault="00BA69E3"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905E4B">
              <w:rPr>
                <w:rFonts w:cs="Arial"/>
                <w:sz w:val="20"/>
                <w:szCs w:val="20"/>
              </w:rPr>
              <w:t xml:space="preserve">Wartość </w:t>
            </w:r>
            <w:r w:rsidRPr="001C6C6F">
              <w:rPr>
                <w:rFonts w:cs="Arial"/>
                <w:sz w:val="20"/>
                <w:szCs w:val="20"/>
              </w:rPr>
              <w:t>%</w:t>
            </w:r>
            <w:r w:rsidR="001C6C6F" w:rsidRPr="007B5F7E">
              <w:rPr>
                <w:rStyle w:val="Odwoanieprzypisudolnego"/>
                <w:sz w:val="20"/>
                <w:szCs w:val="20"/>
              </w:rPr>
              <w:footnoteReference w:id="70"/>
            </w:r>
          </w:p>
        </w:tc>
      </w:tr>
      <w:tr w:rsidR="00BA69E3" w:rsidRPr="00905E4B" w14:paraId="08B59789" w14:textId="77777777" w:rsidTr="007B5F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6DD763A4" w14:textId="77777777" w:rsidR="00BA69E3" w:rsidRPr="00905E4B" w:rsidRDefault="00BA69E3" w:rsidP="00DF64C7">
            <w:pPr>
              <w:jc w:val="left"/>
              <w:rPr>
                <w:rFonts w:cs="Arial"/>
                <w:sz w:val="20"/>
                <w:szCs w:val="20"/>
              </w:rPr>
            </w:pPr>
            <w:r w:rsidRPr="00905E4B">
              <w:rPr>
                <w:rFonts w:cs="Arial"/>
                <w:sz w:val="20"/>
                <w:szCs w:val="20"/>
              </w:rPr>
              <w:t>12.1</w:t>
            </w:r>
          </w:p>
        </w:tc>
        <w:tc>
          <w:tcPr>
            <w:tcW w:w="6945" w:type="dxa"/>
          </w:tcPr>
          <w:p w14:paraId="7B167D4A" w14:textId="77777777" w:rsidR="00BA69E3" w:rsidRPr="00905E4B" w:rsidRDefault="00BA69E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Niewystarczająca liczb</w:t>
            </w:r>
            <w:r w:rsidR="00801FED">
              <w:rPr>
                <w:rFonts w:eastAsia="Times New Roman" w:cs="Arial"/>
                <w:color w:val="000000"/>
                <w:sz w:val="20"/>
                <w:szCs w:val="20"/>
                <w:lang w:eastAsia="pl-PL"/>
              </w:rPr>
              <w:t>a</w:t>
            </w:r>
            <w:r w:rsidRPr="00905E4B">
              <w:rPr>
                <w:rFonts w:eastAsia="Times New Roman" w:cs="Arial"/>
                <w:color w:val="000000"/>
                <w:sz w:val="20"/>
                <w:szCs w:val="20"/>
                <w:lang w:eastAsia="pl-PL"/>
              </w:rPr>
              <w:t xml:space="preserve"> miejsc przedszkolnych</w:t>
            </w:r>
          </w:p>
        </w:tc>
        <w:tc>
          <w:tcPr>
            <w:tcW w:w="1242" w:type="dxa"/>
          </w:tcPr>
          <w:p w14:paraId="28D183AF" w14:textId="77777777" w:rsidR="00BA69E3" w:rsidRPr="00905E4B" w:rsidRDefault="00BA69E3"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96,4%</w:t>
            </w:r>
          </w:p>
        </w:tc>
      </w:tr>
      <w:tr w:rsidR="00BA69E3" w:rsidRPr="00905E4B" w14:paraId="40211440" w14:textId="77777777" w:rsidTr="007B5F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398316C5" w14:textId="77777777" w:rsidR="00BA69E3" w:rsidRPr="00905E4B" w:rsidRDefault="00BA69E3" w:rsidP="00DF64C7">
            <w:pPr>
              <w:jc w:val="left"/>
              <w:rPr>
                <w:rFonts w:cs="Arial"/>
                <w:sz w:val="20"/>
                <w:szCs w:val="20"/>
              </w:rPr>
            </w:pPr>
          </w:p>
        </w:tc>
        <w:tc>
          <w:tcPr>
            <w:tcW w:w="6945" w:type="dxa"/>
          </w:tcPr>
          <w:p w14:paraId="750D5FA6" w14:textId="77777777" w:rsidR="00BA69E3" w:rsidRPr="00905E4B" w:rsidRDefault="00BA69E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Niewystarczająca liczb</w:t>
            </w:r>
            <w:r w:rsidR="00801FED">
              <w:rPr>
                <w:rFonts w:eastAsia="Times New Roman" w:cs="Arial"/>
                <w:color w:val="000000"/>
                <w:sz w:val="20"/>
                <w:szCs w:val="20"/>
                <w:lang w:eastAsia="pl-PL"/>
              </w:rPr>
              <w:t>a</w:t>
            </w:r>
            <w:r w:rsidRPr="00905E4B">
              <w:rPr>
                <w:rFonts w:eastAsia="Times New Roman" w:cs="Arial"/>
                <w:color w:val="000000"/>
                <w:sz w:val="20"/>
                <w:szCs w:val="20"/>
                <w:lang w:eastAsia="pl-PL"/>
              </w:rPr>
              <w:t xml:space="preserve"> miejsc przedszkolnych przystosowanych do potrzeb dzieci z niepełnosprawnościami</w:t>
            </w:r>
          </w:p>
        </w:tc>
        <w:tc>
          <w:tcPr>
            <w:tcW w:w="1242" w:type="dxa"/>
          </w:tcPr>
          <w:p w14:paraId="1D1B6C93" w14:textId="77777777" w:rsidR="00BA69E3" w:rsidRPr="00905E4B" w:rsidRDefault="00BA69E3"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17,9%</w:t>
            </w:r>
          </w:p>
        </w:tc>
      </w:tr>
      <w:tr w:rsidR="00BA69E3" w:rsidRPr="00905E4B" w14:paraId="497C2C09" w14:textId="77777777" w:rsidTr="007B5F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5012B4B7" w14:textId="77777777" w:rsidR="00BA69E3" w:rsidRPr="00905E4B" w:rsidRDefault="00935186" w:rsidP="00DF64C7">
            <w:pPr>
              <w:jc w:val="left"/>
              <w:rPr>
                <w:rFonts w:cs="Arial"/>
                <w:sz w:val="20"/>
                <w:szCs w:val="20"/>
              </w:rPr>
            </w:pPr>
            <w:r w:rsidRPr="00905E4B">
              <w:rPr>
                <w:rFonts w:cs="Arial"/>
                <w:sz w:val="20"/>
                <w:szCs w:val="20"/>
              </w:rPr>
              <w:t>12.2</w:t>
            </w:r>
          </w:p>
        </w:tc>
        <w:tc>
          <w:tcPr>
            <w:tcW w:w="6945" w:type="dxa"/>
          </w:tcPr>
          <w:p w14:paraId="78ABA5AC" w14:textId="77777777" w:rsidR="00BA69E3" w:rsidRPr="00905E4B" w:rsidRDefault="00935186"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Przestarzałe bądź niewystarczające wyposażenie pracowni praktycznej nauki zawodu</w:t>
            </w:r>
          </w:p>
        </w:tc>
        <w:tc>
          <w:tcPr>
            <w:tcW w:w="1242" w:type="dxa"/>
          </w:tcPr>
          <w:p w14:paraId="6BFFA57A" w14:textId="77777777" w:rsidR="00BA69E3" w:rsidRPr="00905E4B" w:rsidRDefault="00935186"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92,1%</w:t>
            </w:r>
          </w:p>
        </w:tc>
      </w:tr>
      <w:tr w:rsidR="00BA69E3" w:rsidRPr="00905E4B" w14:paraId="77D910E0" w14:textId="77777777" w:rsidTr="007B5F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3BB232B5" w14:textId="77777777" w:rsidR="00BA69E3" w:rsidRPr="00905E4B" w:rsidRDefault="00BA69E3" w:rsidP="00DF64C7">
            <w:pPr>
              <w:jc w:val="left"/>
              <w:rPr>
                <w:rFonts w:cs="Arial"/>
                <w:sz w:val="20"/>
                <w:szCs w:val="20"/>
              </w:rPr>
            </w:pPr>
          </w:p>
        </w:tc>
        <w:tc>
          <w:tcPr>
            <w:tcW w:w="6945" w:type="dxa"/>
          </w:tcPr>
          <w:p w14:paraId="3E5010A3" w14:textId="77777777" w:rsidR="00BA69E3" w:rsidRPr="00905E4B" w:rsidRDefault="00935186"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Brak sali praktycznej nauki zawodu</w:t>
            </w:r>
          </w:p>
        </w:tc>
        <w:tc>
          <w:tcPr>
            <w:tcW w:w="1242" w:type="dxa"/>
          </w:tcPr>
          <w:p w14:paraId="209B109D" w14:textId="77777777" w:rsidR="00BA69E3" w:rsidRPr="00905E4B" w:rsidRDefault="00935186"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26,3%</w:t>
            </w:r>
          </w:p>
        </w:tc>
      </w:tr>
      <w:tr w:rsidR="00BA69E3" w:rsidRPr="00905E4B" w14:paraId="474E84E7" w14:textId="77777777" w:rsidTr="007B5F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5D696A44" w14:textId="77777777" w:rsidR="00BA69E3" w:rsidRPr="00905E4B" w:rsidRDefault="00BA69E3" w:rsidP="00DF64C7">
            <w:pPr>
              <w:jc w:val="left"/>
              <w:rPr>
                <w:rFonts w:cs="Arial"/>
                <w:sz w:val="20"/>
                <w:szCs w:val="20"/>
              </w:rPr>
            </w:pPr>
          </w:p>
        </w:tc>
        <w:tc>
          <w:tcPr>
            <w:tcW w:w="6945" w:type="dxa"/>
          </w:tcPr>
          <w:p w14:paraId="301EAD83" w14:textId="77777777" w:rsidR="00BA69E3" w:rsidRPr="00905E4B" w:rsidRDefault="00935186"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Niedostosowanie obiektu do potrzeb osób z niepełnosprawnościami</w:t>
            </w:r>
          </w:p>
        </w:tc>
        <w:tc>
          <w:tcPr>
            <w:tcW w:w="1242" w:type="dxa"/>
          </w:tcPr>
          <w:p w14:paraId="23F34944" w14:textId="77777777" w:rsidR="00BA69E3" w:rsidRPr="00905E4B" w:rsidRDefault="00935186"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18,4%</w:t>
            </w:r>
          </w:p>
        </w:tc>
      </w:tr>
      <w:tr w:rsidR="00935186" w:rsidRPr="00905E4B" w14:paraId="04E0F5EF" w14:textId="77777777" w:rsidTr="007B5F7E">
        <w:trPr>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2A4D6B89" w14:textId="77777777" w:rsidR="00935186" w:rsidRPr="00905E4B" w:rsidRDefault="00935186" w:rsidP="00DF64C7">
            <w:pPr>
              <w:jc w:val="left"/>
              <w:rPr>
                <w:rFonts w:cs="Arial"/>
                <w:sz w:val="20"/>
                <w:szCs w:val="20"/>
              </w:rPr>
            </w:pPr>
          </w:p>
        </w:tc>
        <w:tc>
          <w:tcPr>
            <w:tcW w:w="6945" w:type="dxa"/>
          </w:tcPr>
          <w:p w14:paraId="77232389" w14:textId="77777777" w:rsidR="00935186" w:rsidRPr="00905E4B" w:rsidRDefault="00935186"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Przestarzałe bądź niewystarczające wyposażenie laboratorium</w:t>
            </w:r>
          </w:p>
        </w:tc>
        <w:tc>
          <w:tcPr>
            <w:tcW w:w="1242" w:type="dxa"/>
          </w:tcPr>
          <w:p w14:paraId="1A172486" w14:textId="77777777" w:rsidR="00935186" w:rsidRPr="00905E4B" w:rsidRDefault="00935186"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2,6%</w:t>
            </w:r>
          </w:p>
        </w:tc>
      </w:tr>
      <w:tr w:rsidR="00935186" w:rsidRPr="00905E4B" w14:paraId="559D8A4A" w14:textId="77777777" w:rsidTr="007B5F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Pr>
          <w:p w14:paraId="45478FB7" w14:textId="77777777" w:rsidR="00935186" w:rsidRPr="00905E4B" w:rsidRDefault="00935186" w:rsidP="00DF64C7">
            <w:pPr>
              <w:jc w:val="left"/>
              <w:rPr>
                <w:rFonts w:cs="Arial"/>
                <w:sz w:val="20"/>
                <w:szCs w:val="20"/>
              </w:rPr>
            </w:pPr>
          </w:p>
        </w:tc>
        <w:tc>
          <w:tcPr>
            <w:tcW w:w="6945" w:type="dxa"/>
          </w:tcPr>
          <w:p w14:paraId="65613AAB" w14:textId="77777777" w:rsidR="00935186" w:rsidRPr="00905E4B" w:rsidRDefault="00935186"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Brak laboratorium</w:t>
            </w:r>
          </w:p>
        </w:tc>
        <w:tc>
          <w:tcPr>
            <w:tcW w:w="1242" w:type="dxa"/>
          </w:tcPr>
          <w:p w14:paraId="5E148E22" w14:textId="77777777" w:rsidR="00935186" w:rsidRPr="00905E4B" w:rsidRDefault="00935186"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905E4B">
              <w:rPr>
                <w:rFonts w:eastAsia="Times New Roman" w:cs="Arial"/>
                <w:color w:val="000000"/>
                <w:sz w:val="20"/>
                <w:szCs w:val="20"/>
                <w:lang w:eastAsia="pl-PL"/>
              </w:rPr>
              <w:t>0,0%</w:t>
            </w:r>
          </w:p>
        </w:tc>
      </w:tr>
    </w:tbl>
    <w:p w14:paraId="17CF0DDB" w14:textId="77777777" w:rsidR="00093418" w:rsidRDefault="00935186" w:rsidP="00DF64C7">
      <w:pPr>
        <w:pStyle w:val="podpisrdailustracji"/>
        <w:spacing w:line="271" w:lineRule="auto"/>
        <w:jc w:val="left"/>
      </w:pPr>
      <w:r>
        <w:t>Źródło: opracowanie własne na podstawie badania CAWI/CATI z beneficjentami OP XII, n=94</w:t>
      </w:r>
    </w:p>
    <w:p w14:paraId="7D533D48" w14:textId="7879EBB0" w:rsidR="002C35A6" w:rsidRDefault="002C35A6" w:rsidP="00DF64C7">
      <w:pPr>
        <w:pStyle w:val="Legenda"/>
        <w:spacing w:line="271" w:lineRule="auto"/>
        <w:jc w:val="left"/>
      </w:pPr>
      <w:bookmarkStart w:id="40" w:name="_Toc33457220"/>
      <w:r>
        <w:t xml:space="preserve">Tabela </w:t>
      </w:r>
      <w:r w:rsidR="00AB65C6">
        <w:rPr>
          <w:noProof/>
        </w:rPr>
        <w:fldChar w:fldCharType="begin"/>
      </w:r>
      <w:r w:rsidR="00AB65C6">
        <w:rPr>
          <w:noProof/>
        </w:rPr>
        <w:instrText xml:space="preserve"> SEQ Tabela \* ARABIC </w:instrText>
      </w:r>
      <w:r w:rsidR="00AB65C6">
        <w:rPr>
          <w:noProof/>
        </w:rPr>
        <w:fldChar w:fldCharType="separate"/>
      </w:r>
      <w:r w:rsidR="00A8147E">
        <w:rPr>
          <w:noProof/>
        </w:rPr>
        <w:t>22</w:t>
      </w:r>
      <w:r w:rsidR="00AB65C6">
        <w:rPr>
          <w:noProof/>
        </w:rPr>
        <w:fldChar w:fldCharType="end"/>
      </w:r>
      <w:r w:rsidR="00905E4B">
        <w:rPr>
          <w:noProof/>
        </w:rPr>
        <w:t>.</w:t>
      </w:r>
      <w:r>
        <w:t xml:space="preserve"> Przedsięwzięcia, które </w:t>
      </w:r>
      <w:r w:rsidRPr="00D70AA8">
        <w:t>w największym stopniu odpowiadają na potrzeby placów</w:t>
      </w:r>
      <w:r>
        <w:t>ek edukacyjnych – w tabeli uwzględniono odpowiedzi „raczej odpowiada” i „zdecydowanie odpowiada”</w:t>
      </w:r>
      <w:bookmarkEnd w:id="40"/>
    </w:p>
    <w:tbl>
      <w:tblPr>
        <w:tblStyle w:val="Tabelasiatki5ciemnaakcent61"/>
        <w:tblW w:w="0" w:type="auto"/>
        <w:tblLook w:val="04A0" w:firstRow="1" w:lastRow="0" w:firstColumn="1" w:lastColumn="0" w:noHBand="0" w:noVBand="1"/>
        <w:tblCaption w:val="Przedsięwzięcia, które w największym stopniu odpowiadają na potrzeby placówek edukacyjnych – w tabeli uwzględniono odpowiedzi „raczej odpowiada” i „zdecydowanie odpowiada”"/>
        <w:tblDescription w:val="W tabeli przedstawiono przedsięwzięcia, które w największym stopniu odpowiadają na potrzeby placówek edukacyjnych, na podstawie wypowiedzi nauczycieli i dyrektorów wspartych placówek."/>
      </w:tblPr>
      <w:tblGrid>
        <w:gridCol w:w="1100"/>
        <w:gridCol w:w="6525"/>
        <w:gridCol w:w="1435"/>
      </w:tblGrid>
      <w:tr w:rsidR="00093418" w:rsidRPr="002C35A6" w14:paraId="4A9A093A" w14:textId="77777777" w:rsidTr="007B5F7E">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1101" w:type="dxa"/>
          </w:tcPr>
          <w:p w14:paraId="7D62F23B" w14:textId="77777777" w:rsidR="00093418" w:rsidRPr="002C35A6" w:rsidRDefault="00093418" w:rsidP="00DF64C7">
            <w:pPr>
              <w:jc w:val="left"/>
              <w:rPr>
                <w:rFonts w:cs="Arial"/>
                <w:sz w:val="20"/>
                <w:szCs w:val="20"/>
              </w:rPr>
            </w:pPr>
            <w:r w:rsidRPr="002C35A6">
              <w:rPr>
                <w:rFonts w:cs="Arial"/>
                <w:sz w:val="20"/>
                <w:szCs w:val="20"/>
              </w:rPr>
              <w:t>Działanie</w:t>
            </w:r>
          </w:p>
        </w:tc>
        <w:tc>
          <w:tcPr>
            <w:tcW w:w="6662" w:type="dxa"/>
          </w:tcPr>
          <w:p w14:paraId="57F3C408" w14:textId="77777777" w:rsidR="00093418" w:rsidRPr="002C35A6" w:rsidRDefault="00093418"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2C35A6">
              <w:rPr>
                <w:rFonts w:cs="Arial"/>
                <w:sz w:val="20"/>
                <w:szCs w:val="20"/>
              </w:rPr>
              <w:t>Przedsięwzięcia</w:t>
            </w:r>
          </w:p>
        </w:tc>
        <w:tc>
          <w:tcPr>
            <w:tcW w:w="1449" w:type="dxa"/>
          </w:tcPr>
          <w:p w14:paraId="3DB457D3" w14:textId="77777777" w:rsidR="00093418" w:rsidRPr="002C35A6" w:rsidRDefault="00093418"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2C35A6">
              <w:rPr>
                <w:rFonts w:cs="Arial"/>
                <w:sz w:val="20"/>
                <w:szCs w:val="20"/>
              </w:rPr>
              <w:t>Wartość %</w:t>
            </w:r>
          </w:p>
        </w:tc>
      </w:tr>
      <w:tr w:rsidR="00093418" w:rsidRPr="002C35A6" w14:paraId="133ABA79" w14:textId="77777777" w:rsidTr="007B5F7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1260CC2B" w14:textId="77777777" w:rsidR="00093418" w:rsidRPr="002C35A6" w:rsidRDefault="00093418" w:rsidP="00DF64C7">
            <w:pPr>
              <w:jc w:val="left"/>
              <w:rPr>
                <w:rFonts w:cs="Arial"/>
                <w:sz w:val="20"/>
                <w:szCs w:val="20"/>
              </w:rPr>
            </w:pPr>
            <w:r w:rsidRPr="002C35A6">
              <w:rPr>
                <w:rFonts w:cs="Arial"/>
                <w:sz w:val="20"/>
                <w:szCs w:val="20"/>
              </w:rPr>
              <w:t>1</w:t>
            </w:r>
            <w:r w:rsidR="00372426" w:rsidRPr="002C35A6">
              <w:rPr>
                <w:rFonts w:cs="Arial"/>
                <w:sz w:val="20"/>
                <w:szCs w:val="20"/>
              </w:rPr>
              <w:t>2</w:t>
            </w:r>
            <w:r w:rsidRPr="002C35A6">
              <w:rPr>
                <w:rFonts w:cs="Arial"/>
                <w:sz w:val="20"/>
                <w:szCs w:val="20"/>
              </w:rPr>
              <w:t>.1</w:t>
            </w:r>
          </w:p>
          <w:p w14:paraId="268535C9" w14:textId="77777777" w:rsidR="00093418" w:rsidRPr="002C35A6" w:rsidRDefault="00093418" w:rsidP="00DF64C7">
            <w:pPr>
              <w:jc w:val="left"/>
              <w:rPr>
                <w:rFonts w:cs="Arial"/>
                <w:sz w:val="20"/>
                <w:szCs w:val="20"/>
              </w:rPr>
            </w:pPr>
          </w:p>
        </w:tc>
        <w:tc>
          <w:tcPr>
            <w:tcW w:w="6662" w:type="dxa"/>
          </w:tcPr>
          <w:p w14:paraId="5F6D2148" w14:textId="77777777" w:rsidR="00093418" w:rsidRPr="002C35A6"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2C35A6">
              <w:rPr>
                <w:rFonts w:cs="Arial"/>
                <w:sz w:val="20"/>
                <w:szCs w:val="20"/>
              </w:rPr>
              <w:t>Doposażenie placówki w niezbędny sprzęt i materiały dydaktyczne</w:t>
            </w:r>
          </w:p>
        </w:tc>
        <w:tc>
          <w:tcPr>
            <w:tcW w:w="1449" w:type="dxa"/>
          </w:tcPr>
          <w:p w14:paraId="78A2A902" w14:textId="77777777" w:rsidR="00093418" w:rsidRPr="002C35A6" w:rsidRDefault="002C35A6" w:rsidP="008F612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C35A6">
              <w:rPr>
                <w:rFonts w:cs="Arial"/>
                <w:color w:val="000000"/>
                <w:sz w:val="20"/>
                <w:szCs w:val="20"/>
              </w:rPr>
              <w:t>100,0%</w:t>
            </w:r>
          </w:p>
        </w:tc>
      </w:tr>
      <w:tr w:rsidR="00093418" w:rsidRPr="002C35A6" w14:paraId="6C828C45" w14:textId="77777777" w:rsidTr="007B5F7E">
        <w:trPr>
          <w:trHeight w:val="57"/>
        </w:trPr>
        <w:tc>
          <w:tcPr>
            <w:cnfStyle w:val="001000000000" w:firstRow="0" w:lastRow="0" w:firstColumn="1" w:lastColumn="0" w:oddVBand="0" w:evenVBand="0" w:oddHBand="0" w:evenHBand="0" w:firstRowFirstColumn="0" w:firstRowLastColumn="0" w:lastRowFirstColumn="0" w:lastRowLastColumn="0"/>
            <w:tcW w:w="1101" w:type="dxa"/>
            <w:vMerge/>
          </w:tcPr>
          <w:p w14:paraId="4F107A77" w14:textId="77777777" w:rsidR="00093418" w:rsidRPr="002C35A6" w:rsidRDefault="00093418" w:rsidP="00DF64C7">
            <w:pPr>
              <w:jc w:val="left"/>
              <w:rPr>
                <w:rFonts w:cs="Arial"/>
                <w:sz w:val="20"/>
                <w:szCs w:val="20"/>
              </w:rPr>
            </w:pPr>
          </w:p>
        </w:tc>
        <w:tc>
          <w:tcPr>
            <w:tcW w:w="6662" w:type="dxa"/>
          </w:tcPr>
          <w:p w14:paraId="4636FE26" w14:textId="77777777" w:rsidR="00093418" w:rsidRPr="002C35A6"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2C35A6">
              <w:rPr>
                <w:rFonts w:cs="Arial"/>
                <w:sz w:val="20"/>
                <w:szCs w:val="20"/>
              </w:rPr>
              <w:t>Rozszerzenie oferty o dodatkowe zajęcia wyrównujące szanse edukacyjne dzieci</w:t>
            </w:r>
          </w:p>
        </w:tc>
        <w:tc>
          <w:tcPr>
            <w:tcW w:w="1449" w:type="dxa"/>
          </w:tcPr>
          <w:p w14:paraId="46C0C641" w14:textId="77777777" w:rsidR="00093418" w:rsidRPr="002C35A6" w:rsidRDefault="002C35A6" w:rsidP="008F612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2C35A6">
              <w:rPr>
                <w:rFonts w:cs="Arial"/>
                <w:color w:val="000000"/>
                <w:sz w:val="20"/>
                <w:szCs w:val="20"/>
              </w:rPr>
              <w:t>100,0%</w:t>
            </w:r>
          </w:p>
        </w:tc>
      </w:tr>
      <w:tr w:rsidR="00093418" w:rsidRPr="002C35A6" w14:paraId="4C87E6DF" w14:textId="77777777" w:rsidTr="007B5F7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01" w:type="dxa"/>
            <w:vMerge/>
          </w:tcPr>
          <w:p w14:paraId="674C190B" w14:textId="77777777" w:rsidR="00093418" w:rsidRPr="002C35A6" w:rsidRDefault="00093418" w:rsidP="00DF64C7">
            <w:pPr>
              <w:jc w:val="left"/>
              <w:rPr>
                <w:rFonts w:cs="Arial"/>
                <w:sz w:val="20"/>
                <w:szCs w:val="20"/>
              </w:rPr>
            </w:pPr>
          </w:p>
        </w:tc>
        <w:tc>
          <w:tcPr>
            <w:tcW w:w="6662" w:type="dxa"/>
          </w:tcPr>
          <w:p w14:paraId="6D699D13" w14:textId="77777777" w:rsidR="00093418" w:rsidRPr="002C35A6"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2C35A6">
              <w:rPr>
                <w:rFonts w:cs="Arial"/>
                <w:sz w:val="20"/>
                <w:szCs w:val="20"/>
              </w:rPr>
              <w:t>Doskonalenie umiejętności, kompetencji lub kwalifikacji nauczycieli ośrodków wychowania przedszkolnego</w:t>
            </w:r>
          </w:p>
        </w:tc>
        <w:tc>
          <w:tcPr>
            <w:tcW w:w="1449" w:type="dxa"/>
          </w:tcPr>
          <w:p w14:paraId="07BBD931" w14:textId="77777777" w:rsidR="00093418" w:rsidRPr="002C35A6" w:rsidRDefault="002C35A6" w:rsidP="008F612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C35A6">
              <w:rPr>
                <w:rFonts w:cs="Arial"/>
                <w:color w:val="000000"/>
                <w:sz w:val="20"/>
                <w:szCs w:val="20"/>
              </w:rPr>
              <w:t>97,5%</w:t>
            </w:r>
          </w:p>
        </w:tc>
      </w:tr>
      <w:tr w:rsidR="00093418" w:rsidRPr="002C35A6" w14:paraId="62290222" w14:textId="77777777" w:rsidTr="007B5F7E">
        <w:trPr>
          <w:trHeight w:val="57"/>
        </w:trPr>
        <w:tc>
          <w:tcPr>
            <w:cnfStyle w:val="001000000000" w:firstRow="0" w:lastRow="0" w:firstColumn="1" w:lastColumn="0" w:oddVBand="0" w:evenVBand="0" w:oddHBand="0" w:evenHBand="0" w:firstRowFirstColumn="0" w:firstRowLastColumn="0" w:lastRowFirstColumn="0" w:lastRowLastColumn="0"/>
            <w:tcW w:w="1101" w:type="dxa"/>
            <w:vMerge/>
          </w:tcPr>
          <w:p w14:paraId="14B0CA16" w14:textId="77777777" w:rsidR="00093418" w:rsidRPr="002C35A6" w:rsidRDefault="00093418" w:rsidP="00DF64C7">
            <w:pPr>
              <w:jc w:val="left"/>
              <w:rPr>
                <w:rFonts w:cs="Arial"/>
                <w:sz w:val="20"/>
                <w:szCs w:val="20"/>
              </w:rPr>
            </w:pPr>
          </w:p>
        </w:tc>
        <w:tc>
          <w:tcPr>
            <w:tcW w:w="6662" w:type="dxa"/>
          </w:tcPr>
          <w:p w14:paraId="5D4575FF" w14:textId="77777777" w:rsidR="00093418" w:rsidRPr="002C35A6"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2C35A6">
              <w:rPr>
                <w:rFonts w:cs="Arial"/>
                <w:sz w:val="20"/>
                <w:szCs w:val="20"/>
              </w:rPr>
              <w:t>Dostosowanie istniejących miejsc wychowania przedszkolnego do potrzeb dzieci z niepełnosprawnościami lub realizacja dodatkowej oferty dla takich dzieci</w:t>
            </w:r>
          </w:p>
        </w:tc>
        <w:tc>
          <w:tcPr>
            <w:tcW w:w="1449" w:type="dxa"/>
          </w:tcPr>
          <w:p w14:paraId="4CCCA6D4" w14:textId="77777777" w:rsidR="00093418" w:rsidRPr="002C35A6" w:rsidRDefault="002C35A6" w:rsidP="008F612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2C35A6">
              <w:rPr>
                <w:rFonts w:cs="Arial"/>
                <w:color w:val="000000"/>
                <w:sz w:val="20"/>
                <w:szCs w:val="20"/>
              </w:rPr>
              <w:t>97,5%</w:t>
            </w:r>
          </w:p>
        </w:tc>
      </w:tr>
      <w:tr w:rsidR="00093418" w:rsidRPr="002C35A6" w14:paraId="2658B74A" w14:textId="77777777" w:rsidTr="007B5F7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01" w:type="dxa"/>
            <w:vMerge/>
          </w:tcPr>
          <w:p w14:paraId="5A43BA80" w14:textId="77777777" w:rsidR="00093418" w:rsidRPr="002C35A6" w:rsidRDefault="00093418" w:rsidP="00DF64C7">
            <w:pPr>
              <w:jc w:val="left"/>
              <w:rPr>
                <w:rFonts w:cs="Arial"/>
                <w:sz w:val="20"/>
                <w:szCs w:val="20"/>
              </w:rPr>
            </w:pPr>
          </w:p>
        </w:tc>
        <w:tc>
          <w:tcPr>
            <w:tcW w:w="6662" w:type="dxa"/>
          </w:tcPr>
          <w:p w14:paraId="7356ACC5" w14:textId="77777777" w:rsidR="00093418" w:rsidRPr="002C35A6"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2C35A6">
              <w:rPr>
                <w:rFonts w:cs="Arial"/>
                <w:sz w:val="20"/>
                <w:szCs w:val="20"/>
              </w:rPr>
              <w:t>Tworzenie nowych miejsc wychowania przedszkolnego</w:t>
            </w:r>
          </w:p>
        </w:tc>
        <w:tc>
          <w:tcPr>
            <w:tcW w:w="1449" w:type="dxa"/>
          </w:tcPr>
          <w:p w14:paraId="5F2EED76" w14:textId="77777777" w:rsidR="00093418" w:rsidRPr="002C35A6" w:rsidRDefault="002C35A6" w:rsidP="008F6121">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C35A6">
              <w:rPr>
                <w:rFonts w:cs="Arial"/>
                <w:color w:val="000000"/>
                <w:sz w:val="20"/>
                <w:szCs w:val="20"/>
              </w:rPr>
              <w:t>100,0%</w:t>
            </w:r>
          </w:p>
        </w:tc>
      </w:tr>
      <w:tr w:rsidR="00093418" w:rsidRPr="002C35A6" w14:paraId="15D270BE" w14:textId="77777777" w:rsidTr="007B5F7E">
        <w:trPr>
          <w:trHeight w:val="57"/>
        </w:trPr>
        <w:tc>
          <w:tcPr>
            <w:cnfStyle w:val="001000000000" w:firstRow="0" w:lastRow="0" w:firstColumn="1" w:lastColumn="0" w:oddVBand="0" w:evenVBand="0" w:oddHBand="0" w:evenHBand="0" w:firstRowFirstColumn="0" w:firstRowLastColumn="0" w:lastRowFirstColumn="0" w:lastRowLastColumn="0"/>
            <w:tcW w:w="1101" w:type="dxa"/>
            <w:vMerge/>
          </w:tcPr>
          <w:p w14:paraId="347C492E" w14:textId="77777777" w:rsidR="00093418" w:rsidRPr="002C35A6" w:rsidRDefault="00093418" w:rsidP="00DF64C7">
            <w:pPr>
              <w:jc w:val="left"/>
              <w:rPr>
                <w:rFonts w:cs="Arial"/>
                <w:sz w:val="20"/>
                <w:szCs w:val="20"/>
              </w:rPr>
            </w:pPr>
          </w:p>
        </w:tc>
        <w:tc>
          <w:tcPr>
            <w:tcW w:w="6662" w:type="dxa"/>
          </w:tcPr>
          <w:p w14:paraId="1F104580" w14:textId="77777777" w:rsidR="00093418" w:rsidRPr="002C35A6"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2C35A6">
              <w:rPr>
                <w:rFonts w:cs="Arial"/>
                <w:sz w:val="20"/>
                <w:szCs w:val="20"/>
              </w:rPr>
              <w:t>Wydłużenie godzin pracy przedszkola</w:t>
            </w:r>
          </w:p>
        </w:tc>
        <w:tc>
          <w:tcPr>
            <w:tcW w:w="1449" w:type="dxa"/>
          </w:tcPr>
          <w:p w14:paraId="4E470688" w14:textId="77777777" w:rsidR="00093418" w:rsidRPr="002C35A6" w:rsidRDefault="002C35A6" w:rsidP="008F6121">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2C35A6">
              <w:rPr>
                <w:rFonts w:cs="Arial"/>
                <w:color w:val="000000"/>
                <w:sz w:val="20"/>
                <w:szCs w:val="20"/>
              </w:rPr>
              <w:t>62,5%</w:t>
            </w:r>
          </w:p>
        </w:tc>
      </w:tr>
      <w:tr w:rsidR="00093418" w:rsidRPr="002C35A6" w14:paraId="5FA8B508" w14:textId="77777777" w:rsidTr="007B5F7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53BDAA0" w14:textId="77777777" w:rsidR="00093418" w:rsidRPr="002C35A6" w:rsidRDefault="00093418" w:rsidP="00DF64C7">
            <w:pPr>
              <w:jc w:val="left"/>
              <w:rPr>
                <w:rFonts w:cs="Arial"/>
                <w:sz w:val="20"/>
                <w:szCs w:val="20"/>
              </w:rPr>
            </w:pPr>
            <w:r w:rsidRPr="002C35A6">
              <w:rPr>
                <w:rFonts w:cs="Arial"/>
                <w:sz w:val="20"/>
                <w:szCs w:val="20"/>
              </w:rPr>
              <w:t>12.2</w:t>
            </w:r>
          </w:p>
        </w:tc>
        <w:tc>
          <w:tcPr>
            <w:tcW w:w="6662" w:type="dxa"/>
          </w:tcPr>
          <w:p w14:paraId="243F0F68" w14:textId="77777777" w:rsidR="00093418" w:rsidRPr="002C35A6"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2C35A6">
              <w:rPr>
                <w:rFonts w:cs="Arial"/>
                <w:sz w:val="20"/>
                <w:szCs w:val="20"/>
              </w:rPr>
              <w:t>Doskonalenie umiejętności i kompetencji zawodowych nauczycieli zawodu i instruktorów praktycznej nauki zawodu</w:t>
            </w:r>
          </w:p>
        </w:tc>
        <w:tc>
          <w:tcPr>
            <w:tcW w:w="1449" w:type="dxa"/>
          </w:tcPr>
          <w:p w14:paraId="223ED61C" w14:textId="77777777" w:rsidR="00093418" w:rsidRPr="002C35A6" w:rsidRDefault="00093418"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2C35A6">
              <w:rPr>
                <w:rFonts w:cs="Arial"/>
                <w:sz w:val="20"/>
                <w:szCs w:val="20"/>
              </w:rPr>
              <w:t>99,3%</w:t>
            </w:r>
          </w:p>
        </w:tc>
      </w:tr>
      <w:tr w:rsidR="00093418" w:rsidRPr="002C35A6" w14:paraId="6C5CE0D3" w14:textId="77777777" w:rsidTr="007B5F7E">
        <w:trPr>
          <w:trHeight w:val="57"/>
        </w:trPr>
        <w:tc>
          <w:tcPr>
            <w:cnfStyle w:val="001000000000" w:firstRow="0" w:lastRow="0" w:firstColumn="1" w:lastColumn="0" w:oddVBand="0" w:evenVBand="0" w:oddHBand="0" w:evenHBand="0" w:firstRowFirstColumn="0" w:firstRowLastColumn="0" w:lastRowFirstColumn="0" w:lastRowLastColumn="0"/>
            <w:tcW w:w="1101" w:type="dxa"/>
            <w:vMerge/>
          </w:tcPr>
          <w:p w14:paraId="6635CAF9" w14:textId="77777777" w:rsidR="00093418" w:rsidRPr="002C35A6" w:rsidRDefault="00093418" w:rsidP="00DF64C7">
            <w:pPr>
              <w:jc w:val="left"/>
              <w:rPr>
                <w:rFonts w:cs="Arial"/>
                <w:sz w:val="20"/>
                <w:szCs w:val="20"/>
              </w:rPr>
            </w:pPr>
          </w:p>
        </w:tc>
        <w:tc>
          <w:tcPr>
            <w:tcW w:w="6662" w:type="dxa"/>
          </w:tcPr>
          <w:p w14:paraId="38B88ED8" w14:textId="77777777" w:rsidR="00093418" w:rsidRPr="002C35A6"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2C35A6">
              <w:rPr>
                <w:rFonts w:cs="Arial"/>
                <w:sz w:val="20"/>
                <w:szCs w:val="20"/>
              </w:rPr>
              <w:t>Podnoszenie umiejętności oraz uzyskiwanie kwalifikacji zawodowych przez uczniów i wzmacnianie ich zdolności do zatrudnienia</w:t>
            </w:r>
          </w:p>
        </w:tc>
        <w:tc>
          <w:tcPr>
            <w:tcW w:w="1449" w:type="dxa"/>
          </w:tcPr>
          <w:p w14:paraId="1B4CCCE3" w14:textId="77777777" w:rsidR="00093418" w:rsidRPr="002C35A6" w:rsidRDefault="00093418"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2C35A6">
              <w:rPr>
                <w:rFonts w:cs="Arial"/>
                <w:sz w:val="20"/>
                <w:szCs w:val="20"/>
              </w:rPr>
              <w:t>99,3%</w:t>
            </w:r>
          </w:p>
        </w:tc>
      </w:tr>
      <w:tr w:rsidR="00093418" w:rsidRPr="002C35A6" w14:paraId="50A0D4B3" w14:textId="77777777" w:rsidTr="007B5F7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01" w:type="dxa"/>
            <w:vMerge/>
          </w:tcPr>
          <w:p w14:paraId="4229FFFB" w14:textId="77777777" w:rsidR="00093418" w:rsidRPr="002C35A6" w:rsidRDefault="00093418" w:rsidP="00DF64C7">
            <w:pPr>
              <w:jc w:val="left"/>
              <w:rPr>
                <w:rFonts w:cs="Arial"/>
                <w:sz w:val="20"/>
                <w:szCs w:val="20"/>
              </w:rPr>
            </w:pPr>
          </w:p>
        </w:tc>
        <w:tc>
          <w:tcPr>
            <w:tcW w:w="6662" w:type="dxa"/>
          </w:tcPr>
          <w:p w14:paraId="604E0770" w14:textId="77777777" w:rsidR="00093418" w:rsidRPr="002C35A6"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2C35A6">
              <w:rPr>
                <w:rFonts w:cs="Arial"/>
                <w:sz w:val="20"/>
                <w:szCs w:val="20"/>
              </w:rPr>
              <w:t>Dodatkowe zajęcia specjalistyczne (szkolenia i kursy zawodowe)</w:t>
            </w:r>
          </w:p>
        </w:tc>
        <w:tc>
          <w:tcPr>
            <w:tcW w:w="1449" w:type="dxa"/>
          </w:tcPr>
          <w:p w14:paraId="2C8049ED" w14:textId="77777777" w:rsidR="00093418" w:rsidRPr="002C35A6" w:rsidRDefault="00093418"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2C35A6">
              <w:rPr>
                <w:rFonts w:cs="Arial"/>
                <w:sz w:val="20"/>
                <w:szCs w:val="20"/>
              </w:rPr>
              <w:t>99,3%</w:t>
            </w:r>
          </w:p>
        </w:tc>
      </w:tr>
      <w:tr w:rsidR="00093418" w:rsidRPr="002C35A6" w14:paraId="199C4C87" w14:textId="77777777" w:rsidTr="007B5F7E">
        <w:trPr>
          <w:trHeight w:val="57"/>
        </w:trPr>
        <w:tc>
          <w:tcPr>
            <w:cnfStyle w:val="001000000000" w:firstRow="0" w:lastRow="0" w:firstColumn="1" w:lastColumn="0" w:oddVBand="0" w:evenVBand="0" w:oddHBand="0" w:evenHBand="0" w:firstRowFirstColumn="0" w:firstRowLastColumn="0" w:lastRowFirstColumn="0" w:lastRowLastColumn="0"/>
            <w:tcW w:w="1101" w:type="dxa"/>
            <w:vMerge/>
          </w:tcPr>
          <w:p w14:paraId="450CBB6E" w14:textId="77777777" w:rsidR="00093418" w:rsidRPr="002C35A6" w:rsidRDefault="00093418" w:rsidP="00DF64C7">
            <w:pPr>
              <w:jc w:val="left"/>
              <w:rPr>
                <w:rFonts w:cs="Arial"/>
                <w:sz w:val="20"/>
                <w:szCs w:val="20"/>
              </w:rPr>
            </w:pPr>
          </w:p>
        </w:tc>
        <w:tc>
          <w:tcPr>
            <w:tcW w:w="6662" w:type="dxa"/>
          </w:tcPr>
          <w:p w14:paraId="147F5417" w14:textId="77777777" w:rsidR="00093418" w:rsidRPr="002C35A6" w:rsidRDefault="0009341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2C35A6">
              <w:rPr>
                <w:rFonts w:cs="Arial"/>
                <w:sz w:val="20"/>
                <w:szCs w:val="20"/>
              </w:rPr>
              <w:t>Stworzenie w szkole i placówkach prowadzących kształcenie zawodowe warunków kształcenia zawodu, odzwierciedlających naturalne warunki pracy</w:t>
            </w:r>
          </w:p>
        </w:tc>
        <w:tc>
          <w:tcPr>
            <w:tcW w:w="1449" w:type="dxa"/>
          </w:tcPr>
          <w:p w14:paraId="73C9A3C2" w14:textId="77777777" w:rsidR="00093418" w:rsidRPr="002C35A6" w:rsidRDefault="00093418" w:rsidP="008F6121">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2C35A6">
              <w:rPr>
                <w:rFonts w:cs="Arial"/>
                <w:sz w:val="20"/>
                <w:szCs w:val="20"/>
              </w:rPr>
              <w:t>98,7%</w:t>
            </w:r>
          </w:p>
        </w:tc>
      </w:tr>
      <w:tr w:rsidR="00093418" w:rsidRPr="002C35A6" w14:paraId="467DBFFA" w14:textId="77777777" w:rsidTr="007B5F7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101" w:type="dxa"/>
            <w:vMerge/>
          </w:tcPr>
          <w:p w14:paraId="1C30A50C" w14:textId="77777777" w:rsidR="00093418" w:rsidRPr="002C35A6" w:rsidRDefault="00093418" w:rsidP="00DF64C7">
            <w:pPr>
              <w:jc w:val="left"/>
              <w:rPr>
                <w:rFonts w:cs="Arial"/>
                <w:sz w:val="20"/>
                <w:szCs w:val="20"/>
              </w:rPr>
            </w:pPr>
          </w:p>
        </w:tc>
        <w:tc>
          <w:tcPr>
            <w:tcW w:w="6662" w:type="dxa"/>
          </w:tcPr>
          <w:p w14:paraId="11387436" w14:textId="77777777" w:rsidR="00093418" w:rsidRPr="002C35A6" w:rsidRDefault="0009341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2C35A6">
              <w:rPr>
                <w:rFonts w:cs="Arial"/>
                <w:sz w:val="20"/>
                <w:szCs w:val="20"/>
              </w:rPr>
              <w:t>Realizacja zajęć z zakresu doradztwa edukacyjno-zawodowego</w:t>
            </w:r>
          </w:p>
        </w:tc>
        <w:tc>
          <w:tcPr>
            <w:tcW w:w="1449" w:type="dxa"/>
          </w:tcPr>
          <w:p w14:paraId="3DCEED98" w14:textId="77777777" w:rsidR="00093418" w:rsidRPr="002C35A6" w:rsidRDefault="00093418" w:rsidP="008F6121">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2C35A6">
              <w:rPr>
                <w:rFonts w:cs="Arial"/>
                <w:sz w:val="20"/>
                <w:szCs w:val="20"/>
              </w:rPr>
              <w:t>94,7%</w:t>
            </w:r>
          </w:p>
        </w:tc>
      </w:tr>
    </w:tbl>
    <w:p w14:paraId="613AB8E7" w14:textId="77777777" w:rsidR="00E128D4" w:rsidRDefault="007E37EA" w:rsidP="00DF64C7">
      <w:pPr>
        <w:pStyle w:val="podpisrdailustracji"/>
        <w:spacing w:line="271" w:lineRule="auto"/>
        <w:jc w:val="left"/>
      </w:pPr>
      <w:r>
        <w:t>Źródło: opracowanie własne na podstawie badania CAWI/CATI z nauczycielami i dyrektorami wspartych placówek OP XII, n=1</w:t>
      </w:r>
      <w:r w:rsidR="00F20410">
        <w:t>6</w:t>
      </w:r>
      <w:r>
        <w:t>5.</w:t>
      </w:r>
    </w:p>
    <w:p w14:paraId="24D46304" w14:textId="77777777" w:rsidR="00BA7AFD" w:rsidRDefault="00BA7AFD" w:rsidP="00DF64C7">
      <w:pPr>
        <w:jc w:val="left"/>
      </w:pPr>
    </w:p>
    <w:p w14:paraId="02E755EA" w14:textId="77777777" w:rsidR="00BA7AFD" w:rsidRDefault="00BA7AFD" w:rsidP="00DF64C7">
      <w:pPr>
        <w:jc w:val="left"/>
      </w:pPr>
      <w:r>
        <w:t xml:space="preserve">Prócz przedstawionych powyżej wyników badań warto również wskazać, </w:t>
      </w:r>
      <w:r w:rsidR="00BA214A">
        <w:t>ż</w:t>
      </w:r>
      <w:r>
        <w:t xml:space="preserve">e przeprowadzona analiza wniosków o dofinansowanie zakończonych już projektów pozwoliła potwierdzić, </w:t>
      </w:r>
      <w:r w:rsidR="00BA214A">
        <w:t>iż</w:t>
      </w:r>
      <w:r>
        <w:t xml:space="preserve"> znaczna część potrzeb została już zaspokojona (dzięki ich realizacji), a poziom ten będzie rósł wraz z czasem (tj. z kolejnymi kończącymi się projektami).</w:t>
      </w:r>
    </w:p>
    <w:p w14:paraId="7FD7B417" w14:textId="77777777" w:rsidR="00095038" w:rsidRDefault="00BA7AFD" w:rsidP="00DF64C7">
      <w:pPr>
        <w:jc w:val="left"/>
      </w:pPr>
      <w:r>
        <w:t xml:space="preserve">Potwierdzają to wyniki badania z beneficjentami, których </w:t>
      </w:r>
      <w:r w:rsidR="00095038">
        <w:t>zdecydowana większość</w:t>
      </w:r>
      <w:r w:rsidR="00826B02">
        <w:t xml:space="preserve"> </w:t>
      </w:r>
      <w:r w:rsidR="0032365D">
        <w:t>(</w:t>
      </w:r>
      <w:r w:rsidR="00826B02">
        <w:t>97</w:t>
      </w:r>
      <w:r w:rsidR="0032365D">
        <w:t>,</w:t>
      </w:r>
      <w:r w:rsidR="00826B02">
        <w:t>8</w:t>
      </w:r>
      <w:r w:rsidR="0032365D">
        <w:t xml:space="preserve">%) </w:t>
      </w:r>
      <w:r w:rsidR="00095038">
        <w:t xml:space="preserve">uważa, że realizowany przez nich projekt pozwolił na </w:t>
      </w:r>
      <w:r w:rsidR="0032365D">
        <w:t xml:space="preserve">pełne </w:t>
      </w:r>
      <w:r w:rsidR="00095038">
        <w:t>zaspokojenie zidentyfikowanych na etapie diagnozy potrzeb.</w:t>
      </w:r>
    </w:p>
    <w:p w14:paraId="1124DE81" w14:textId="38B9F73F" w:rsidR="00095038" w:rsidRDefault="00095038" w:rsidP="00DF64C7">
      <w:pPr>
        <w:pStyle w:val="Legenda"/>
        <w:spacing w:line="271" w:lineRule="auto"/>
        <w:jc w:val="left"/>
      </w:pPr>
      <w:bookmarkStart w:id="41" w:name="_Toc33459789"/>
      <w:r>
        <w:t xml:space="preserve">Wykres </w:t>
      </w:r>
      <w:r w:rsidR="0014315B">
        <w:rPr>
          <w:noProof/>
        </w:rPr>
        <w:fldChar w:fldCharType="begin"/>
      </w:r>
      <w:r w:rsidR="0014315B">
        <w:rPr>
          <w:noProof/>
        </w:rPr>
        <w:instrText xml:space="preserve"> SEQ Wykres \* ARABIC </w:instrText>
      </w:r>
      <w:r w:rsidR="0014315B">
        <w:rPr>
          <w:noProof/>
        </w:rPr>
        <w:fldChar w:fldCharType="separate"/>
      </w:r>
      <w:r w:rsidR="00A8147E">
        <w:rPr>
          <w:noProof/>
        </w:rPr>
        <w:t>4</w:t>
      </w:r>
      <w:r w:rsidR="0014315B">
        <w:rPr>
          <w:noProof/>
        </w:rPr>
        <w:fldChar w:fldCharType="end"/>
      </w:r>
      <w:r w:rsidR="00337A71">
        <w:rPr>
          <w:noProof/>
        </w:rPr>
        <w:t>.</w:t>
      </w:r>
      <w:r>
        <w:t xml:space="preserve"> W </w:t>
      </w:r>
      <w:r w:rsidRPr="00EE597B">
        <w:t>jakim stopniu projekt pozwala/pozwolił na zaspokojenie zidentyfikowanych przez Państwa potrzeb placówek?</w:t>
      </w:r>
      <w:r>
        <w:t xml:space="preserve"> (w skali od 1 do 5, gdzie 1 oznacza, iż projekt zdecydowanie nie pozwolił, zaś 5, że zdecydowanie pozwolił na zaspokojenie potrzeb</w:t>
      </w:r>
      <w:r w:rsidR="0032365D">
        <w:t>)</w:t>
      </w:r>
      <w:r w:rsidR="00AB5B54">
        <w:t xml:space="preserve"> – OP XII</w:t>
      </w:r>
      <w:bookmarkEnd w:id="41"/>
    </w:p>
    <w:p w14:paraId="4E78C6EA" w14:textId="77777777" w:rsidR="00E128D4" w:rsidRDefault="00095038" w:rsidP="00DF64C7">
      <w:pPr>
        <w:pStyle w:val="podpisrdailustracji"/>
        <w:spacing w:line="271" w:lineRule="auto"/>
        <w:jc w:val="left"/>
      </w:pPr>
      <w:r>
        <w:rPr>
          <w:noProof/>
          <w:lang w:eastAsia="pl-PL"/>
        </w:rPr>
        <w:drawing>
          <wp:inline distT="0" distB="0" distL="0" distR="0" wp14:anchorId="12C007E0" wp14:editId="6BFAE966">
            <wp:extent cx="5753100" cy="1857375"/>
            <wp:effectExtent l="0" t="0" r="19050" b="9525"/>
            <wp:docPr id="34" name="Wykres 34" descr="Wykres przedstawia odpowiedź beneficjentów na pytanie: &quot;W jakim stopniu projekt pozwala/pozwolił na zaspokojenie zidentyfikowanych przez Państwa potrzeb placówek? w rozkładzie procentowym.&#10;Przygotowany został wykres kolumnowy w skali od 1 do 5, gdzie 1 oznacza, iż projekt zdecydowanie nie pozwolił, zaś 5, że zdecydowanie pozwolł na zaspokojenie potrzeb - dot. OP XII. Odpowiedzi beneficjentów przedstawiały się następująco:&#10;1 (0,0%), 2 (0,0%), 3 (2,1%), 4 (7,4%), 5 (90,4%)." title="W jakim stopniu projekt pozwala/pozwolił na zaspokojenie zidentyfikowanych przez Państwa potrzeb placówek? (w skali od 1 do 5, gdzie 1 oznacza, iż projekt zdecydowanie nie pozwolił, zaś 5, że zdecydowanie pozwolił na zaspokojenie potrzeb) – OP XII"/>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2365D" w:rsidRPr="0032365D">
        <w:t xml:space="preserve"> </w:t>
      </w:r>
      <w:r w:rsidR="0032365D">
        <w:t>Źródło: opracowanie własne na podstawie badania CAWI/CATI z beneficjentami</w:t>
      </w:r>
      <w:r w:rsidR="00AB5B54">
        <w:t xml:space="preserve"> OP XII</w:t>
      </w:r>
      <w:r w:rsidR="0032365D">
        <w:t>, n=</w:t>
      </w:r>
      <w:r w:rsidR="00AB5B54">
        <w:t>94</w:t>
      </w:r>
      <w:r w:rsidR="0032365D">
        <w:t>.</w:t>
      </w:r>
    </w:p>
    <w:p w14:paraId="0A73E6DD" w14:textId="77777777" w:rsidR="008C14B7" w:rsidRPr="008C14B7" w:rsidRDefault="008C14B7" w:rsidP="00DF64C7">
      <w:pPr>
        <w:jc w:val="left"/>
        <w:rPr>
          <w:rStyle w:val="Odwoanieintensywne"/>
        </w:rPr>
      </w:pPr>
      <w:r w:rsidRPr="008C14B7">
        <w:rPr>
          <w:rStyle w:val="Odwoanieintensywne"/>
        </w:rPr>
        <w:t>Podsumowanie</w:t>
      </w:r>
    </w:p>
    <w:p w14:paraId="26385DCF" w14:textId="77777777" w:rsidR="00591415" w:rsidRDefault="00591415" w:rsidP="00DF64C7">
      <w:pPr>
        <w:jc w:val="left"/>
      </w:pPr>
      <w:r>
        <w:t>Działania realizowane w ramach OP XI i OP XII pozwoliły na zaspokojenie szeregu zidentyfikowanych potrzeb</w:t>
      </w:r>
      <w:r w:rsidR="00F83B49">
        <w:t xml:space="preserve"> (określonych poprzez zakładane wartości docelowe)</w:t>
      </w:r>
      <w:r>
        <w:t>, już w 2019 roku</w:t>
      </w:r>
      <w:r w:rsidR="00BA7AFD">
        <w:t xml:space="preserve"> (30.09)</w:t>
      </w:r>
      <w:r>
        <w:t xml:space="preserve"> przekraczając założoną na 2023 rok wartość docelową zdecydowanej większości wskaźników produktów i rezultatów. Poddając analizie dostępne dane stwierdzić należy, iż wsparcie w ramach OP XI pozwoliło na przekroczenie zakładanej liczby miejsc wychowania przedszkolnego dofinansowanych w programie, liczby </w:t>
      </w:r>
      <w:r w:rsidRPr="00596377">
        <w:t>uczniów objętych wsparciem w zakresie rozwijania kompetencji kluczowych lub umiejętności uniwersalnych niezbędnych na rynku pracy w programie</w:t>
      </w:r>
      <w:r>
        <w:t>, liczby</w:t>
      </w:r>
      <w:r w:rsidRPr="00596377">
        <w:t xml:space="preserve"> szkół, których pracownie przedmiotowe zostały doposażone w programie</w:t>
      </w:r>
      <w:r>
        <w:t>, l</w:t>
      </w:r>
      <w:r w:rsidRPr="00596377">
        <w:t>iczba szkół i placówek systemu oświaty wyposażonych w ramach programu w sprzęt TIK do prowadzenia zajęć edukacyjnych</w:t>
      </w:r>
      <w:r>
        <w:t>, liczby</w:t>
      </w:r>
      <w:r w:rsidRPr="00596377">
        <w:t xml:space="preserve"> nauczycieli kształcenia zawodowego oraz instruktorów praktycznej nauki zawodu objętych wsparciem w programie</w:t>
      </w:r>
      <w:r>
        <w:t>, liczby</w:t>
      </w:r>
      <w:r w:rsidRPr="00596377">
        <w:t xml:space="preserve"> szkół i placówek kształcenia zawodowego doposażonych w programie w sprzęt i materiały dydaktyczne niezbędne do realizacji kształcenia zawodowego</w:t>
      </w:r>
      <w:r>
        <w:t>, liczby</w:t>
      </w:r>
      <w:r w:rsidRPr="00596377">
        <w:t xml:space="preserve"> osób uczestniczących w pozaszkolnych formach kształcenia w programie</w:t>
      </w:r>
      <w:r>
        <w:t>.</w:t>
      </w:r>
    </w:p>
    <w:p w14:paraId="5B7395C1" w14:textId="77777777" w:rsidR="00F83B49" w:rsidRDefault="00591415" w:rsidP="00DF64C7">
      <w:pPr>
        <w:jc w:val="left"/>
      </w:pPr>
      <w:r>
        <w:t xml:space="preserve">W ramach OP XI przekroczono </w:t>
      </w:r>
      <w:r w:rsidR="007E6F5A" w:rsidRPr="007E6F5A">
        <w:t xml:space="preserve">wartości docelowe wskaźników odnoszące się do </w:t>
      </w:r>
      <w:r>
        <w:t>liczb</w:t>
      </w:r>
      <w:r w:rsidR="007E6F5A">
        <w:t>y</w:t>
      </w:r>
      <w:r w:rsidRPr="00596377">
        <w:t xml:space="preserve"> szkół i placówek systemu oświaty wykorzystujących sprzęt TIK do prowadzenia zajęć edukacyjnych</w:t>
      </w:r>
      <w:r>
        <w:t>, liczb</w:t>
      </w:r>
      <w:r w:rsidR="007E6F5A">
        <w:t>y</w:t>
      </w:r>
      <w:r w:rsidRPr="00596377">
        <w:t xml:space="preserve"> uczniów, którzy nabyli kompetencje kluczowe lub umiejętności uniwersalne niezbędne na rynku pracy po opuszczeniu programu</w:t>
      </w:r>
      <w:r>
        <w:t>, liczb</w:t>
      </w:r>
      <w:r w:rsidR="007E6F5A">
        <w:t>y</w:t>
      </w:r>
      <w:r w:rsidRPr="00596377">
        <w:t xml:space="preserve"> szkół, w których pracowanie przedmiotowe wykorzystują doposażenie do prowadzenia zajęć edukacyjnych</w:t>
      </w:r>
      <w:r>
        <w:t>, liczb</w:t>
      </w:r>
      <w:r w:rsidR="007E6F5A">
        <w:t>y</w:t>
      </w:r>
      <w:r w:rsidRPr="00596377">
        <w:t xml:space="preserve"> szkół i placówek kształcenia zawodowego wykorzystujących doposażenie zakupione dzięki EFS</w:t>
      </w:r>
      <w:r>
        <w:t>,</w:t>
      </w:r>
      <w:r w:rsidRPr="00596377">
        <w:t xml:space="preserve"> </w:t>
      </w:r>
      <w:r>
        <w:t>liczb</w:t>
      </w:r>
      <w:r w:rsidR="007E6F5A">
        <w:t>y</w:t>
      </w:r>
      <w:r w:rsidRPr="00596377">
        <w:t xml:space="preserve"> nauczycieli kształcenia zawodowego oraz instruktorów praktycznej nauki zawodu, którzy uzyskali kwalifikacje lub nabyli kompetencje po opuszczeniu programu</w:t>
      </w:r>
      <w:r>
        <w:t xml:space="preserve">, oraz osiągnięto 2500% zakładanego wskaźnika dotyczącego liczby </w:t>
      </w:r>
      <w:r w:rsidRPr="00625419">
        <w:t>osób, które uzyskały kwalifikacje w ramach pozaszkolnych</w:t>
      </w:r>
      <w:r w:rsidR="00944FA2">
        <w:t xml:space="preserve"> </w:t>
      </w:r>
      <w:r w:rsidRPr="00625419">
        <w:t>form kształcenia</w:t>
      </w:r>
      <w:r>
        <w:t>, w ramach którego wsparto 17 724 osób z zakładanej wartości 709 osób.</w:t>
      </w:r>
    </w:p>
    <w:p w14:paraId="7C44F8DB" w14:textId="06342197" w:rsidR="00F83B49" w:rsidRDefault="00F83B49" w:rsidP="00DF64C7">
      <w:pPr>
        <w:jc w:val="left"/>
      </w:pPr>
      <w:r>
        <w:t xml:space="preserve">Niewątpliwie tak szeroka skala udzielonego wsparcia zmniejszyła zakres istniejącego zapotrzebowania w regionie, lecz nie wpłynęła na jego zupełne zaspokojenie. W tym przypadku należy wskazać na dalsze występowanie zapotrzebowania m.in. na tworzenie miejsc przedszkolnych na terenach wiejskich, czy organizacji dodatkowych zajęć zwiększających szanse edukacyjne, rozwoju </w:t>
      </w:r>
      <w:r w:rsidR="00BA214A">
        <w:t>umiejętności</w:t>
      </w:r>
      <w:r>
        <w:t xml:space="preserve"> kluczowych oraz doposażania pracowni szkolnych (co wynika z jednej strony z charakteru potrzeb (napływ nowych uczniów determinujący potrzebę dalszego wsparcia) oraz po części również ze stosunkowo niskiego poziomu wsparcia szkolnictwa zawodowego w poprzedniej perspektywie finansowej, co wygenerowało olbrzymie zapotrzebowanie na je</w:t>
      </w:r>
      <w:r w:rsidR="008116AD">
        <w:t>go</w:t>
      </w:r>
      <w:r>
        <w:t xml:space="preserve"> rozwój i modernizację towarzyszącej </w:t>
      </w:r>
      <w:r w:rsidR="008116AD">
        <w:t xml:space="preserve">mu </w:t>
      </w:r>
      <w:r>
        <w:t>infrastruktury).</w:t>
      </w:r>
      <w:r w:rsidRPr="00F83B49">
        <w:t xml:space="preserve"> </w:t>
      </w:r>
      <w:r>
        <w:t>Niedofinansowanie sektora edukacji zawodowej skutkowało tym samym pogłębiającymi się potrzebami, które mimo szerokiego wsparcia oferowanego w tejże perspektywie finansowej nadal pozostają aktualne (przy czym dla właściwego wsparcia w ramach kolejnej perspektywy finansowej należy przeprowadzić aktualizację analizy potrzeb w tym zakresie).</w:t>
      </w:r>
    </w:p>
    <w:p w14:paraId="7D0BF166" w14:textId="34217B41" w:rsidR="00B85337" w:rsidRDefault="00B85337" w:rsidP="00DF64C7">
      <w:pPr>
        <w:jc w:val="left"/>
      </w:pPr>
      <w:r>
        <w:t>Również zdaniem</w:t>
      </w:r>
      <w:r w:rsidR="00591415">
        <w:t xml:space="preserve"> uczestników zrealizowanych badań</w:t>
      </w:r>
      <w:r w:rsidR="008116AD">
        <w:t>,</w:t>
      </w:r>
      <w:r w:rsidR="00591415" w:rsidRPr="000A6F92">
        <w:t xml:space="preserve"> wsparcie dla sektora edukacji zawodowej </w:t>
      </w:r>
      <w:r w:rsidR="00591415">
        <w:t>należy kontynuować z uwagi na fakt, iż stała realizacja działań pozwala na ciągłe podnoszenie jakości oferty edukacyjnej w regionie</w:t>
      </w:r>
      <w:r w:rsidR="008116AD">
        <w:t>,</w:t>
      </w:r>
      <w:r w:rsidR="00591415">
        <w:t xml:space="preserve"> a potrzeby w tym zakresie nie są jeszcze w pełni zaspokojone.</w:t>
      </w:r>
      <w:r w:rsidR="007E6F5A">
        <w:t xml:space="preserve"> Należy zwrócić przy tym uwagę na dynamiczne zmiany na rynku pracy, rozwój nowoczesnych technologii,  co wymaga elastycznego reagowania  na zmiany -  dostosowania kształcenia zawodowego do potrzeb rynku pracy</w:t>
      </w:r>
      <w:r w:rsidR="00BA7AFD">
        <w:t xml:space="preserve">. </w:t>
      </w:r>
    </w:p>
    <w:p w14:paraId="4E38E265" w14:textId="77777777" w:rsidR="00B85337" w:rsidRDefault="00B85337" w:rsidP="00DF64C7">
      <w:pPr>
        <w:jc w:val="left"/>
      </w:pPr>
    </w:p>
    <w:p w14:paraId="77521EC5" w14:textId="77777777" w:rsidR="00A464CB" w:rsidRDefault="00A464CB" w:rsidP="00DF64C7">
      <w:pPr>
        <w:pStyle w:val="Nagwek3"/>
        <w:spacing w:line="271" w:lineRule="auto"/>
        <w:jc w:val="left"/>
        <w:rPr>
          <w:rFonts w:eastAsia="Arial"/>
        </w:rPr>
      </w:pPr>
      <w:bookmarkStart w:id="42" w:name="_Toc24466787"/>
      <w:bookmarkStart w:id="43" w:name="_Toc25664296"/>
      <w:bookmarkStart w:id="44" w:name="_Toc26526277"/>
      <w:bookmarkStart w:id="45" w:name="_Toc38035009"/>
      <w:r w:rsidRPr="00610089">
        <w:rPr>
          <w:rFonts w:eastAsia="Arial"/>
        </w:rPr>
        <w:t>Jakie czynniki przyczyniły się do realizacji założonych celów,</w:t>
      </w:r>
      <w:r>
        <w:rPr>
          <w:rFonts w:eastAsia="Arial"/>
        </w:rPr>
        <w:t xml:space="preserve"> a </w:t>
      </w:r>
      <w:r w:rsidRPr="00610089">
        <w:rPr>
          <w:rFonts w:eastAsia="Arial"/>
        </w:rPr>
        <w:t>jakie utrudniły ich realizację – zarówno czynniki zewnętrzne (np. otoczenie prawne, zmiany demograficzne), jak</w:t>
      </w:r>
      <w:r>
        <w:rPr>
          <w:rFonts w:eastAsia="Arial"/>
        </w:rPr>
        <w:t xml:space="preserve"> i </w:t>
      </w:r>
      <w:r w:rsidRPr="00E24E5D">
        <w:rPr>
          <w:rStyle w:val="Pogrubienie"/>
          <w:rFonts w:cs="Arial"/>
          <w:b/>
        </w:rPr>
        <w:t>wewnętrzne</w:t>
      </w:r>
      <w:r w:rsidRPr="00610089">
        <w:rPr>
          <w:rFonts w:eastAsia="Arial"/>
        </w:rPr>
        <w:t xml:space="preserve"> (poszczególne elementy zarządzania</w:t>
      </w:r>
      <w:r>
        <w:rPr>
          <w:rFonts w:eastAsia="Arial"/>
        </w:rPr>
        <w:t xml:space="preserve"> i </w:t>
      </w:r>
      <w:r w:rsidRPr="00610089">
        <w:rPr>
          <w:rFonts w:eastAsia="Arial"/>
        </w:rPr>
        <w:t>wdrażania RPO WSL 2014-2020)?</w:t>
      </w:r>
      <w:bookmarkEnd w:id="42"/>
      <w:bookmarkEnd w:id="43"/>
      <w:bookmarkEnd w:id="44"/>
      <w:bookmarkEnd w:id="45"/>
    </w:p>
    <w:p w14:paraId="247362DB" w14:textId="77777777" w:rsidR="00802C7A" w:rsidRPr="00B05B7B" w:rsidRDefault="00DE26FB" w:rsidP="00DF64C7">
      <w:pPr>
        <w:jc w:val="left"/>
      </w:pPr>
      <w:r w:rsidRPr="00B05B7B">
        <w:t xml:space="preserve">Zadania oświatowe jednostek samorządu terytorialnego w zakresie kształcenia, wychowania i opieki, w tym kształcenia specjalnego i profilaktyki społecznej, są finansowane na zasadach określonych w </w:t>
      </w:r>
      <w:r w:rsidRPr="00B05B7B">
        <w:rPr>
          <w:i/>
        </w:rPr>
        <w:t>Ustawie z dnia 27 października 2017 r. o finansowaniu zadań oświatowych</w:t>
      </w:r>
      <w:r w:rsidRPr="00B05B7B">
        <w:t xml:space="preserve"> oraz w </w:t>
      </w:r>
      <w:r w:rsidRPr="00B05B7B">
        <w:rPr>
          <w:i/>
        </w:rPr>
        <w:t>Ustawie z dnia 13 listopada 2003 r. o dochodach je</w:t>
      </w:r>
      <w:r w:rsidR="000E5849" w:rsidRPr="00B05B7B">
        <w:rPr>
          <w:i/>
        </w:rPr>
        <w:t>dnostek samorządu terytorialnego</w:t>
      </w:r>
      <w:r w:rsidRPr="00B05B7B">
        <w:t>.</w:t>
      </w:r>
      <w:r w:rsidR="00543661" w:rsidRPr="00B05B7B">
        <w:t xml:space="preserve"> </w:t>
      </w:r>
      <w:r w:rsidR="008D4A51" w:rsidRPr="00B05B7B">
        <w:rPr>
          <w:rFonts w:cs="Arial"/>
        </w:rPr>
        <w:t>U</w:t>
      </w:r>
      <w:r w:rsidR="00543661" w:rsidRPr="00B05B7B">
        <w:rPr>
          <w:rFonts w:cs="Arial"/>
        </w:rPr>
        <w:t>dział finansowy zadań</w:t>
      </w:r>
      <w:r w:rsidR="003E6D67" w:rsidRPr="00B05B7B">
        <w:rPr>
          <w:rFonts w:cs="Arial"/>
        </w:rPr>
        <w:t xml:space="preserve"> oświatowych w budżecie organów </w:t>
      </w:r>
      <w:r w:rsidR="00543661" w:rsidRPr="00B05B7B">
        <w:rPr>
          <w:rFonts w:cs="Arial"/>
        </w:rPr>
        <w:t>prowadzących jest wysoki i</w:t>
      </w:r>
      <w:r w:rsidR="00337A71">
        <w:rPr>
          <w:rFonts w:cs="Arial"/>
          <w:sz w:val="23"/>
          <w:szCs w:val="23"/>
        </w:rPr>
        <w:t> </w:t>
      </w:r>
      <w:r w:rsidR="00543661" w:rsidRPr="00B05B7B">
        <w:rPr>
          <w:rFonts w:cs="Arial"/>
        </w:rPr>
        <w:t xml:space="preserve">stanowi </w:t>
      </w:r>
      <w:r w:rsidR="008D4A51" w:rsidRPr="00B05B7B">
        <w:rPr>
          <w:rFonts w:cs="Arial"/>
        </w:rPr>
        <w:t xml:space="preserve">zwykle </w:t>
      </w:r>
      <w:r w:rsidR="00543661" w:rsidRPr="00B05B7B">
        <w:rPr>
          <w:rFonts w:cs="Arial"/>
        </w:rPr>
        <w:t>jed</w:t>
      </w:r>
      <w:r w:rsidR="008D4A51" w:rsidRPr="00B05B7B">
        <w:rPr>
          <w:rFonts w:cs="Arial"/>
        </w:rPr>
        <w:t xml:space="preserve">en z największych wydatków. </w:t>
      </w:r>
      <w:r w:rsidR="003C3F9F" w:rsidRPr="00B05B7B">
        <w:rPr>
          <w:rFonts w:cs="Arial"/>
        </w:rPr>
        <w:t xml:space="preserve">Koniecznością jest więc </w:t>
      </w:r>
      <w:r w:rsidR="00543661" w:rsidRPr="00B05B7B">
        <w:rPr>
          <w:rFonts w:cs="Arial"/>
        </w:rPr>
        <w:t xml:space="preserve">efektywne </w:t>
      </w:r>
      <w:r w:rsidR="003C3F9F" w:rsidRPr="00B05B7B">
        <w:rPr>
          <w:rFonts w:cs="Arial"/>
        </w:rPr>
        <w:t xml:space="preserve">gospodarowanie </w:t>
      </w:r>
      <w:r w:rsidR="00543661" w:rsidRPr="00B05B7B">
        <w:rPr>
          <w:rFonts w:cs="Arial"/>
        </w:rPr>
        <w:t>środk</w:t>
      </w:r>
      <w:r w:rsidR="003C3F9F" w:rsidRPr="00B05B7B">
        <w:rPr>
          <w:rFonts w:cs="Arial"/>
        </w:rPr>
        <w:t>ami</w:t>
      </w:r>
      <w:r w:rsidR="00543661" w:rsidRPr="00B05B7B">
        <w:rPr>
          <w:rFonts w:cs="Arial"/>
        </w:rPr>
        <w:t xml:space="preserve"> budżetow</w:t>
      </w:r>
      <w:r w:rsidR="003C3F9F" w:rsidRPr="00B05B7B">
        <w:rPr>
          <w:rFonts w:cs="Arial"/>
        </w:rPr>
        <w:t>ymi</w:t>
      </w:r>
      <w:r w:rsidR="00543661" w:rsidRPr="00B05B7B">
        <w:rPr>
          <w:rFonts w:cs="Arial"/>
        </w:rPr>
        <w:t xml:space="preserve"> przeznaczony</w:t>
      </w:r>
      <w:r w:rsidR="003C3F9F" w:rsidRPr="00B05B7B">
        <w:rPr>
          <w:rFonts w:cs="Arial"/>
        </w:rPr>
        <w:t>mi</w:t>
      </w:r>
      <w:r w:rsidR="00543661" w:rsidRPr="00B05B7B">
        <w:rPr>
          <w:rFonts w:cs="Arial"/>
        </w:rPr>
        <w:t xml:space="preserve"> na oświatę i osiągnięcie satysfakcjonujących wyników</w:t>
      </w:r>
      <w:r w:rsidR="00FD3BFD" w:rsidRPr="00B05B7B">
        <w:t xml:space="preserve">. </w:t>
      </w:r>
      <w:r w:rsidR="003E6D67" w:rsidRPr="00B05B7B">
        <w:t>Tak duże obciążenie finansowe powoduje, iż często niemożliwym jest realizacja wszystkich zadań ośw</w:t>
      </w:r>
      <w:r w:rsidR="00337A71">
        <w:t>iatowych w wymaganym stopniu, w </w:t>
      </w:r>
      <w:r w:rsidR="003E6D67" w:rsidRPr="00B05B7B">
        <w:t xml:space="preserve">szczególności zaś wprowadzanie działań dodatkowych, innowacyjnych oraz wykorzystanie najnowocześniejszych rozwiązań. </w:t>
      </w:r>
    </w:p>
    <w:p w14:paraId="79A425A0" w14:textId="77777777" w:rsidR="00802C7A" w:rsidRPr="00B05B7B" w:rsidRDefault="00802C7A" w:rsidP="00DF64C7">
      <w:pPr>
        <w:jc w:val="left"/>
      </w:pPr>
      <w:r w:rsidRPr="00B05B7B">
        <w:rPr>
          <w:i/>
        </w:rPr>
        <w:t>Ustawa z dnia 14 grudnia 2016 r. Prawo oświatowe</w:t>
      </w:r>
      <w:r w:rsidRPr="00B05B7B">
        <w:t xml:space="preserve"> wprowadziła zmiany w systemie oświaty polegające na wprowadzeniu nowego ustroju szkolnego, zaproponowała także nowe rozwiązania w s</w:t>
      </w:r>
      <w:r w:rsidR="00D73135" w:rsidRPr="00B05B7B">
        <w:t xml:space="preserve">ystemie szkolnictwa zawodowego. Od 1 </w:t>
      </w:r>
      <w:r w:rsidR="005C22DD" w:rsidRPr="00B05B7B">
        <w:t>września</w:t>
      </w:r>
      <w:r w:rsidR="00D73135" w:rsidRPr="00B05B7B">
        <w:t xml:space="preserve"> 2017 roku wdrażane są zmiany polegające m.in. na powrocie do 8-letniej szkoły podstawowej, 4-letniego liceum, 5-letniego technikum oraz likwidacji gimnazjów. Zasadnicze szkoły zawodowe stopniowo przekształcane są w szkoły branżowe I i II</w:t>
      </w:r>
      <w:r w:rsidR="00611810" w:rsidRPr="00B05B7B">
        <w:t xml:space="preserve"> stopnia.</w:t>
      </w:r>
      <w:r w:rsidR="003E6D67" w:rsidRPr="00B05B7B">
        <w:t xml:space="preserve"> Wprowadzone zmiany </w:t>
      </w:r>
      <w:r w:rsidR="00B1695D" w:rsidRPr="00B05B7B">
        <w:t xml:space="preserve">w systemie oświaty </w:t>
      </w:r>
      <w:r w:rsidR="003E6D67" w:rsidRPr="00B05B7B">
        <w:t xml:space="preserve">wywołały </w:t>
      </w:r>
      <w:r w:rsidR="00B1695D" w:rsidRPr="00B05B7B">
        <w:t>problemy organizacyjne szkół i placówek, które potrzebowały czasu na dostosowanie się do nowej sytuacji. Wprowadzenie zmian w trakcie wdrażania perspektywy finansowej spowodowało także konieczność zmian w części planowanych oraz wdrażanych projektów.</w:t>
      </w:r>
      <w:r w:rsidR="002800F0">
        <w:t xml:space="preserve"> </w:t>
      </w:r>
      <w:r w:rsidR="002800F0" w:rsidRPr="002800F0">
        <w:t>Warto jednak również zauważyć, że zmiany wprowadzone przez Ustawę miało również pozytywny wpływ na zainteresowanie wsparciem oferowanym w ramach RPO WSL 2014-2020. Ustawa narzuciła bowiem na samorządy obowiązek zapewnienia miejsc w placówkach przedszkolnych dla najmłodszych dzieci. Ze względu na ograniczone możliwości finansowe samorządów lokalnych, oferta wsparcia w tym zakresie spotkała się z dużym zainteresowaniem gmin</w:t>
      </w:r>
    </w:p>
    <w:p w14:paraId="29446290" w14:textId="77777777" w:rsidR="00611810" w:rsidRDefault="00FD3BFD" w:rsidP="00DF64C7">
      <w:pPr>
        <w:jc w:val="left"/>
      </w:pPr>
      <w:r w:rsidRPr="00B05B7B">
        <w:t xml:space="preserve">W celu ustanowienia ogólnych zasad w zakresie planowania, realizacji i monitorowania, wspólnych dla wszystkich krajowych i regionalnych programów operacyjnych na lata 2014-2020 powstały </w:t>
      </w:r>
      <w:r w:rsidRPr="00B05B7B">
        <w:rPr>
          <w:i/>
        </w:rPr>
        <w:t>Wytyczne w zakresie monitorowania postępu rzeczowego realizacji programów operacyjnych na lata 2014-2020</w:t>
      </w:r>
      <w:r w:rsidRPr="00B05B7B">
        <w:t xml:space="preserve"> oraz </w:t>
      </w:r>
      <w:r w:rsidRPr="00B05B7B">
        <w:rPr>
          <w:i/>
        </w:rPr>
        <w:t>Wytyczne w zakresie kwalifikowalności wydatków w ramach Europejskiego Funduszu Rozwoju Regionalnego, Europejskiego Funduszu Społecznego oraz Funduszu Spójności na lata 2014-2020</w:t>
      </w:r>
      <w:r w:rsidRPr="00B05B7B">
        <w:t>. Wytyczne</w:t>
      </w:r>
      <w:r>
        <w:t xml:space="preserve"> te pozwalają na porównanie prowadzonych równolegle programów</w:t>
      </w:r>
      <w:r w:rsidR="000434C7">
        <w:t xml:space="preserve"> krajowych i regionalnych</w:t>
      </w:r>
      <w:r>
        <w:t>, tym samym jednak nakładają na nie ograniczenia. Każdy region posiada własną specyfikę i potrzeby, które, poprzez</w:t>
      </w:r>
      <w:r w:rsidR="000434C7">
        <w:t xml:space="preserve"> konieczność zastosowania się do wytycznych</w:t>
      </w:r>
      <w:r w:rsidR="00337A71">
        <w:t>, nie zawsze mogą zostać w </w:t>
      </w:r>
      <w:r>
        <w:t>pełni zaspokojone (brak możliwości realizacji wszystkich działań, które placówki edukacyjne chciałyby wdrożyć).</w:t>
      </w:r>
    </w:p>
    <w:p w14:paraId="3F85F678" w14:textId="77777777" w:rsidR="00150A10" w:rsidRDefault="008A108E" w:rsidP="00DF64C7">
      <w:pPr>
        <w:jc w:val="left"/>
      </w:pPr>
      <w:r>
        <w:t>Poniżej przedstawiono c</w:t>
      </w:r>
      <w:r w:rsidR="00150A10">
        <w:t>zynniki przyczyniające się do realizacji założonych celów</w:t>
      </w:r>
      <w:r>
        <w:t>, zidentyfikowane m.in. w dotychczasowych badaniach ewaluacyjnych</w:t>
      </w:r>
      <w:r w:rsidR="00150A10">
        <w:rPr>
          <w:rStyle w:val="Odwoanieprzypisudolnego"/>
        </w:rPr>
        <w:footnoteReference w:id="71"/>
      </w:r>
      <w:r w:rsidR="00150A10">
        <w:t>:</w:t>
      </w:r>
    </w:p>
    <w:p w14:paraId="114D305D" w14:textId="77777777" w:rsidR="00150A10" w:rsidRDefault="00150A10" w:rsidP="00DF64C7">
      <w:pPr>
        <w:pStyle w:val="Akapitzlist"/>
        <w:numPr>
          <w:ilvl w:val="0"/>
          <w:numId w:val="26"/>
        </w:numPr>
        <w:jc w:val="left"/>
      </w:pPr>
      <w:r>
        <w:t xml:space="preserve">Wprowadzanie zmian w </w:t>
      </w:r>
      <w:r w:rsidRPr="002E3CB8">
        <w:t>Szczegół</w:t>
      </w:r>
      <w:r>
        <w:t>owym Opisie Osi Priorytetowych.</w:t>
      </w:r>
      <w:r w:rsidRPr="002E3CB8">
        <w:t xml:space="preserve"> Każda z wersji pogłębiała informacje dotyczące możliwości uzyskania środków </w:t>
      </w:r>
      <w:r w:rsidRPr="00615865">
        <w:t xml:space="preserve">finansowych poprzez dodefiniowanie zakresu interwencji oraz </w:t>
      </w:r>
      <w:r w:rsidRPr="00457B63">
        <w:t xml:space="preserve">wytycznych dla określonych Osi oraz Działań. Ponadto wprowadzono zmiany mające na celu ujednolicenie zapisów dotyczących minimalnej i maksymalnej wartości </w:t>
      </w:r>
      <w:r w:rsidR="00337A71">
        <w:t>projektu w trybie konkursowym i </w:t>
      </w:r>
      <w:r w:rsidRPr="00457B63">
        <w:t xml:space="preserve">pozakonkursowym. Dodano krajowe podstawy prawne dotyczące zasad udzielania pomocy publicznej oraz wprowadzono </w:t>
      </w:r>
      <w:r>
        <w:t>dokładny opis pomocy de minimis;</w:t>
      </w:r>
    </w:p>
    <w:p w14:paraId="5945204C" w14:textId="77777777" w:rsidR="00150A10" w:rsidRPr="0039164F" w:rsidRDefault="00150A10" w:rsidP="00DF64C7">
      <w:pPr>
        <w:pStyle w:val="Akapitzlist"/>
        <w:numPr>
          <w:ilvl w:val="0"/>
          <w:numId w:val="26"/>
        </w:numPr>
        <w:jc w:val="left"/>
      </w:pPr>
      <w:r>
        <w:rPr>
          <w:rFonts w:cs="Calibri"/>
          <w:color w:val="000000"/>
        </w:rPr>
        <w:t>Położenie nacisku na wspieranie projektów skierowanych do relatywnie dużej grupy odbiorców, co pozwala na przekroczenie założonych wartości docelowych</w:t>
      </w:r>
      <w:r w:rsidR="00801FED">
        <w:rPr>
          <w:rFonts w:cs="Calibri"/>
          <w:color w:val="000000"/>
        </w:rPr>
        <w:t xml:space="preserve"> (nie dotyczy projektów realizowanych w ramach poddziałania 11.4.3 Kształcenie ustawiczne – konkurs)</w:t>
      </w:r>
      <w:r>
        <w:rPr>
          <w:rFonts w:cs="Calibri"/>
          <w:color w:val="000000"/>
        </w:rPr>
        <w:t>;</w:t>
      </w:r>
    </w:p>
    <w:p w14:paraId="4BF4EC82" w14:textId="77777777" w:rsidR="00150A10" w:rsidRPr="00041474" w:rsidRDefault="00150A10" w:rsidP="00DF64C7">
      <w:pPr>
        <w:pStyle w:val="Akapitzlist"/>
        <w:numPr>
          <w:ilvl w:val="0"/>
          <w:numId w:val="26"/>
        </w:numPr>
        <w:jc w:val="left"/>
      </w:pPr>
      <w:r>
        <w:rPr>
          <w:rFonts w:cs="Calibri"/>
          <w:color w:val="000000"/>
        </w:rPr>
        <w:t>Tendencje makroekonomiczne skutkujące korzystnym kursem euro (w porównaniu do momentu opracowania założeń i zakresu interwencji), dzięki czemu do rozdysponowania pozostaje większa pula środków;</w:t>
      </w:r>
    </w:p>
    <w:p w14:paraId="0E221C75" w14:textId="77777777" w:rsidR="00150A10" w:rsidRDefault="00150A10" w:rsidP="00DF64C7">
      <w:pPr>
        <w:pStyle w:val="Akapitzlist"/>
        <w:numPr>
          <w:ilvl w:val="0"/>
          <w:numId w:val="26"/>
        </w:numPr>
        <w:jc w:val="left"/>
      </w:pPr>
      <w:r>
        <w:t>Dobra współpraca między IZ i IP RPO WSL 2014-2020 a beneficjentami, dzięki czemu możliwe jest szybkie reagowanie na pojawiające się nowe okoliczności;</w:t>
      </w:r>
    </w:p>
    <w:p w14:paraId="4DAA7731" w14:textId="77777777" w:rsidR="00150A10" w:rsidRDefault="00150A10" w:rsidP="00DF64C7">
      <w:pPr>
        <w:pStyle w:val="Akapitzlist"/>
        <w:numPr>
          <w:ilvl w:val="0"/>
          <w:numId w:val="26"/>
        </w:numPr>
        <w:jc w:val="left"/>
      </w:pPr>
      <w:r>
        <w:t>Możliwość wprowadzania uzasadnionych zmian w projektach (m.in. wydłużenie czasu realizacji projektu, zmiana wydatkowania środków finansowych);</w:t>
      </w:r>
    </w:p>
    <w:p w14:paraId="1FAB5F9B" w14:textId="77777777" w:rsidR="006A2A20" w:rsidRDefault="00150A10" w:rsidP="00DF64C7">
      <w:pPr>
        <w:pStyle w:val="Akapitzlist"/>
        <w:numPr>
          <w:ilvl w:val="0"/>
          <w:numId w:val="26"/>
        </w:numPr>
        <w:jc w:val="left"/>
      </w:pPr>
      <w:r>
        <w:t xml:space="preserve">Zaangażowanie beneficjentów mających doświadczenie w realizacji projektów dofinansowywanych ze środków unijnych, </w:t>
      </w:r>
      <w:r w:rsidR="00337A71">
        <w:t>co często wpływa na sprawność w </w:t>
      </w:r>
      <w:r>
        <w:t>osiąganiu założonych celów.</w:t>
      </w:r>
    </w:p>
    <w:p w14:paraId="0C7F77C2" w14:textId="77777777" w:rsidR="00F631F4" w:rsidRDefault="007F1C46" w:rsidP="00DF64C7">
      <w:pPr>
        <w:jc w:val="left"/>
      </w:pPr>
      <w:r>
        <w:t xml:space="preserve">Także beneficjenci określili czynniki, które ułatwiły im realizację projektu. W przeciwieństwie do </w:t>
      </w:r>
      <w:r w:rsidR="00F86848">
        <w:t>dokumentów ewaluacyjnych, pozwalających na spojrzenie z makro perspektywy, beneficjenci skupili się</w:t>
      </w:r>
      <w:r w:rsidR="00536299">
        <w:t xml:space="preserve"> na czynnikach poziomu mezo i </w:t>
      </w:r>
      <w:r w:rsidR="00F86848">
        <w:t>mikro, takich jak posiadanie doświadczonej w realizacji projektów kadry pracowniczej, współprac</w:t>
      </w:r>
      <w:r w:rsidR="00536299">
        <w:t>a</w:t>
      </w:r>
      <w:r w:rsidR="00F86848">
        <w:t xml:space="preserve"> z opiek</w:t>
      </w:r>
      <w:r w:rsidR="00E05BC0">
        <w:t>u</w:t>
      </w:r>
      <w:r w:rsidR="007E36FC">
        <w:t>nem projektu</w:t>
      </w:r>
      <w:r w:rsidR="005E1B42">
        <w:t xml:space="preserve"> </w:t>
      </w:r>
      <w:r w:rsidR="00614E20">
        <w:t>i</w:t>
      </w:r>
      <w:r w:rsidR="00337A71">
        <w:t> </w:t>
      </w:r>
      <w:r w:rsidR="005E1B42">
        <w:t>Instytucją Pośredniczącą</w:t>
      </w:r>
      <w:r w:rsidR="00614E20">
        <w:t xml:space="preserve"> czy </w:t>
      </w:r>
      <w:r w:rsidR="00536299">
        <w:t>dobrze działający system wdrażania RPO WSL 2014-2020</w:t>
      </w:r>
      <w:r w:rsidR="005E1B42">
        <w:t xml:space="preserve">. </w:t>
      </w:r>
      <w:r w:rsidR="00F631F4">
        <w:t xml:space="preserve">Podczas wywiadów beneficjenci wskazywali na bardzo dużą rolę instytucji zaangażowanych we wdrażanie Programu. </w:t>
      </w:r>
      <w:r w:rsidR="007803EB" w:rsidRPr="007803EB">
        <w:t xml:space="preserve">Wsparcie </w:t>
      </w:r>
      <w:r w:rsidR="008A108E">
        <w:t>IZ/IP</w:t>
      </w:r>
      <w:r w:rsidR="007803EB" w:rsidRPr="007803EB">
        <w:t xml:space="preserve"> </w:t>
      </w:r>
      <w:r w:rsidR="00F631F4">
        <w:t>oraz opiekunów projektów było dla nich bardzo cenne i wielokrotnie pozwalało na rozwiązanie problemów czy rozwianie wątpliwości, co do wybranych kwestii dotyczących projektów.</w:t>
      </w:r>
    </w:p>
    <w:p w14:paraId="1121F4AB" w14:textId="77777777" w:rsidR="000C2403" w:rsidRDefault="000C2403" w:rsidP="00DF64C7">
      <w:pPr>
        <w:jc w:val="left"/>
      </w:pPr>
      <w:r w:rsidRPr="007B5F7E">
        <w:t>W zależności od profilu projektu (skierowania na wsparcie edukacji przedszkolnej, zawodowej lub ogólnokształcącej), za czynnik ułatwiający realizację projektu beneficjenci uznawali także duże zapotrzebowanie na powstanie nowych miejsc przedszkolnych oraz znaczne zainteresowanie projektem ze strony uczniów, nauczycieli i rodziców w przypadku szkolnictwa ogólnokształcącego i zawodowego.</w:t>
      </w:r>
    </w:p>
    <w:p w14:paraId="5EB3F785" w14:textId="39E5EA65" w:rsidR="007F1C46" w:rsidRPr="00337A71" w:rsidRDefault="007F1C46" w:rsidP="00DF64C7">
      <w:pPr>
        <w:pStyle w:val="Legenda"/>
        <w:spacing w:line="271" w:lineRule="auto"/>
        <w:jc w:val="left"/>
      </w:pPr>
      <w:bookmarkStart w:id="46" w:name="_Toc33459790"/>
      <w:r w:rsidRPr="00337A71">
        <w:t xml:space="preserve">Wykres </w:t>
      </w:r>
      <w:r w:rsidR="00A722F4">
        <w:rPr>
          <w:noProof/>
        </w:rPr>
        <w:fldChar w:fldCharType="begin"/>
      </w:r>
      <w:r w:rsidR="00A722F4">
        <w:rPr>
          <w:noProof/>
        </w:rPr>
        <w:instrText xml:space="preserve"> SEQ Wykres \* ARABIC </w:instrText>
      </w:r>
      <w:r w:rsidR="00A722F4">
        <w:rPr>
          <w:noProof/>
        </w:rPr>
        <w:fldChar w:fldCharType="separate"/>
      </w:r>
      <w:r w:rsidR="00A8147E">
        <w:rPr>
          <w:noProof/>
        </w:rPr>
        <w:t>5</w:t>
      </w:r>
      <w:r w:rsidR="00A722F4">
        <w:rPr>
          <w:noProof/>
        </w:rPr>
        <w:fldChar w:fldCharType="end"/>
      </w:r>
      <w:r w:rsidR="00337A71" w:rsidRPr="00337A71">
        <w:t>.</w:t>
      </w:r>
      <w:r w:rsidRPr="00337A71">
        <w:t xml:space="preserve"> Które czynniki ułatwiają/ułatwiały realizację projektu?</w:t>
      </w:r>
      <w:r w:rsidR="00733DDF" w:rsidRPr="00337A71">
        <w:t xml:space="preserve"> –</w:t>
      </w:r>
      <w:r w:rsidRPr="00337A71">
        <w:t xml:space="preserve"> </w:t>
      </w:r>
      <w:r w:rsidR="00733DDF" w:rsidRPr="00337A71">
        <w:t xml:space="preserve">beneficjenci realizujący </w:t>
      </w:r>
      <w:r w:rsidRPr="00337A71">
        <w:t>projekty związane z edukacją przedszkolną</w:t>
      </w:r>
      <w:bookmarkEnd w:id="46"/>
    </w:p>
    <w:p w14:paraId="392B9A62" w14:textId="77777777" w:rsidR="00731FAA" w:rsidRDefault="00115DBB" w:rsidP="00DF64C7">
      <w:pPr>
        <w:jc w:val="left"/>
      </w:pPr>
      <w:r>
        <w:rPr>
          <w:noProof/>
          <w:lang w:eastAsia="pl-PL"/>
        </w:rPr>
        <w:drawing>
          <wp:inline distT="0" distB="0" distL="0" distR="0" wp14:anchorId="13D8E3C5" wp14:editId="02A6BDD5">
            <wp:extent cx="5759450" cy="5905500"/>
            <wp:effectExtent l="0" t="0" r="12700" b="0"/>
            <wp:docPr id="4" name="Wykres 4" descr="Wykres przedstawia odpowiedzi beneficjentów realizujących projekty związane z edukacją przedszkolną na pytanie: &quot;Które czynniki ułatwiają/ułatwiały realizację proje.ktu?&quot; w rozkładzie procentowym. Na wykresie słupkowym przedstawiono odpowiedzi beneficjentów z podziałem na poddziałania: 11.1.1-11.1.3 oraz 12.1. W kafeterii możliwe było wybranie takich odpowiedzi jak:&#10;Nie zauważamy takich czynników,&#10;Inne czynniki,&#10;Brak konkurencyjnych projektów,&#10;Atrakcyjne formy wsparcia oferowane w projekcie, &#10;Duże zapotrzebowanie na usługi wychowania przedszkolnego,&#10;Bieżąca współpraca z opiekunem projektu po stronie instytucji organizującej konkurs,&#10;Pomoc ze strony pracowników instytucji organizującej konkurs w rozliczeniu projektu,&#10; Posiadanie kadry mającej doświadczenie w realizacji i rozliczaniu projektów ze środków UE.&#10;&#10;Najczęściej wskazywane były takieodpowiedzi jak:  posiadanie kadry mającej doświdczenie w realizacji i rozliczaniu projektów ze środków UE (kolejno: 11.1.1-11.1.3 - 56,1%), 12.1 (83,9%) i duże zapotrzebowanie na usługi wychowania przedszkolengo (kolejno: 11.1.1-11.1.3 - 74,6%, 12.1 (87,5%)." title="Które czynniki ułatwiają/ułatwiały realizację projektu? – beneficjenci realizujący projekty związane z edukacją przedszkolną"/>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CE7F1C" w14:textId="77777777" w:rsidR="00731FAA" w:rsidRDefault="00733DDF" w:rsidP="00DF64C7">
      <w:pPr>
        <w:pStyle w:val="podpisrdailustracji"/>
        <w:spacing w:line="271" w:lineRule="auto"/>
        <w:jc w:val="left"/>
      </w:pPr>
      <w:r>
        <w:t>Źródło: opracowanie własne na podstawie badania CAWI/CATI z beneficjentami, n=</w:t>
      </w:r>
      <w:r w:rsidR="000C2403">
        <w:t>170</w:t>
      </w:r>
      <w:r>
        <w:t>.</w:t>
      </w:r>
    </w:p>
    <w:p w14:paraId="04EF4964" w14:textId="1D0EEABE" w:rsidR="007F1C46" w:rsidRPr="00F437F8" w:rsidRDefault="007F1C46" w:rsidP="00DF64C7">
      <w:pPr>
        <w:pStyle w:val="Legenda"/>
        <w:spacing w:line="271" w:lineRule="auto"/>
        <w:jc w:val="left"/>
      </w:pPr>
      <w:bookmarkStart w:id="47" w:name="_Toc33459791"/>
      <w:r w:rsidRPr="00F437F8">
        <w:t xml:space="preserve">Wykres </w:t>
      </w:r>
      <w:r w:rsidR="00A722F4">
        <w:rPr>
          <w:noProof/>
        </w:rPr>
        <w:fldChar w:fldCharType="begin"/>
      </w:r>
      <w:r w:rsidR="00A722F4">
        <w:rPr>
          <w:noProof/>
        </w:rPr>
        <w:instrText xml:space="preserve"> SEQ Wykres \* ARABIC </w:instrText>
      </w:r>
      <w:r w:rsidR="00A722F4">
        <w:rPr>
          <w:noProof/>
        </w:rPr>
        <w:fldChar w:fldCharType="separate"/>
      </w:r>
      <w:r w:rsidR="00A8147E">
        <w:rPr>
          <w:noProof/>
        </w:rPr>
        <w:t>6</w:t>
      </w:r>
      <w:r w:rsidR="00A722F4">
        <w:rPr>
          <w:noProof/>
        </w:rPr>
        <w:fldChar w:fldCharType="end"/>
      </w:r>
      <w:r w:rsidR="00F437F8">
        <w:t>.</w:t>
      </w:r>
      <w:r w:rsidRPr="00F437F8">
        <w:t xml:space="preserve"> Które czynniki ułatwiają/ułatwiały realizację projektu?</w:t>
      </w:r>
      <w:r w:rsidR="00733DDF" w:rsidRPr="00F437F8">
        <w:t xml:space="preserve"> </w:t>
      </w:r>
      <w:r w:rsidRPr="00F437F8">
        <w:t xml:space="preserve">- </w:t>
      </w:r>
      <w:r w:rsidR="00733DDF" w:rsidRPr="00F437F8">
        <w:t xml:space="preserve">beneficjenci realizujący </w:t>
      </w:r>
      <w:r w:rsidRPr="00F437F8">
        <w:t>projekty związane z edukacją zawodową</w:t>
      </w:r>
      <w:bookmarkEnd w:id="47"/>
    </w:p>
    <w:p w14:paraId="6ADF2A3D" w14:textId="77777777" w:rsidR="007F1C46" w:rsidRDefault="007F1C46" w:rsidP="00DF64C7">
      <w:pPr>
        <w:jc w:val="left"/>
      </w:pPr>
      <w:r>
        <w:rPr>
          <w:noProof/>
          <w:lang w:eastAsia="pl-PL"/>
        </w:rPr>
        <w:drawing>
          <wp:inline distT="0" distB="0" distL="0" distR="0" wp14:anchorId="51CD4FDF" wp14:editId="4C7E0065">
            <wp:extent cx="5756910" cy="6499860"/>
            <wp:effectExtent l="0" t="0" r="15240" b="15240"/>
            <wp:docPr id="39" name="Wykres 39" descr="Wykres przedstawia odpowiedzi beneficjentów realizujących projekty związane z edukacją zawodową na pytanie: &quot;Które czynniki ułatwiają/ułatwiały realizację projektu?&quot; w rozkładzie procentowym. Odpowiedzi przedstawione zostały na wykresie kolumnowym  uwzgędniały beneficjentów z działań: 11.2, 11.3, 11.4, 12.2. Uczestnicy badaniawybierali odpowiedzi z następującej kafeterii:&#10;Nie zauważamy takich czynników,&#10;Inne czynniki,&#10;Atrakcyjne formy wsparcia oferowane w projekcie,&#10;Duże zainteresowanie szkolnictwem zawodowym,&#10;Wzrost znaczenia szkolnictwa zawodowego w ostatnich latach,&#10;Duże zaangażowanie pracodawców,&#10;Duże zainteresowanie ze strony uczniów/uczestników,&#10;Bieżąca współpraca z opiekunem projektu po stronie instytucji organizującej konkurs,&#10;Pomoc ze strony pracowników instytucji organizującej konkurs w rozliczeniu projektu,&#10; Posiadanie kadry mającej doświadczenie w realizacji i rozliczaniu projektów ze środków UE.&#10;&#10;W przypadku beneficjentów z działania 11.2 najczęściej wskazywaną odpowiedzią było posiadanie kadry mającej doświadczenie w realizacji projektów ze środków UE oraz atrkacyjne formy wsparcia oferowanego w projekcie. Kolejne wskazania dotyczyły: dla działania 11.3 duże zainteresowanie ze strony uczniów/uczestników, dla 11.4 posiadanie kadry mającej doświadczenie w realizacji projektów ze środków UE, dla 12.2 duże zainteresowanie szkilnictwem zawodowym.&#10;" title="Które czynniki ułatwiają/ułatwiały realizację projektu? - beneficjenci realizujący projekty związane z edukacją zawodową"/>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6446BF" w14:textId="77777777" w:rsidR="007F1C46" w:rsidRDefault="00733DDF" w:rsidP="00DF64C7">
      <w:pPr>
        <w:pStyle w:val="podpisrdailustracji"/>
        <w:spacing w:line="271" w:lineRule="auto"/>
        <w:jc w:val="left"/>
      </w:pPr>
      <w:r>
        <w:t>Źródło: opracowanie własne na podstawie badania CAWI/CATI z beneficjentami, n=164.</w:t>
      </w:r>
    </w:p>
    <w:p w14:paraId="37FAC61C" w14:textId="77777777" w:rsidR="000C2403" w:rsidRDefault="000C2403" w:rsidP="00DF64C7">
      <w:pPr>
        <w:pStyle w:val="podpisrdailustracji"/>
        <w:spacing w:line="271" w:lineRule="auto"/>
        <w:jc w:val="left"/>
      </w:pPr>
    </w:p>
    <w:p w14:paraId="2A8EE6E8" w14:textId="7FEF6533" w:rsidR="000C2403" w:rsidRPr="007B5F7E" w:rsidRDefault="000C2403" w:rsidP="00DF64C7">
      <w:pPr>
        <w:pStyle w:val="Legenda"/>
        <w:spacing w:line="271" w:lineRule="auto"/>
        <w:jc w:val="left"/>
      </w:pPr>
      <w:r>
        <w:t xml:space="preserve">Wykres </w:t>
      </w:r>
      <w:r w:rsidR="000C2F92">
        <w:rPr>
          <w:noProof/>
        </w:rPr>
        <w:fldChar w:fldCharType="begin"/>
      </w:r>
      <w:r w:rsidR="000C2F92">
        <w:rPr>
          <w:noProof/>
        </w:rPr>
        <w:instrText xml:space="preserve"> SEQ Wykres \* ARABIC </w:instrText>
      </w:r>
      <w:r w:rsidR="000C2F92">
        <w:rPr>
          <w:noProof/>
        </w:rPr>
        <w:fldChar w:fldCharType="separate"/>
      </w:r>
      <w:r w:rsidR="00A8147E">
        <w:rPr>
          <w:noProof/>
        </w:rPr>
        <w:t>7</w:t>
      </w:r>
      <w:r w:rsidR="000C2F92">
        <w:rPr>
          <w:noProof/>
        </w:rPr>
        <w:fldChar w:fldCharType="end"/>
      </w:r>
      <w:r>
        <w:t xml:space="preserve">. </w:t>
      </w:r>
      <w:r w:rsidRPr="007B5F7E">
        <w:t xml:space="preserve">Które czynniki ułatwiają/ułatwiały realizację projektu? - beneficjenci realizujący projekty związane z kształceniem </w:t>
      </w:r>
      <w:r>
        <w:t>ogólnym</w:t>
      </w:r>
    </w:p>
    <w:p w14:paraId="473D17BD" w14:textId="77777777" w:rsidR="000C2403" w:rsidRPr="007B5F7E" w:rsidRDefault="000C2403" w:rsidP="00DF64C7">
      <w:pPr>
        <w:jc w:val="left"/>
      </w:pPr>
      <w:r w:rsidRPr="007B5F7E">
        <w:rPr>
          <w:noProof/>
          <w:lang w:eastAsia="pl-PL"/>
        </w:rPr>
        <w:drawing>
          <wp:inline distT="0" distB="0" distL="0" distR="0" wp14:anchorId="18E20021" wp14:editId="312BB8DF">
            <wp:extent cx="5753100" cy="4686300"/>
            <wp:effectExtent l="0" t="0" r="0" b="0"/>
            <wp:docPr id="51" name="Wykres 51" descr="Wykres przedstawia odpowiedzi beneficjentów realizujących projekty związane z kształceniem ogólnym na pytanie: &quot;Które czynniki ułatwiają/ułatwiały realizację projektu?&quot; w rozkładzie procentowym. Na wykresie słupkowym przedstawiono wszystkie odpowiedzi, tj.:&#10;Inne czynniki 0,8%&#10;Nie zauważamy takich czynników 2,3%&#10;Pomoc ze strony pracowników instytucji organizującej konkurs w rozliczeniu projektu 36,8%&#10;Brak konkurencyjnych projektów 37,6%&#10;Bieżąca współpraca z opiekunem projektu po stronie instytucji organizującej konkurs 49,6%&#10;Posiadanie kadry mającej doświadczenie w realizacji i rozliczaniu projektów ze środków UE 55,6%&#10;Atrakcyjne formy wsparcia oferowane w projekcie 69,2%&#10;Duże zainteresowanie ze strony uczniów, rodziców lub nauczycieli 83,5%" title="Które czynniki ułatwiają/ułatwiały realizację projektu? - beneficjenci realizujący projekty związane z kształceniem ogólnym"/>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C4961D" w14:textId="77777777" w:rsidR="000C2403" w:rsidRDefault="000C2403" w:rsidP="00DF64C7">
      <w:pPr>
        <w:pStyle w:val="podpisrdailustracji"/>
        <w:spacing w:line="271" w:lineRule="auto"/>
        <w:jc w:val="left"/>
      </w:pPr>
      <w:r w:rsidRPr="007B5F7E">
        <w:t>Źródło: opracowanie własne na podstawie badania CAWI/CATI z beneficjentami, n=133.</w:t>
      </w:r>
    </w:p>
    <w:p w14:paraId="49BF91F4" w14:textId="77777777" w:rsidR="000C2403" w:rsidRDefault="000C2403" w:rsidP="00DF64C7">
      <w:pPr>
        <w:pStyle w:val="podpisrdailustracji"/>
        <w:spacing w:line="271" w:lineRule="auto"/>
        <w:jc w:val="left"/>
      </w:pPr>
    </w:p>
    <w:p w14:paraId="554F190D" w14:textId="77777777" w:rsidR="00D9621A" w:rsidRDefault="00F8381D" w:rsidP="00DF64C7">
      <w:pPr>
        <w:jc w:val="left"/>
      </w:pPr>
      <w:r>
        <w:t>O czynniki ułatwiające korzystanie ze wsparcia zapytano także nauczycieli i dyrektorów wspartych placówek. Za najważniejsze kwestie odbiorcy uznali komplementarność</w:t>
      </w:r>
      <w:r w:rsidR="00DC26C0">
        <w:t xml:space="preserve"> </w:t>
      </w:r>
      <w:r>
        <w:t>działań infrastrukturalnych i społecznych oraz pomoc ze strony beneficjentów w kwestiach formalnych.</w:t>
      </w:r>
    </w:p>
    <w:p w14:paraId="5680F8A3" w14:textId="64325B81" w:rsidR="0094286A" w:rsidRDefault="0094286A" w:rsidP="00DF64C7">
      <w:pPr>
        <w:pStyle w:val="Legenda"/>
        <w:spacing w:line="271" w:lineRule="auto"/>
        <w:jc w:val="left"/>
      </w:pPr>
      <w:bookmarkStart w:id="48" w:name="_Toc33459792"/>
      <w:r>
        <w:t xml:space="preserve">Wykres </w:t>
      </w:r>
      <w:r w:rsidR="00AB65C6">
        <w:rPr>
          <w:noProof/>
        </w:rPr>
        <w:fldChar w:fldCharType="begin"/>
      </w:r>
      <w:r w:rsidR="00AB65C6">
        <w:rPr>
          <w:noProof/>
        </w:rPr>
        <w:instrText xml:space="preserve"> SEQ Wykres \* ARABIC </w:instrText>
      </w:r>
      <w:r w:rsidR="00AB65C6">
        <w:rPr>
          <w:noProof/>
        </w:rPr>
        <w:fldChar w:fldCharType="separate"/>
      </w:r>
      <w:r w:rsidR="00A8147E">
        <w:rPr>
          <w:noProof/>
        </w:rPr>
        <w:t>8</w:t>
      </w:r>
      <w:r w:rsidR="00AB65C6">
        <w:rPr>
          <w:noProof/>
        </w:rPr>
        <w:fldChar w:fldCharType="end"/>
      </w:r>
      <w:r w:rsidR="00F437F8">
        <w:rPr>
          <w:noProof/>
        </w:rPr>
        <w:t>.</w:t>
      </w:r>
      <w:r>
        <w:t xml:space="preserve"> </w:t>
      </w:r>
      <w:r w:rsidRPr="00727D68">
        <w:t>Jakie czynniki ułatwiają/ułatwiały Państwu korzystanie</w:t>
      </w:r>
      <w:r>
        <w:t xml:space="preserve"> ze wsparcia w ramach projektu?</w:t>
      </w:r>
      <w:r w:rsidR="00DC26C0">
        <w:t xml:space="preserve"> </w:t>
      </w:r>
      <w:r w:rsidR="00F437F8">
        <w:t xml:space="preserve">- </w:t>
      </w:r>
      <w:r>
        <w:t>nauczyciele i dyrektorzy wspartych placówek</w:t>
      </w:r>
      <w:bookmarkEnd w:id="48"/>
    </w:p>
    <w:p w14:paraId="2CCF7B27" w14:textId="77777777" w:rsidR="00D9621A" w:rsidRDefault="00D9621A" w:rsidP="00DF64C7">
      <w:pPr>
        <w:jc w:val="left"/>
      </w:pPr>
      <w:r>
        <w:rPr>
          <w:noProof/>
          <w:lang w:eastAsia="pl-PL"/>
        </w:rPr>
        <w:drawing>
          <wp:inline distT="0" distB="0" distL="0" distR="0" wp14:anchorId="75601667" wp14:editId="024873FE">
            <wp:extent cx="5676595" cy="2157984"/>
            <wp:effectExtent l="0" t="0" r="19685" b="13970"/>
            <wp:docPr id="21" name="Wykres 21" descr="Wykres przedstawia odpowiedź nauczycieli i dyrektorów wspartych placówek na pytanie: &quot;Jakie czynniki ułatwiają/ułatwiały Państwu korzystanie ze wsparcia w ramach projektu? w rozkładzie procentowym.&#10;Przygotowany został wykres słupkowy a odpowiedzi przedstawiały się następująco:&#10;Nie było takich czynników 5,4%&#10;Duże zainteresowanie rodziców świadczonym wsparciem 45,8%&#10;Pomoc ze strony beneficjenta w kwestiach formalnych 63,8%&#10;Uzupełnienie działania infrastrukturalnego działaniem „miękkim”, tj. np. prowadzenie zajęć w zmodernizowanej placówce 65,9%&#10;&#10;&#10;" title="Jakie czynniki ułatwiają/ułatwiały Państwu korzystanie ze wsparcia w ramach projektu?  - nauczyciele i dyrektorzy wspartych placówek"/>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B45D43" w14:textId="77777777" w:rsidR="00D9621A" w:rsidRDefault="0094286A" w:rsidP="00DF64C7">
      <w:pPr>
        <w:pStyle w:val="podpisrdailustracji"/>
        <w:spacing w:line="271" w:lineRule="auto"/>
        <w:jc w:val="left"/>
      </w:pPr>
      <w:r>
        <w:t>Źródło: opracowanie własne na podstawie badania CAWI/CATI z nauczycielami i dyrektorami wspartych placówek, n=691.</w:t>
      </w:r>
    </w:p>
    <w:p w14:paraId="586AA1DD" w14:textId="39B93F37" w:rsidR="00573768" w:rsidRPr="007B5F7E" w:rsidRDefault="00573768" w:rsidP="00DF64C7">
      <w:pPr>
        <w:pStyle w:val="podpisrdailustracji"/>
        <w:spacing w:line="271" w:lineRule="auto"/>
        <w:jc w:val="left"/>
        <w:rPr>
          <w:sz w:val="22"/>
        </w:rPr>
      </w:pPr>
      <w:r w:rsidRPr="007B5F7E">
        <w:rPr>
          <w:sz w:val="22"/>
        </w:rPr>
        <w:t>Jak wykazała analiza danych statystycznych (zawarta w poprzednim podrozdziale)</w:t>
      </w:r>
      <w:r w:rsidR="00E81BF0">
        <w:rPr>
          <w:sz w:val="22"/>
        </w:rPr>
        <w:t>,</w:t>
      </w:r>
      <w:r w:rsidRPr="007B5F7E">
        <w:rPr>
          <w:sz w:val="22"/>
        </w:rPr>
        <w:t xml:space="preserve"> do czynników ograniczających zaliczyć można również malejącą liczbę uczniów w szkołach branżowych i zawodowych – w ciągu 4 lat liczba ta spadła o 5 800 osób</w:t>
      </w:r>
      <w:r w:rsidR="006B11AC">
        <w:rPr>
          <w:sz w:val="22"/>
        </w:rPr>
        <w:t xml:space="preserve"> (spadek o ponad 26%)</w:t>
      </w:r>
      <w:r w:rsidRPr="007B5F7E">
        <w:rPr>
          <w:sz w:val="22"/>
        </w:rPr>
        <w:t>, ograniczając tym samym liczebność grupy docelowej części z działań. W przypadku szkół podstawowych liczebność uczniów co prawda wzrosła, lecz wynikało to ze zmian w zakresie reformy oświaty wprowadzonych w 2017 r.</w:t>
      </w:r>
    </w:p>
    <w:p w14:paraId="0DD082EA" w14:textId="77777777" w:rsidR="00573768" w:rsidRPr="007B5F7E" w:rsidRDefault="00573768" w:rsidP="00DF64C7">
      <w:pPr>
        <w:pStyle w:val="podpisrdailustracji"/>
        <w:spacing w:line="271" w:lineRule="auto"/>
        <w:jc w:val="left"/>
        <w:rPr>
          <w:sz w:val="22"/>
        </w:rPr>
      </w:pPr>
      <w:r w:rsidRPr="007B5F7E">
        <w:rPr>
          <w:sz w:val="22"/>
        </w:rPr>
        <w:t xml:space="preserve">Teoretycznie, czynnikiem zewnętrznym ułatwiającym </w:t>
      </w:r>
      <w:r w:rsidR="00F0412A" w:rsidRPr="00573768">
        <w:rPr>
          <w:sz w:val="22"/>
        </w:rPr>
        <w:t>osiąganie</w:t>
      </w:r>
      <w:r w:rsidRPr="007B5F7E">
        <w:rPr>
          <w:sz w:val="22"/>
        </w:rPr>
        <w:t xml:space="preserve"> założonych celów powinien być </w:t>
      </w:r>
      <w:r w:rsidR="00F0412A" w:rsidRPr="00573768">
        <w:rPr>
          <w:sz w:val="22"/>
        </w:rPr>
        <w:t>malejący</w:t>
      </w:r>
      <w:r w:rsidRPr="007B5F7E">
        <w:rPr>
          <w:sz w:val="22"/>
        </w:rPr>
        <w:t xml:space="preserve"> współczynnik aktywności ekonomicznej ludności w </w:t>
      </w:r>
      <w:r w:rsidR="00F0412A" w:rsidRPr="00573768">
        <w:rPr>
          <w:sz w:val="22"/>
        </w:rPr>
        <w:t>województwie</w:t>
      </w:r>
      <w:r w:rsidRPr="007B5F7E">
        <w:rPr>
          <w:sz w:val="22"/>
        </w:rPr>
        <w:t xml:space="preserve"> śląskim - wpływa on bowiem na zwiększenie grupy docelowej działań skierowanych ku </w:t>
      </w:r>
      <w:r w:rsidR="00F0412A" w:rsidRPr="00573768">
        <w:rPr>
          <w:sz w:val="22"/>
        </w:rPr>
        <w:t>osobom</w:t>
      </w:r>
      <w:r w:rsidRPr="007B5F7E">
        <w:rPr>
          <w:sz w:val="22"/>
        </w:rPr>
        <w:t xml:space="preserve"> po 50 roku życia i o najniższych kwalifikacjach. W praktyce jednak, biorąc pod uwagę problemy wskazywane przez beneficjentów w składanych wnioskach o płatność, okazuje się, </w:t>
      </w:r>
      <w:r w:rsidR="00DA7110">
        <w:rPr>
          <w:sz w:val="22"/>
        </w:rPr>
        <w:t>ż</w:t>
      </w:r>
      <w:r w:rsidRPr="007B5F7E">
        <w:rPr>
          <w:sz w:val="22"/>
        </w:rPr>
        <w:t xml:space="preserve">e grupa ta </w:t>
      </w:r>
      <w:r w:rsidR="006A4CF7">
        <w:rPr>
          <w:sz w:val="22"/>
        </w:rPr>
        <w:t>była</w:t>
      </w:r>
      <w:r w:rsidR="006A4CF7" w:rsidRPr="007B5F7E">
        <w:rPr>
          <w:sz w:val="22"/>
        </w:rPr>
        <w:t xml:space="preserve"> </w:t>
      </w:r>
      <w:r w:rsidRPr="007B5F7E">
        <w:rPr>
          <w:sz w:val="22"/>
        </w:rPr>
        <w:t>najtrudniejsza w rekrutacji i sprawia</w:t>
      </w:r>
      <w:r w:rsidR="006A4CF7">
        <w:rPr>
          <w:sz w:val="22"/>
        </w:rPr>
        <w:t>ła</w:t>
      </w:r>
      <w:r w:rsidRPr="007B5F7E">
        <w:rPr>
          <w:sz w:val="22"/>
        </w:rPr>
        <w:t xml:space="preserve"> beneficjentom największe trudności w realizacji zakładanych wartości wskaźników</w:t>
      </w:r>
      <w:r w:rsidR="006A4CF7">
        <w:rPr>
          <w:sz w:val="22"/>
        </w:rPr>
        <w:t xml:space="preserve"> (Działanie 11.4 Podnoszenie kwalifikacji osób dorosłych)</w:t>
      </w:r>
      <w:r w:rsidRPr="007B5F7E">
        <w:rPr>
          <w:sz w:val="22"/>
        </w:rPr>
        <w:t>.</w:t>
      </w:r>
      <w:r w:rsidR="006A4CF7">
        <w:rPr>
          <w:sz w:val="22"/>
        </w:rPr>
        <w:t xml:space="preserve"> Należy jednak mieć na uwadze, że po części sytuacja ta związana jest z postępowaniem samych beneficjentów, którzy dążyli do realizacji szkoleń w formule grupowej (wbrew zamysłowi regulaminu konkursu), co wiązało się z koniecznością stosunkowo długiego czasu oczekiwania uczestników na zebranie grupy wymaganej do rozpoczęcia szkoleń.</w:t>
      </w:r>
    </w:p>
    <w:p w14:paraId="133B0681" w14:textId="77777777" w:rsidR="003A0702" w:rsidRDefault="00B92C93" w:rsidP="00DF64C7">
      <w:pPr>
        <w:jc w:val="left"/>
      </w:pPr>
      <w:r>
        <w:t>Poniżej przedstawiono c</w:t>
      </w:r>
      <w:r w:rsidR="009B5AF3">
        <w:t xml:space="preserve">zynniki utrudniające realizację założonych celów </w:t>
      </w:r>
      <w:r>
        <w:t>w podziale</w:t>
      </w:r>
      <w:r w:rsidR="009B5AF3">
        <w:t xml:space="preserve"> na zewnętrzne (niezależne od IZ RPO WSL 2014-2020) i wewnętrzne (zależne od IZ RPO WSL 2014-2020).</w:t>
      </w:r>
    </w:p>
    <w:p w14:paraId="5A753EE1" w14:textId="3585ABAF" w:rsidR="00F52861" w:rsidRDefault="00F52861" w:rsidP="00DF64C7">
      <w:pPr>
        <w:pStyle w:val="Legenda"/>
        <w:spacing w:line="271" w:lineRule="auto"/>
        <w:jc w:val="left"/>
      </w:pPr>
      <w:bookmarkStart w:id="49" w:name="_Toc33457223"/>
      <w:r>
        <w:t xml:space="preserve">Tabela </w:t>
      </w:r>
      <w:r w:rsidR="00C01137">
        <w:rPr>
          <w:noProof/>
        </w:rPr>
        <w:fldChar w:fldCharType="begin"/>
      </w:r>
      <w:r w:rsidR="00C01137">
        <w:rPr>
          <w:noProof/>
        </w:rPr>
        <w:instrText xml:space="preserve"> SEQ Tabela \* ARABIC </w:instrText>
      </w:r>
      <w:r w:rsidR="00C01137">
        <w:rPr>
          <w:noProof/>
        </w:rPr>
        <w:fldChar w:fldCharType="separate"/>
      </w:r>
      <w:r w:rsidR="00A8147E">
        <w:rPr>
          <w:noProof/>
        </w:rPr>
        <w:t>23</w:t>
      </w:r>
      <w:r w:rsidR="00C01137">
        <w:rPr>
          <w:noProof/>
        </w:rPr>
        <w:fldChar w:fldCharType="end"/>
      </w:r>
      <w:r w:rsidR="00F437F8">
        <w:t xml:space="preserve">. </w:t>
      </w:r>
      <w:r>
        <w:t>Czynniki zewnętrzne i wewnętrzne utrudniające realizację założonych celów</w:t>
      </w:r>
      <w:bookmarkEnd w:id="49"/>
    </w:p>
    <w:tbl>
      <w:tblPr>
        <w:tblStyle w:val="Tabelasiatki4akcent61"/>
        <w:tblW w:w="0" w:type="auto"/>
        <w:tblLook w:val="04A0" w:firstRow="1" w:lastRow="0" w:firstColumn="1" w:lastColumn="0" w:noHBand="0" w:noVBand="1"/>
        <w:tblCaption w:val="Czynniki zewnętrzne i wewnętrzne utrudniające realizację założonych celów"/>
        <w:tblDescription w:val="W tabeli przedstawiono czynniki zewnętrzne i wewnętrzne utrudniające realizację założonych celów dla OP XI i XII w oparciu o przeprowadzoną analizę danych zastanych."/>
      </w:tblPr>
      <w:tblGrid>
        <w:gridCol w:w="4715"/>
        <w:gridCol w:w="4345"/>
      </w:tblGrid>
      <w:tr w:rsidR="00F52861" w:rsidRPr="00F52861" w14:paraId="029BFA6B" w14:textId="77777777" w:rsidTr="00080ABC">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4786" w:type="dxa"/>
          </w:tcPr>
          <w:p w14:paraId="5EFA2A88" w14:textId="77777777" w:rsidR="00F52861" w:rsidRPr="00F52861" w:rsidRDefault="00F52861" w:rsidP="00DF64C7">
            <w:pPr>
              <w:jc w:val="left"/>
              <w:rPr>
                <w:sz w:val="20"/>
              </w:rPr>
            </w:pPr>
            <w:r w:rsidRPr="00F52861">
              <w:rPr>
                <w:sz w:val="20"/>
              </w:rPr>
              <w:t>Czynniki zewnętrzne</w:t>
            </w:r>
            <w:r w:rsidRPr="00F52861">
              <w:rPr>
                <w:rStyle w:val="Odwoanieprzypisudolnego"/>
                <w:sz w:val="20"/>
              </w:rPr>
              <w:footnoteReference w:id="72"/>
            </w:r>
          </w:p>
        </w:tc>
        <w:tc>
          <w:tcPr>
            <w:tcW w:w="4426" w:type="dxa"/>
          </w:tcPr>
          <w:p w14:paraId="3E3E99B8" w14:textId="77777777" w:rsidR="00F52861" w:rsidRPr="00F52861" w:rsidRDefault="00F52861" w:rsidP="00DF64C7">
            <w:pPr>
              <w:jc w:val="left"/>
              <w:cnfStyle w:val="100000000000" w:firstRow="1" w:lastRow="0" w:firstColumn="0" w:lastColumn="0" w:oddVBand="0" w:evenVBand="0" w:oddHBand="0" w:evenHBand="0" w:firstRowFirstColumn="0" w:firstRowLastColumn="0" w:lastRowFirstColumn="0" w:lastRowLastColumn="0"/>
              <w:rPr>
                <w:sz w:val="20"/>
              </w:rPr>
            </w:pPr>
            <w:r w:rsidRPr="00F52861">
              <w:rPr>
                <w:sz w:val="20"/>
              </w:rPr>
              <w:t>Czynniki wewnętrzne</w:t>
            </w:r>
            <w:r w:rsidRPr="00F52861">
              <w:rPr>
                <w:rStyle w:val="Odwoanieprzypisudolnego"/>
                <w:sz w:val="20"/>
              </w:rPr>
              <w:footnoteReference w:id="73"/>
            </w:r>
          </w:p>
        </w:tc>
      </w:tr>
      <w:tr w:rsidR="00F52861" w:rsidRPr="00F52861" w14:paraId="5D007C48"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786" w:type="dxa"/>
            <w:shd w:val="clear" w:color="auto" w:fill="FFFFFF" w:themeFill="background1"/>
          </w:tcPr>
          <w:p w14:paraId="34E294CB" w14:textId="77777777" w:rsidR="00F52861" w:rsidRPr="00F52861" w:rsidRDefault="00F52861" w:rsidP="00DF64C7">
            <w:pPr>
              <w:pStyle w:val="Akapitzlist"/>
              <w:numPr>
                <w:ilvl w:val="0"/>
                <w:numId w:val="24"/>
              </w:numPr>
              <w:ind w:left="426"/>
              <w:jc w:val="left"/>
              <w:rPr>
                <w:b w:val="0"/>
                <w:sz w:val="20"/>
              </w:rPr>
            </w:pPr>
            <w:r w:rsidRPr="00F52861">
              <w:rPr>
                <w:b w:val="0"/>
                <w:sz w:val="20"/>
              </w:rPr>
              <w:t>Duża kumulacja projektów współfinansowanych ze środków Unii Europejskiej na terenie całej Polski, co wpływa na problemy z wyłonieniem wykonawców usług przewidzianych w projekcie;</w:t>
            </w:r>
          </w:p>
          <w:p w14:paraId="7372F2E2" w14:textId="77777777" w:rsidR="00F52861" w:rsidRPr="00F52861" w:rsidRDefault="00F52861" w:rsidP="00DF64C7">
            <w:pPr>
              <w:pStyle w:val="Akapitzlist"/>
              <w:numPr>
                <w:ilvl w:val="0"/>
                <w:numId w:val="24"/>
              </w:numPr>
              <w:ind w:left="426"/>
              <w:jc w:val="left"/>
              <w:rPr>
                <w:b w:val="0"/>
                <w:sz w:val="20"/>
              </w:rPr>
            </w:pPr>
            <w:r w:rsidRPr="00F52861">
              <w:rPr>
                <w:b w:val="0"/>
                <w:sz w:val="20"/>
              </w:rPr>
              <w:t>Konieczność stosowania Prawa Zamówień Publicznych oraz zasady konkurencyjności – procedura jest bardzo czasochłonna, problem stanowiły także wprowadzane zmiany. Dodatkowo niejednokrotnie problemem był brak oferentów lub brak ofert cenowych adekwatnych do możliwości finansowych beneficjentów;</w:t>
            </w:r>
          </w:p>
          <w:p w14:paraId="1BDCAF5B" w14:textId="77777777" w:rsidR="00F52861" w:rsidRPr="00F52861" w:rsidRDefault="00F52861" w:rsidP="00DF64C7">
            <w:pPr>
              <w:pStyle w:val="Akapitzlist"/>
              <w:numPr>
                <w:ilvl w:val="0"/>
                <w:numId w:val="24"/>
              </w:numPr>
              <w:ind w:left="426"/>
              <w:jc w:val="left"/>
              <w:rPr>
                <w:b w:val="0"/>
                <w:sz w:val="20"/>
              </w:rPr>
            </w:pPr>
            <w:r w:rsidRPr="00F52861">
              <w:rPr>
                <w:b w:val="0"/>
                <w:sz w:val="20"/>
              </w:rPr>
              <w:t>Nieporozumienia i trudności związane z wykonawcą projektu;</w:t>
            </w:r>
          </w:p>
          <w:p w14:paraId="7C3FF538" w14:textId="77777777" w:rsidR="00F52861" w:rsidRPr="00F52861" w:rsidRDefault="00F52861" w:rsidP="00DF64C7">
            <w:pPr>
              <w:pStyle w:val="Akapitzlist"/>
              <w:numPr>
                <w:ilvl w:val="0"/>
                <w:numId w:val="24"/>
              </w:numPr>
              <w:ind w:left="426"/>
              <w:jc w:val="left"/>
              <w:rPr>
                <w:b w:val="0"/>
                <w:sz w:val="20"/>
              </w:rPr>
            </w:pPr>
            <w:r w:rsidRPr="00F52861">
              <w:rPr>
                <w:b w:val="0"/>
                <w:sz w:val="20"/>
              </w:rPr>
              <w:t>Opóźnienia w przetargach na wykonawcę. W postępowaniu dochodziło niejednokrotnie do unieważniania przetargów bądź też ich rozdzielania ze względu na różnorodność zapotrzebowania placówek oświatowych – na przykład pod kątem wyposażenia i pomocy dydaktycznych. Prowadziło to również do opóźnień w realizacji zadań zgodnie z założonym na etapie konkursowym harmonogramem;</w:t>
            </w:r>
          </w:p>
          <w:p w14:paraId="3CAF6A44" w14:textId="77777777" w:rsidR="00F52861" w:rsidRPr="00F52861" w:rsidRDefault="00F52861" w:rsidP="00DF64C7">
            <w:pPr>
              <w:pStyle w:val="Akapitzlist"/>
              <w:numPr>
                <w:ilvl w:val="0"/>
                <w:numId w:val="24"/>
              </w:numPr>
              <w:ind w:left="426"/>
              <w:jc w:val="left"/>
              <w:rPr>
                <w:b w:val="0"/>
                <w:sz w:val="20"/>
              </w:rPr>
            </w:pPr>
            <w:r w:rsidRPr="00F52861">
              <w:rPr>
                <w:b w:val="0"/>
                <w:sz w:val="20"/>
              </w:rPr>
              <w:t>Zmiana cen materiałów, sprzętów i usług, wpływająca na wzrost kosztów realizacji projektów;</w:t>
            </w:r>
          </w:p>
          <w:p w14:paraId="308C9589" w14:textId="77777777" w:rsidR="00F52861" w:rsidRPr="00F52861" w:rsidRDefault="00F52861" w:rsidP="00DF64C7">
            <w:pPr>
              <w:pStyle w:val="Akapitzlist"/>
              <w:numPr>
                <w:ilvl w:val="0"/>
                <w:numId w:val="24"/>
              </w:numPr>
              <w:ind w:left="426"/>
              <w:jc w:val="left"/>
              <w:rPr>
                <w:b w:val="0"/>
                <w:sz w:val="20"/>
              </w:rPr>
            </w:pPr>
            <w:r w:rsidRPr="00F52861">
              <w:rPr>
                <w:b w:val="0"/>
                <w:sz w:val="20"/>
              </w:rPr>
              <w:t>Uzyskanie zgodności założonych działań projektowych z przepisami niezależnymi od IZ RPO WSL 2014-2020;</w:t>
            </w:r>
          </w:p>
          <w:p w14:paraId="1C5172A7" w14:textId="77777777" w:rsidR="00F52861" w:rsidRPr="00F52861" w:rsidRDefault="00F52861" w:rsidP="00DF64C7">
            <w:pPr>
              <w:pStyle w:val="Akapitzlist"/>
              <w:numPr>
                <w:ilvl w:val="0"/>
                <w:numId w:val="24"/>
              </w:numPr>
              <w:ind w:left="426"/>
              <w:jc w:val="left"/>
              <w:rPr>
                <w:b w:val="0"/>
                <w:sz w:val="20"/>
              </w:rPr>
            </w:pPr>
            <w:r w:rsidRPr="00F52861">
              <w:rPr>
                <w:b w:val="0"/>
                <w:sz w:val="20"/>
              </w:rPr>
              <w:t>Zróżnicowany stopień gotowości beneficjentów realizujących projekty infrastrukturalne, o charakterze budowlanym – opóźnienie w realizacji projektu powodował m.in. brak przygotowanej uprzednio dokumentacji technicznej/projektowej, złe oszacowanie harmonogramu czy kosztów realizacji;</w:t>
            </w:r>
          </w:p>
          <w:p w14:paraId="7BA827E3" w14:textId="77777777" w:rsidR="00F52861" w:rsidRPr="00F52861" w:rsidRDefault="00F52861" w:rsidP="00DF64C7">
            <w:pPr>
              <w:pStyle w:val="Akapitzlist"/>
              <w:numPr>
                <w:ilvl w:val="0"/>
                <w:numId w:val="24"/>
              </w:numPr>
              <w:ind w:left="426"/>
              <w:jc w:val="left"/>
              <w:rPr>
                <w:b w:val="0"/>
                <w:sz w:val="20"/>
              </w:rPr>
            </w:pPr>
            <w:r w:rsidRPr="00F52861">
              <w:rPr>
                <w:b w:val="0"/>
                <w:sz w:val="20"/>
              </w:rPr>
              <w:t>Trudności w rekrutacji uczestników projektów</w:t>
            </w:r>
            <w:r w:rsidR="00573768">
              <w:rPr>
                <w:b w:val="0"/>
                <w:sz w:val="20"/>
              </w:rPr>
              <w:t xml:space="preserve"> (szczególnie osób po 50 roku </w:t>
            </w:r>
            <w:r w:rsidR="00DA7110">
              <w:rPr>
                <w:b w:val="0"/>
                <w:sz w:val="20"/>
              </w:rPr>
              <w:t>ż</w:t>
            </w:r>
            <w:r w:rsidR="00573768">
              <w:rPr>
                <w:b w:val="0"/>
                <w:sz w:val="20"/>
              </w:rPr>
              <w:t>ycia i posiadających najniższe kwalifikacje)</w:t>
            </w:r>
            <w:r w:rsidRPr="00F52861">
              <w:rPr>
                <w:b w:val="0"/>
                <w:sz w:val="20"/>
              </w:rPr>
              <w:t>;</w:t>
            </w:r>
          </w:p>
          <w:p w14:paraId="7D0F2AA5" w14:textId="77777777" w:rsidR="00F52861" w:rsidRPr="00F52861" w:rsidRDefault="00F52861" w:rsidP="00DF64C7">
            <w:pPr>
              <w:pStyle w:val="Akapitzlist"/>
              <w:numPr>
                <w:ilvl w:val="0"/>
                <w:numId w:val="24"/>
              </w:numPr>
              <w:ind w:left="426"/>
              <w:jc w:val="left"/>
              <w:rPr>
                <w:b w:val="0"/>
                <w:sz w:val="20"/>
              </w:rPr>
            </w:pPr>
            <w:r w:rsidRPr="00F52861">
              <w:rPr>
                <w:b w:val="0"/>
                <w:sz w:val="20"/>
              </w:rPr>
              <w:t>Niekorzystne warunki atmosferyczne wpływające na wydłużenie realizacji działań infrastrukturalnych;</w:t>
            </w:r>
          </w:p>
          <w:p w14:paraId="49E3ED75" w14:textId="77777777" w:rsidR="00F52861" w:rsidRPr="00F52861" w:rsidRDefault="00F52861" w:rsidP="00DF64C7">
            <w:pPr>
              <w:pStyle w:val="Akapitzlist"/>
              <w:numPr>
                <w:ilvl w:val="0"/>
                <w:numId w:val="24"/>
              </w:numPr>
              <w:ind w:left="426"/>
              <w:jc w:val="left"/>
              <w:rPr>
                <w:b w:val="0"/>
                <w:sz w:val="20"/>
              </w:rPr>
            </w:pPr>
            <w:r w:rsidRPr="00F52861">
              <w:rPr>
                <w:b w:val="0"/>
                <w:sz w:val="20"/>
              </w:rPr>
              <w:t>Reforma oświaty wprowadzająca nowe zasady funkcjonowania szkół kształcenia ogólnego i zawodowego, do których placówki muszą się dostosować;</w:t>
            </w:r>
          </w:p>
          <w:p w14:paraId="48198289" w14:textId="77777777" w:rsidR="00F52861" w:rsidRPr="00F52861" w:rsidRDefault="00F52861" w:rsidP="00DF64C7">
            <w:pPr>
              <w:pStyle w:val="Akapitzlist"/>
              <w:numPr>
                <w:ilvl w:val="0"/>
                <w:numId w:val="24"/>
              </w:numPr>
              <w:ind w:left="426"/>
              <w:jc w:val="left"/>
              <w:rPr>
                <w:b w:val="0"/>
                <w:sz w:val="20"/>
              </w:rPr>
            </w:pPr>
            <w:r w:rsidRPr="00F52861">
              <w:rPr>
                <w:b w:val="0"/>
                <w:sz w:val="20"/>
              </w:rPr>
              <w:t>Liczne zmiany personalne wśród pracowników szkół i placówek objętych wsparciem;</w:t>
            </w:r>
          </w:p>
          <w:p w14:paraId="15B1A43A" w14:textId="77777777" w:rsidR="00F52861" w:rsidRPr="00F52861" w:rsidRDefault="00F52861" w:rsidP="00DF64C7">
            <w:pPr>
              <w:pStyle w:val="Akapitzlist"/>
              <w:numPr>
                <w:ilvl w:val="0"/>
                <w:numId w:val="24"/>
              </w:numPr>
              <w:ind w:left="426"/>
              <w:jc w:val="left"/>
              <w:rPr>
                <w:b w:val="0"/>
                <w:sz w:val="20"/>
              </w:rPr>
            </w:pPr>
            <w:r w:rsidRPr="00F52861">
              <w:rPr>
                <w:b w:val="0"/>
                <w:sz w:val="20"/>
              </w:rPr>
              <w:t>Ograniczony popyt na określone instrumenty pomocowe, co wynika ze zmian potrzeb i oczekiwań potencjalnych beneficjentów (widoczne jest to m.in. poprzez bardzo niski poziom realizacji wskaźnika dotyczącego objętych wsparciem CKZiU</w:t>
            </w:r>
            <w:r w:rsidR="00573768">
              <w:rPr>
                <w:b w:val="0"/>
                <w:sz w:val="20"/>
              </w:rPr>
              <w:t>, w ramach którego wymagane było obniżenie wartości docelowej</w:t>
            </w:r>
            <w:r w:rsidRPr="00F52861">
              <w:rPr>
                <w:b w:val="0"/>
                <w:sz w:val="20"/>
              </w:rPr>
              <w:t>).</w:t>
            </w:r>
          </w:p>
        </w:tc>
        <w:tc>
          <w:tcPr>
            <w:tcW w:w="4426" w:type="dxa"/>
            <w:shd w:val="clear" w:color="auto" w:fill="FFFFFF" w:themeFill="background1"/>
          </w:tcPr>
          <w:p w14:paraId="5AF61278" w14:textId="77777777" w:rsidR="00F52861" w:rsidRPr="00F52861" w:rsidRDefault="00F52861" w:rsidP="00DF64C7">
            <w:pPr>
              <w:pStyle w:val="Akapitzlist"/>
              <w:numPr>
                <w:ilvl w:val="0"/>
                <w:numId w:val="24"/>
              </w:numPr>
              <w:ind w:left="356"/>
              <w:jc w:val="left"/>
              <w:cnfStyle w:val="000000100000" w:firstRow="0" w:lastRow="0" w:firstColumn="0" w:lastColumn="0" w:oddVBand="0" w:evenVBand="0" w:oddHBand="1" w:evenHBand="0" w:firstRowFirstColumn="0" w:firstRowLastColumn="0" w:lastRowFirstColumn="0" w:lastRowLastColumn="0"/>
              <w:rPr>
                <w:sz w:val="20"/>
              </w:rPr>
            </w:pPr>
            <w:r w:rsidRPr="00F52861">
              <w:rPr>
                <w:sz w:val="20"/>
              </w:rPr>
              <w:t>Opóźnienia w rozpoczęciu procesu wdrażania RPO WSL 2014-2020, co wynikało zarówno z działań IZ, jak i czynników zewnętrznych. Opóźnienie w rozpoczęciu wdrażania programu wpłynęło na skrócenie czasu na realizację celów śródokresowych;</w:t>
            </w:r>
          </w:p>
          <w:p w14:paraId="2D2F77C9" w14:textId="77777777" w:rsidR="00F52861" w:rsidRPr="00F52861" w:rsidRDefault="00F52861" w:rsidP="00DF64C7">
            <w:pPr>
              <w:pStyle w:val="Akapitzlist"/>
              <w:numPr>
                <w:ilvl w:val="0"/>
                <w:numId w:val="24"/>
              </w:numPr>
              <w:ind w:left="356"/>
              <w:jc w:val="left"/>
              <w:cnfStyle w:val="000000100000" w:firstRow="0" w:lastRow="0" w:firstColumn="0" w:lastColumn="0" w:oddVBand="0" w:evenVBand="0" w:oddHBand="1" w:evenHBand="0" w:firstRowFirstColumn="0" w:firstRowLastColumn="0" w:lastRowFirstColumn="0" w:lastRowLastColumn="0"/>
              <w:rPr>
                <w:sz w:val="20"/>
              </w:rPr>
            </w:pPr>
            <w:r w:rsidRPr="00F52861">
              <w:rPr>
                <w:sz w:val="20"/>
              </w:rPr>
              <w:t>Przedłużający się czas oceny wniosków o dofinansowanie skutkujący skróceniem czasu na realizację projektów oraz problemami w realizacji projektów wynikającymi m.in. z wycofania ze sprzedaży materiałów i sprzętów określonych we wniosku o dofinansowanie;</w:t>
            </w:r>
          </w:p>
          <w:p w14:paraId="11132CF8" w14:textId="77777777" w:rsidR="00F52861" w:rsidRPr="00F52861" w:rsidRDefault="00F52861" w:rsidP="00DF64C7">
            <w:pPr>
              <w:pStyle w:val="Akapitzlist"/>
              <w:numPr>
                <w:ilvl w:val="0"/>
                <w:numId w:val="24"/>
              </w:numPr>
              <w:ind w:left="356"/>
              <w:jc w:val="left"/>
              <w:cnfStyle w:val="000000100000" w:firstRow="0" w:lastRow="0" w:firstColumn="0" w:lastColumn="0" w:oddVBand="0" w:evenVBand="0" w:oddHBand="1" w:evenHBand="0" w:firstRowFirstColumn="0" w:firstRowLastColumn="0" w:lastRowFirstColumn="0" w:lastRowLastColumn="0"/>
              <w:rPr>
                <w:sz w:val="20"/>
              </w:rPr>
            </w:pPr>
            <w:r w:rsidRPr="00F52861">
              <w:rPr>
                <w:sz w:val="20"/>
              </w:rPr>
              <w:t>Relatywnie długi czas od momentu rozstrzygnięcia konkursu do podpisania umowy o dofinansowanie, co wpływa na opóźnienie rozpoczęcia realizacji projektu. Wpływ na opóźnienie podpisania umowy mają także inne czynniki, m.in. wprowadzane przez beneficjentów zmiany w projektach;</w:t>
            </w:r>
          </w:p>
          <w:p w14:paraId="27B0DC7E" w14:textId="77777777" w:rsidR="00CF7538" w:rsidRPr="00F52861" w:rsidRDefault="00F52861" w:rsidP="00DF64C7">
            <w:pPr>
              <w:pStyle w:val="Akapitzlist"/>
              <w:numPr>
                <w:ilvl w:val="0"/>
                <w:numId w:val="24"/>
              </w:numPr>
              <w:ind w:left="356"/>
              <w:jc w:val="left"/>
              <w:cnfStyle w:val="000000100000" w:firstRow="0" w:lastRow="0" w:firstColumn="0" w:lastColumn="0" w:oddVBand="0" w:evenVBand="0" w:oddHBand="1" w:evenHBand="0" w:firstRowFirstColumn="0" w:firstRowLastColumn="0" w:lastRowFirstColumn="0" w:lastRowLastColumn="0"/>
              <w:rPr>
                <w:sz w:val="20"/>
              </w:rPr>
            </w:pPr>
            <w:r w:rsidRPr="00F52861">
              <w:rPr>
                <w:sz w:val="20"/>
              </w:rPr>
              <w:t>Relatywnie długi czas weryfikowania wniosków o płatność, na co wpływ ma głównie złożona procedura ich weryfikacji, ograniczone zasoby kadrowe instytucji zaangażowanych w proces wdrażania RPO WSL 2014-2020 oraz błędy popełniane przez beneficjentów;</w:t>
            </w:r>
          </w:p>
          <w:p w14:paraId="4707A2AB" w14:textId="77777777" w:rsidR="00F52861" w:rsidRPr="00E24BD3" w:rsidRDefault="00F52861" w:rsidP="00DF64C7">
            <w:pPr>
              <w:pStyle w:val="Akapitzlist"/>
              <w:numPr>
                <w:ilvl w:val="0"/>
                <w:numId w:val="24"/>
              </w:numPr>
              <w:ind w:left="356"/>
              <w:jc w:val="left"/>
              <w:cnfStyle w:val="000000100000" w:firstRow="0" w:lastRow="0" w:firstColumn="0" w:lastColumn="0" w:oddVBand="0" w:evenVBand="0" w:oddHBand="1" w:evenHBand="0" w:firstRowFirstColumn="0" w:firstRowLastColumn="0" w:lastRowFirstColumn="0" w:lastRowLastColumn="0"/>
              <w:rPr>
                <w:sz w:val="20"/>
              </w:rPr>
            </w:pPr>
            <w:r w:rsidRPr="00E24BD3">
              <w:rPr>
                <w:sz w:val="20"/>
              </w:rPr>
              <w:t>Zmieniające się wytyczne oraz zbyt długi czas oczekiwania na płatności w ramach projektu</w:t>
            </w:r>
            <w:r w:rsidR="00CF7538">
              <w:t xml:space="preserve"> (</w:t>
            </w:r>
            <w:r w:rsidR="00CF7538" w:rsidRPr="00E24BD3">
              <w:rPr>
                <w:sz w:val="20"/>
              </w:rPr>
              <w:t>wynikający co do zasady z niepoprawności składanych wniosków o płatność)</w:t>
            </w:r>
            <w:r w:rsidRPr="00E24BD3">
              <w:rPr>
                <w:sz w:val="20"/>
              </w:rPr>
              <w:t>;</w:t>
            </w:r>
          </w:p>
          <w:p w14:paraId="0AF84C3F" w14:textId="77777777" w:rsidR="00F52861" w:rsidRDefault="00F52861" w:rsidP="00DF64C7">
            <w:pPr>
              <w:pStyle w:val="Akapitzlist"/>
              <w:numPr>
                <w:ilvl w:val="0"/>
                <w:numId w:val="24"/>
              </w:numPr>
              <w:ind w:left="356"/>
              <w:jc w:val="left"/>
              <w:cnfStyle w:val="000000100000" w:firstRow="0" w:lastRow="0" w:firstColumn="0" w:lastColumn="0" w:oddVBand="0" w:evenVBand="0" w:oddHBand="1" w:evenHBand="0" w:firstRowFirstColumn="0" w:firstRowLastColumn="0" w:lastRowFirstColumn="0" w:lastRowLastColumn="0"/>
              <w:rPr>
                <w:sz w:val="20"/>
              </w:rPr>
            </w:pPr>
            <w:r w:rsidRPr="00F52861">
              <w:rPr>
                <w:sz w:val="20"/>
              </w:rPr>
              <w:t>Zmiany opiekunów projektów oraz zbyt długi czas odpowiedzi opiekunów i IP na zapytania od beneficjentów, co wpływać może na niedotrzymanie terminów lub dezaktualizację pytania i związanych z nim działań</w:t>
            </w:r>
            <w:r w:rsidR="00CF7538">
              <w:rPr>
                <w:sz w:val="20"/>
              </w:rPr>
              <w:t>;</w:t>
            </w:r>
          </w:p>
          <w:p w14:paraId="7291C35B" w14:textId="77777777" w:rsidR="003C2871" w:rsidRPr="00F52861" w:rsidRDefault="003C2871" w:rsidP="00DF64C7">
            <w:pPr>
              <w:pStyle w:val="Akapitzlist"/>
              <w:numPr>
                <w:ilvl w:val="0"/>
                <w:numId w:val="24"/>
              </w:numPr>
              <w:ind w:left="356"/>
              <w:jc w:val="left"/>
              <w:cnfStyle w:val="000000100000" w:firstRow="0" w:lastRow="0" w:firstColumn="0" w:lastColumn="0" w:oddVBand="0" w:evenVBand="0" w:oddHBand="1" w:evenHBand="0" w:firstRowFirstColumn="0" w:firstRowLastColumn="0" w:lastRowFirstColumn="0" w:lastRowLastColumn="0"/>
              <w:rPr>
                <w:sz w:val="20"/>
              </w:rPr>
            </w:pPr>
            <w:r w:rsidRPr="00E24BD3">
              <w:rPr>
                <w:sz w:val="20"/>
              </w:rPr>
              <w:t>Niezbyt staranna analiza grupy docelowej, w tym faktycznego stopnia zainteresowania projektem oraz istniejących barier uczestnictwa w projekcie, a także niezbyt staranne zaplanowanie dodatkowych działań w przypadku kłopotów w rekrutacji.</w:t>
            </w:r>
          </w:p>
        </w:tc>
      </w:tr>
    </w:tbl>
    <w:p w14:paraId="76ACCAAB" w14:textId="77777777" w:rsidR="00FB28BE" w:rsidRPr="009C3481" w:rsidRDefault="00F52861" w:rsidP="00DF64C7">
      <w:pPr>
        <w:pStyle w:val="Tekstprzypisudolnego"/>
        <w:spacing w:line="271" w:lineRule="auto"/>
        <w:rPr>
          <w:rFonts w:ascii="Arial" w:hAnsi="Arial" w:cs="Arial"/>
          <w:sz w:val="18"/>
          <w:szCs w:val="18"/>
        </w:rPr>
      </w:pPr>
      <w:r w:rsidRPr="009C3481">
        <w:rPr>
          <w:rFonts w:ascii="Arial" w:hAnsi="Arial" w:cs="Arial"/>
          <w:sz w:val="18"/>
          <w:szCs w:val="18"/>
        </w:rPr>
        <w:t>Źródło: opracowanie własne EU-Consult sp. z o.o.</w:t>
      </w:r>
      <w:r w:rsidR="00FB28BE" w:rsidRPr="009C3481">
        <w:rPr>
          <w:rFonts w:ascii="Arial" w:hAnsi="Arial" w:cs="Arial"/>
          <w:sz w:val="18"/>
          <w:szCs w:val="18"/>
        </w:rPr>
        <w:t xml:space="preserve"> na podstawie dokumentów: Ewaluacja mid-term dotycząca postępu rzeczowego RPO WSL oraz wkładu Programu w realizację unijnej strategii EU 2020 dla potrzeb przeglądu śródokresowego, Ewaluacja osiągania celów Programu wraz z oceną stanu projektów w ramach ścieżki pozakonkursowej, Ewaluacja wsparcia realizowanego w obszarze edukacji w ramach Europejskiego Funduszu Społecznego oraz dużych projektów oraz analizy baz dostarczonych przez Zamawiającego.</w:t>
      </w:r>
    </w:p>
    <w:p w14:paraId="5DE7ED44" w14:textId="77777777" w:rsidR="005A505C" w:rsidRDefault="005A505C" w:rsidP="00DF64C7">
      <w:pPr>
        <w:pStyle w:val="podpisrdailustracji"/>
        <w:spacing w:line="271" w:lineRule="auto"/>
        <w:jc w:val="left"/>
      </w:pPr>
    </w:p>
    <w:p w14:paraId="25864051" w14:textId="77777777" w:rsidR="009D131C" w:rsidRDefault="00F81F30" w:rsidP="00DF64C7">
      <w:pPr>
        <w:jc w:val="left"/>
      </w:pPr>
      <w:r>
        <w:t xml:space="preserve">Beneficjenci </w:t>
      </w:r>
      <w:r w:rsidR="00B92C93">
        <w:t xml:space="preserve">(uczestniczący w badaniu CATI/CAWI) </w:t>
      </w:r>
      <w:r>
        <w:t>realizujący projekty w ramach OP XI oraz OP XII wskazywali</w:t>
      </w:r>
      <w:r w:rsidR="00D44FC7">
        <w:t xml:space="preserve"> na węższy zakres problemowy -</w:t>
      </w:r>
      <w:r>
        <w:t xml:space="preserve"> głównie na konieczność realizowania zamówień publicznych, które wymagały dużych nakładów czasu oraz pracy osób zaangażowanych do projektu</w:t>
      </w:r>
      <w:r w:rsidR="00D44FC7">
        <w:t xml:space="preserve"> (problem ten wskazany został również w innych badaniach ewaluacyjnych, zgodnie z tabelą powyżej)</w:t>
      </w:r>
      <w:r>
        <w:t xml:space="preserve">. Innym </w:t>
      </w:r>
      <w:r w:rsidR="006E7DEC">
        <w:t xml:space="preserve">często wskazywanym </w:t>
      </w:r>
      <w:r>
        <w:t>czynnikiem była konieczność wykorzystywania systemu LSI, który ponownie wymagał dużego zaangażowania pracowników w zakresie jego obsługi. Jest on szczególnie uciążliwy dla beneficjentów tych projektów, które skierowane są do dużej grupy uczestników.</w:t>
      </w:r>
      <w:r w:rsidR="000456CD">
        <w:t xml:space="preserve"> </w:t>
      </w:r>
      <w:r w:rsidR="00F208D2">
        <w:t xml:space="preserve">Problem stanowiły również częste zmiany przepisów prawnych i brak ich jasnej interpretacji. </w:t>
      </w:r>
      <w:r w:rsidR="000456CD">
        <w:t>Osoby realizujące projekty związane z kształceniem ogólnym wskazywały także na wspomnianą wyżej reformę oświaty,</w:t>
      </w:r>
      <w:r w:rsidR="000456CD" w:rsidRPr="000456CD">
        <w:t xml:space="preserve"> </w:t>
      </w:r>
      <w:r w:rsidR="000456CD">
        <w:t>która sprawiła, że w trakcie realizacji projektu gimnazjum przekształciło się w szkołę podstawową. Z pomocą IZ udało się jednak bez przeszkód pokonać problemy związane z tą reformą i nie spowodowała ona żadnych szkód dla projektu.</w:t>
      </w:r>
      <w:r w:rsidR="006E7DEC">
        <w:t xml:space="preserve"> Warto też zaznaczyć, że wśród wymienianych czynników utrudniających znalazł się brak kadry posiadającej doświadczenie w realizacji i rozliczaniu projektów unijnych (aspekt ten łączy się z wcześniej opisywanymi czynnikami ułatwiającymi realizację założonych celów, gdzie właśnie posiadanie odpowiednio doświadczonej kadry stanowiło jeden z głównych czynników pozytywnych</w:t>
      </w:r>
      <w:r w:rsidR="00C80703">
        <w:t>)</w:t>
      </w:r>
      <w:r w:rsidR="006E7DEC">
        <w:t>. Na piątym miejscu w poniższym zestawieniu znalazł się problem z rekrutacją uczestników – w tym zakresie warto zaznaczyć, że w głównej mierze problem dotyczył projektów skierowanych do osób po 50 roku życia i posiadających niskie kwalifikacje (grupa ta, zdaniem beneficjentów, była najtrudniejsza w rekrutacji).</w:t>
      </w:r>
    </w:p>
    <w:p w14:paraId="2A5E2B82" w14:textId="77777777" w:rsidR="00995086" w:rsidRPr="009D131C" w:rsidRDefault="00995086" w:rsidP="00DF64C7">
      <w:pPr>
        <w:jc w:val="left"/>
      </w:pPr>
      <w:r>
        <w:t xml:space="preserve">Warto również dodać, </w:t>
      </w:r>
      <w:r w:rsidR="007D55D0">
        <w:t>ż</w:t>
      </w:r>
      <w:r>
        <w:t>e zarówno analiza desk research, jak i analiza wyników badań pierwotnych nie pozwoliła stwierdzić, że czynnikiem ograniczającym mogą być przyjęte kryteria wyboru projektów czy regulaminy konkursów.</w:t>
      </w:r>
      <w:r w:rsidRPr="00995086">
        <w:rPr>
          <w:rFonts w:eastAsia="Calibri" w:cs="Arial"/>
        </w:rPr>
        <w:t xml:space="preserve"> </w:t>
      </w:r>
      <w:r>
        <w:rPr>
          <w:rFonts w:eastAsia="Calibri" w:cs="Arial"/>
        </w:rPr>
        <w:t>Nie stanowią one tym samym aspektów problemowych</w:t>
      </w:r>
      <w:r w:rsidRPr="00610089">
        <w:rPr>
          <w:rFonts w:eastAsia="Calibri" w:cs="Arial"/>
        </w:rPr>
        <w:t xml:space="preserve"> dla podmiotów aplikujących</w:t>
      </w:r>
      <w:r>
        <w:rPr>
          <w:rFonts w:eastAsia="Calibri" w:cs="Arial"/>
        </w:rPr>
        <w:t xml:space="preserve"> o </w:t>
      </w:r>
      <w:r w:rsidRPr="00610089">
        <w:rPr>
          <w:rFonts w:eastAsia="Calibri" w:cs="Arial"/>
        </w:rPr>
        <w:t>dofinansowanie</w:t>
      </w:r>
      <w:r>
        <w:rPr>
          <w:rFonts w:eastAsia="Calibri" w:cs="Arial"/>
        </w:rPr>
        <w:t xml:space="preserve"> i </w:t>
      </w:r>
      <w:r w:rsidRPr="00610089">
        <w:rPr>
          <w:rFonts w:eastAsia="Calibri" w:cs="Arial"/>
        </w:rPr>
        <w:t>wdrażających projekty</w:t>
      </w:r>
      <w:r>
        <w:rPr>
          <w:rFonts w:eastAsia="Calibri" w:cs="Arial"/>
        </w:rPr>
        <w:t xml:space="preserve"> z </w:t>
      </w:r>
      <w:r w:rsidRPr="00610089">
        <w:rPr>
          <w:rFonts w:eastAsia="Calibri" w:cs="Arial"/>
        </w:rPr>
        <w:t>zakresu OP XI</w:t>
      </w:r>
      <w:r>
        <w:rPr>
          <w:rFonts w:eastAsia="Calibri" w:cs="Arial"/>
        </w:rPr>
        <w:t xml:space="preserve"> i </w:t>
      </w:r>
      <w:r w:rsidRPr="00610089">
        <w:rPr>
          <w:rFonts w:eastAsia="Calibri" w:cs="Arial"/>
        </w:rPr>
        <w:t>XII.</w:t>
      </w:r>
    </w:p>
    <w:p w14:paraId="79B7EA06" w14:textId="4F11BA8D" w:rsidR="00F208D2" w:rsidRDefault="00F208D2" w:rsidP="00DF64C7">
      <w:pPr>
        <w:pStyle w:val="Legenda"/>
        <w:spacing w:line="271" w:lineRule="auto"/>
        <w:jc w:val="left"/>
      </w:pPr>
      <w:bookmarkStart w:id="50" w:name="_Toc33459793"/>
      <w:r>
        <w:t xml:space="preserve">Wykres </w:t>
      </w:r>
      <w:r w:rsidR="00AB65C6">
        <w:rPr>
          <w:noProof/>
        </w:rPr>
        <w:fldChar w:fldCharType="begin"/>
      </w:r>
      <w:r w:rsidR="00AB65C6">
        <w:rPr>
          <w:noProof/>
        </w:rPr>
        <w:instrText xml:space="preserve"> SEQ Wykres \* ARABIC </w:instrText>
      </w:r>
      <w:r w:rsidR="00AB65C6">
        <w:rPr>
          <w:noProof/>
        </w:rPr>
        <w:fldChar w:fldCharType="separate"/>
      </w:r>
      <w:r w:rsidR="00A8147E">
        <w:rPr>
          <w:noProof/>
        </w:rPr>
        <w:t>9</w:t>
      </w:r>
      <w:r w:rsidR="00AB65C6">
        <w:rPr>
          <w:noProof/>
        </w:rPr>
        <w:fldChar w:fldCharType="end"/>
      </w:r>
      <w:r w:rsidR="00F437F8">
        <w:rPr>
          <w:noProof/>
        </w:rPr>
        <w:t>.</w:t>
      </w:r>
      <w:r>
        <w:t xml:space="preserve"> Czynniki utrudniające realizację projektów edukacyjnych </w:t>
      </w:r>
      <w:r w:rsidRPr="003E4C0E">
        <w:t>(suma odpowiedzi 4 – „raczej utrudniają/utrudniały” 5 – „zdecydowanie utrudniają/utrudniały”)</w:t>
      </w:r>
      <w:bookmarkEnd w:id="50"/>
    </w:p>
    <w:p w14:paraId="1F99D32E" w14:textId="77777777" w:rsidR="00F208D2" w:rsidRDefault="00E818EE" w:rsidP="00DF64C7">
      <w:pPr>
        <w:jc w:val="left"/>
      </w:pPr>
      <w:r w:rsidRPr="00713F18">
        <w:rPr>
          <w:noProof/>
          <w:lang w:eastAsia="pl-PL"/>
        </w:rPr>
        <w:drawing>
          <wp:inline distT="0" distB="0" distL="0" distR="0" wp14:anchorId="30969371" wp14:editId="1BA32A6D">
            <wp:extent cx="5759450" cy="5026429"/>
            <wp:effectExtent l="0" t="0" r="12700" b="3175"/>
            <wp:docPr id="9" name="Wykres 9" descr="Wykres przedstawia odpowiedzi beneficjentów realizujących projekty edukacyjne na pytanie: &quot;Które czynniki ułatwiają/ułatwiały realizację projektu?&quot; w rozkładzie procentowym. Na wykresie słupkowym przedstawiono odpowiedzi beneficjentów z podziałem na poddziałania: 11.1.1-11.1.3, oraz 12.1. W kafeterii możliwe było wybranie takich odpowiedzi jak:&#10;Niechęć ze strony rodziców do korzystania z usług&#10;Ograniczone możliwości budowy nowego lokalu – konieczność remontu istniejącego obiekty&#10;Współpraca z instytucją organizującą konkurs&#10;Trudności w rekrutacji uczestników&#10;Kontakt z opiekunem projektu&#10;Brak kadry mającej doświadczenie w realizacji i rozliczaniu projektów ze środków UE&#10;Brak jasnej interpretacji przepisów prawnych związanych z wdrażaniem projektów&#10;Procedury zamówień publicznych&#10;Częste zmiany przepisów prawnych&#10;&#10;Najczęściej wskazywane były takie odpowiedzi jak:  częste zmiany przepisów prawnych (kolejno: 11.1.1-11.1.3 - 28,9%),  12.1 (25%) i procedury zamówień publicznych (kolejno: 11.1.1-11.1.3 - 27,2%, 12.1 (32,1%)." title="Czynniki utrudniające realizację projektów edukacyjnych (suma odpowiedzi 4 – „raczej utrudniają/utrudniały” 5 – „zdecydowanie utrudniają/utrudniały”)"/>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474DDF" w14:textId="77777777" w:rsidR="00F208D2" w:rsidRDefault="00BA198F" w:rsidP="00DF64C7">
      <w:pPr>
        <w:pStyle w:val="podpisrdailustracji"/>
        <w:spacing w:line="271" w:lineRule="auto"/>
        <w:jc w:val="left"/>
      </w:pPr>
      <w:r>
        <w:t>Źródło: opracowanie własne na podstawie badania CAWI/CATI z beneficjentami, n=467.</w:t>
      </w:r>
    </w:p>
    <w:p w14:paraId="29834CC3" w14:textId="3AEED533" w:rsidR="00E818EE" w:rsidRPr="000953A4" w:rsidRDefault="00E818EE" w:rsidP="00DF64C7">
      <w:pPr>
        <w:keepNext/>
        <w:spacing w:before="240"/>
        <w:jc w:val="left"/>
        <w:rPr>
          <w:b/>
          <w:bCs/>
          <w:i/>
          <w:sz w:val="18"/>
          <w:szCs w:val="18"/>
        </w:rPr>
      </w:pPr>
      <w:r w:rsidRPr="00E24BD3">
        <w:rPr>
          <w:b/>
          <w:bCs/>
          <w:i/>
          <w:sz w:val="18"/>
          <w:szCs w:val="18"/>
        </w:rPr>
        <w:t xml:space="preserve">Wykres </w:t>
      </w:r>
      <w:r w:rsidRPr="00E24BD3">
        <w:rPr>
          <w:b/>
          <w:bCs/>
          <w:i/>
          <w:noProof/>
          <w:sz w:val="18"/>
          <w:szCs w:val="18"/>
        </w:rPr>
        <w:fldChar w:fldCharType="begin"/>
      </w:r>
      <w:r w:rsidRPr="00E24BD3">
        <w:rPr>
          <w:b/>
          <w:bCs/>
          <w:i/>
          <w:noProof/>
          <w:sz w:val="18"/>
          <w:szCs w:val="18"/>
        </w:rPr>
        <w:instrText xml:space="preserve"> SEQ Wykres \* ARABIC </w:instrText>
      </w:r>
      <w:r w:rsidRPr="00E24BD3">
        <w:rPr>
          <w:b/>
          <w:bCs/>
          <w:i/>
          <w:noProof/>
          <w:sz w:val="18"/>
          <w:szCs w:val="18"/>
        </w:rPr>
        <w:fldChar w:fldCharType="separate"/>
      </w:r>
      <w:r w:rsidR="00A8147E">
        <w:rPr>
          <w:b/>
          <w:bCs/>
          <w:i/>
          <w:noProof/>
          <w:sz w:val="18"/>
          <w:szCs w:val="18"/>
        </w:rPr>
        <w:t>10</w:t>
      </w:r>
      <w:r w:rsidRPr="00E24BD3">
        <w:rPr>
          <w:b/>
          <w:bCs/>
          <w:i/>
          <w:noProof/>
          <w:sz w:val="18"/>
          <w:szCs w:val="18"/>
        </w:rPr>
        <w:fldChar w:fldCharType="end"/>
      </w:r>
      <w:r w:rsidRPr="00E24BD3">
        <w:rPr>
          <w:b/>
          <w:bCs/>
          <w:i/>
          <w:sz w:val="18"/>
          <w:szCs w:val="18"/>
        </w:rPr>
        <w:t>. Czynniki utrudniające realizację projektów edukacyjnych (suma odpowiedzi 4 – „raczej utrudniają/utrudniały” 5 – „zdecydowanie utrudniają/utrudniały”) - beneficjenci realizujący projekty związane z edukacją zawodową</w:t>
      </w:r>
    </w:p>
    <w:p w14:paraId="2D24AC48" w14:textId="77777777" w:rsidR="00E818EE" w:rsidRPr="000953A4" w:rsidRDefault="00E818EE" w:rsidP="00DF64C7">
      <w:pPr>
        <w:jc w:val="left"/>
      </w:pPr>
      <w:r w:rsidRPr="000953A4">
        <w:rPr>
          <w:noProof/>
          <w:lang w:eastAsia="pl-PL"/>
        </w:rPr>
        <w:drawing>
          <wp:inline distT="0" distB="0" distL="0" distR="0" wp14:anchorId="5D9F4FF1" wp14:editId="43CAC12B">
            <wp:extent cx="5756910" cy="6499860"/>
            <wp:effectExtent l="0" t="0" r="15240" b="15240"/>
            <wp:docPr id="23" name="Wykres 23" descr="Wykres przedstawia odpowiedzi beneficjentów realizujących projekty związane z edukacją zawodową na pytanie: &quot;Które czynniki ułatwiają/ułatwiały realizację projektu?&quot; w rozkładzie procentowym. Odpowiedzi przedstawione zostały na wykresie kolumnowym  uwzgędniały beneficjentów z działań: 11.2, 11.3, 11.4, 12.2. Uczestnicy badaniawybierali odpowiedzi z następującej kafeterii:&#10;Kontakt z opiekunem projektu&#10;Współpraca z instytucją organizującą konkurs&#10;Brak kadry mającej doświadczenie w realizacji i rozliczaniu projektów ze środków UE&#10;Brak zainteresowania ze strony uczniów&#10;Brak zainteresowania ze strony pracodawców&#10;Niewystarczający/przestarzały sprzęt i wyposażenie do nauki zawody&#10;Częste zmiany przepisów prawnych&#10;Brak jasnej interpretacji przepisów prawnych związanych z wdrażaniem projektów&#10;Procedury zamówień publicznych&#10;&#10;&#10;W przypadku beneficjentów z działania 11.2 i 12.1 najczęściej wskazywaną odpowiedzią były procedury zamówień publicznych. W przypadku Działania 11.3 najcześciej wybierano wariant procedury zamówień publicznych oraz brak zainteresowania ze strony uczniów. Beneficjenci Działania 11.4 najczęściej wskazywali z kolei na problem braku jasnej interpretacji przepisów prawnych związanych z wdrazaniem projektów oraz brakiem zainteresowania ze strony uczniów.&#10;&#10;" title="Czynniki utrudniające realizację projektów edukacyjnych (suma odpowiedzi 4 – „raczej utrudniają/utrudniały” 5 – „zdecydowanie utrudniają/utrudniały”) - beneficjenci realizujący projekty związane z edukacją zawodową"/>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F21F05" w14:textId="77777777" w:rsidR="00E818EE" w:rsidRPr="000953A4" w:rsidRDefault="00E818EE" w:rsidP="00DF64C7">
      <w:pPr>
        <w:spacing w:after="240"/>
        <w:jc w:val="left"/>
        <w:rPr>
          <w:rFonts w:eastAsiaTheme="minorHAnsi"/>
          <w:sz w:val="18"/>
        </w:rPr>
      </w:pPr>
      <w:r w:rsidRPr="000953A4">
        <w:rPr>
          <w:rFonts w:eastAsiaTheme="minorHAnsi"/>
          <w:sz w:val="18"/>
        </w:rPr>
        <w:t>Źródło: opracowanie własne na podstawie badania CAWI/CATI z beneficjentami, n=164.</w:t>
      </w:r>
    </w:p>
    <w:p w14:paraId="4D9CECFD" w14:textId="77777777" w:rsidR="00E818EE" w:rsidRPr="000953A4" w:rsidRDefault="00E818EE" w:rsidP="00DF64C7">
      <w:pPr>
        <w:spacing w:after="240"/>
        <w:jc w:val="left"/>
        <w:rPr>
          <w:rFonts w:eastAsiaTheme="minorHAnsi"/>
          <w:sz w:val="18"/>
        </w:rPr>
      </w:pPr>
    </w:p>
    <w:p w14:paraId="183C8E96" w14:textId="583FE9A7" w:rsidR="00E818EE" w:rsidRPr="000953A4" w:rsidRDefault="00E818EE" w:rsidP="00DF64C7">
      <w:pPr>
        <w:keepNext/>
        <w:spacing w:before="240"/>
        <w:jc w:val="left"/>
        <w:rPr>
          <w:b/>
          <w:bCs/>
          <w:i/>
          <w:sz w:val="18"/>
          <w:szCs w:val="18"/>
        </w:rPr>
      </w:pPr>
      <w:r w:rsidRPr="00E24BD3">
        <w:rPr>
          <w:b/>
          <w:bCs/>
          <w:i/>
          <w:sz w:val="18"/>
          <w:szCs w:val="18"/>
        </w:rPr>
        <w:t xml:space="preserve">Wykres </w:t>
      </w:r>
      <w:r w:rsidRPr="00E24BD3">
        <w:rPr>
          <w:b/>
          <w:bCs/>
          <w:i/>
          <w:noProof/>
          <w:sz w:val="18"/>
          <w:szCs w:val="18"/>
        </w:rPr>
        <w:fldChar w:fldCharType="begin"/>
      </w:r>
      <w:r w:rsidRPr="00E24BD3">
        <w:rPr>
          <w:b/>
          <w:bCs/>
          <w:i/>
          <w:noProof/>
          <w:sz w:val="18"/>
          <w:szCs w:val="18"/>
        </w:rPr>
        <w:instrText xml:space="preserve"> SEQ Wykres \* ARABIC </w:instrText>
      </w:r>
      <w:r w:rsidRPr="00E24BD3">
        <w:rPr>
          <w:b/>
          <w:bCs/>
          <w:i/>
          <w:noProof/>
          <w:sz w:val="18"/>
          <w:szCs w:val="18"/>
        </w:rPr>
        <w:fldChar w:fldCharType="separate"/>
      </w:r>
      <w:r w:rsidR="00A8147E">
        <w:rPr>
          <w:b/>
          <w:bCs/>
          <w:i/>
          <w:noProof/>
          <w:sz w:val="18"/>
          <w:szCs w:val="18"/>
        </w:rPr>
        <w:t>11</w:t>
      </w:r>
      <w:r w:rsidRPr="00E24BD3">
        <w:rPr>
          <w:b/>
          <w:bCs/>
          <w:i/>
          <w:noProof/>
          <w:sz w:val="18"/>
          <w:szCs w:val="18"/>
        </w:rPr>
        <w:fldChar w:fldCharType="end"/>
      </w:r>
      <w:r w:rsidRPr="00E24BD3">
        <w:rPr>
          <w:b/>
          <w:bCs/>
          <w:i/>
          <w:sz w:val="18"/>
          <w:szCs w:val="18"/>
        </w:rPr>
        <w:t>. Czynniki utrudniające realizację projektów edukacyjnych (suma odpowiedzi 4 – „raczej utrudniają/utrudniały” 5 – „zdecydowanie utrudniają/utrudniały”) - beneficjenci realizujący projekty związane z kształceniem ogólnym</w:t>
      </w:r>
    </w:p>
    <w:p w14:paraId="6636E0D0" w14:textId="77777777" w:rsidR="00E818EE" w:rsidRPr="000953A4" w:rsidRDefault="00E818EE" w:rsidP="00DF64C7">
      <w:pPr>
        <w:jc w:val="left"/>
      </w:pPr>
      <w:r w:rsidRPr="000953A4">
        <w:rPr>
          <w:noProof/>
          <w:lang w:eastAsia="pl-PL"/>
        </w:rPr>
        <w:drawing>
          <wp:inline distT="0" distB="0" distL="0" distR="0" wp14:anchorId="546168AF" wp14:editId="37F9E827">
            <wp:extent cx="5752214" cy="4210493"/>
            <wp:effectExtent l="0" t="0" r="1270" b="0"/>
            <wp:docPr id="14" name="Wykres 14" descr="Wykres przedstawia odpowiedzi beneficjentów realizujących projekty edukacyjne związane z kształceniem ogólnym: &quot;Które czynniki ułatwiają/ułatwiały realizację projektu?&quot; w rozkładzie procentowym. Na wykresie słupkowym przedstawiono wszystkie odpowiedzi, tj.:&#10;Współpraca z instytucją organizującą konkurs 3,0%&#10;Kontakt z opiekunem projektu 3,0%&#10;Brak kadry mającej doświadczenie w realizacji i rozliczaniu projektów ze środków UE 5,3%&#10;Trudności w rekrutacji uczestników 7,5%&#10;Brak jasnej interpretacji przepisów prawnych związanych z wdrażaniem projektów 30,1%&#10;Procedury zamówień publicznych 31,6%&#10;Częste zmiany przepisów prawnych 40,6%&#10;&#10;" title="Czynniki utrudniające realizację projektów edukacyjnych (suma odpowiedzi 4 – „raczej utrudniają/utrudniały” 5 – „zdecydowanie utrudniają/utrudniały”) - beneficjenci realizujący projekty związane z kształceniem ogólnym"/>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5B80F9" w14:textId="77777777" w:rsidR="00E818EE" w:rsidRPr="000953A4" w:rsidRDefault="00E818EE" w:rsidP="00DF64C7">
      <w:pPr>
        <w:spacing w:after="240"/>
        <w:jc w:val="left"/>
        <w:rPr>
          <w:rFonts w:eastAsiaTheme="minorHAnsi"/>
          <w:sz w:val="18"/>
        </w:rPr>
      </w:pPr>
      <w:r w:rsidRPr="000953A4">
        <w:rPr>
          <w:rFonts w:eastAsiaTheme="minorHAnsi"/>
          <w:sz w:val="18"/>
        </w:rPr>
        <w:t>Źródło: opracowanie własne na podstawie badania CAWI/CATI z beneficjentami, n=133.</w:t>
      </w:r>
    </w:p>
    <w:p w14:paraId="6B6FC27F" w14:textId="77777777" w:rsidR="00E818EE" w:rsidRDefault="00E818EE" w:rsidP="00DF64C7">
      <w:pPr>
        <w:pStyle w:val="podpisrdailustracji"/>
        <w:spacing w:line="271" w:lineRule="auto"/>
        <w:jc w:val="left"/>
      </w:pPr>
    </w:p>
    <w:p w14:paraId="39856D82" w14:textId="77777777" w:rsidR="00B02685" w:rsidRDefault="00DF38B4" w:rsidP="00DF64C7">
      <w:pPr>
        <w:jc w:val="left"/>
      </w:pPr>
      <w:r>
        <w:t>Nauczyciele i dyrektorzy placówek wspartych w ramach P</w:t>
      </w:r>
      <w:r w:rsidR="00F437F8">
        <w:t>rogramu wskazali na problemy, z </w:t>
      </w:r>
      <w:r>
        <w:t xml:space="preserve">którymi borykają się w trakcie wdrażania projektów. Do najczęściej występujących należą </w:t>
      </w:r>
      <w:r w:rsidR="00B102FD">
        <w:t xml:space="preserve">te związane z odbiorcami (rekrutacja </w:t>
      </w:r>
      <w:r w:rsidR="00B92C93">
        <w:t>uczestników</w:t>
      </w:r>
      <w:r w:rsidR="00F437F8">
        <w:t xml:space="preserve"> oraz ich systematyczność w </w:t>
      </w:r>
      <w:r w:rsidR="00B102FD">
        <w:t xml:space="preserve">uczęszczaniu na określone zajęcia), zbyt </w:t>
      </w:r>
      <w:r w:rsidR="00DA7110">
        <w:t xml:space="preserve">niskie </w:t>
      </w:r>
      <w:r w:rsidR="00B102FD">
        <w:t xml:space="preserve">środki finansowe na zaspokojenie wszystkich potrzeb oraz zbyt duże obciążenie nauczycieli obowiązkami (duża liczba zajęć, odpowiedzialność, </w:t>
      </w:r>
      <w:r w:rsidR="008E165B">
        <w:t>konieczność prowadzenia dokumentacji związanej z projektem</w:t>
      </w:r>
      <w:r w:rsidR="00B102FD">
        <w:t>).</w:t>
      </w:r>
    </w:p>
    <w:p w14:paraId="4EC6F94E" w14:textId="5E28948F" w:rsidR="00B02685" w:rsidRDefault="00B02685" w:rsidP="00DF64C7">
      <w:pPr>
        <w:pStyle w:val="Legenda"/>
        <w:spacing w:line="271" w:lineRule="auto"/>
        <w:jc w:val="left"/>
      </w:pPr>
      <w:bookmarkStart w:id="51" w:name="_Toc33459794"/>
      <w:r>
        <w:t xml:space="preserve">Wykres </w:t>
      </w:r>
      <w:r w:rsidR="00AB65C6">
        <w:rPr>
          <w:noProof/>
        </w:rPr>
        <w:fldChar w:fldCharType="begin"/>
      </w:r>
      <w:r w:rsidR="00AB65C6">
        <w:rPr>
          <w:noProof/>
        </w:rPr>
        <w:instrText xml:space="preserve"> SEQ Wykres \* ARABIC </w:instrText>
      </w:r>
      <w:r w:rsidR="00AB65C6">
        <w:rPr>
          <w:noProof/>
        </w:rPr>
        <w:fldChar w:fldCharType="separate"/>
      </w:r>
      <w:r w:rsidR="00A8147E">
        <w:rPr>
          <w:noProof/>
        </w:rPr>
        <w:t>12</w:t>
      </w:r>
      <w:r w:rsidR="00AB65C6">
        <w:rPr>
          <w:noProof/>
        </w:rPr>
        <w:fldChar w:fldCharType="end"/>
      </w:r>
      <w:r w:rsidR="00F437F8">
        <w:rPr>
          <w:noProof/>
        </w:rPr>
        <w:t>.</w:t>
      </w:r>
      <w:r>
        <w:t xml:space="preserve"> </w:t>
      </w:r>
      <w:r w:rsidRPr="009067D2">
        <w:t>Jakie czynniki utrudniają/utrudniały Państwu korzystanie ze wsparcia w ramach projektu?</w:t>
      </w:r>
      <w:bookmarkEnd w:id="51"/>
    </w:p>
    <w:p w14:paraId="42570073" w14:textId="77777777" w:rsidR="00B02685" w:rsidRDefault="000C2403" w:rsidP="00DF64C7">
      <w:pPr>
        <w:jc w:val="left"/>
      </w:pPr>
      <w:r w:rsidRPr="007B5F7E">
        <w:rPr>
          <w:noProof/>
          <w:lang w:eastAsia="pl-PL"/>
        </w:rPr>
        <w:drawing>
          <wp:inline distT="0" distB="0" distL="0" distR="0" wp14:anchorId="094BED33" wp14:editId="40D76683">
            <wp:extent cx="5759450" cy="3615075"/>
            <wp:effectExtent l="0" t="0" r="12700" b="23495"/>
            <wp:docPr id="61" name="Wykres 61" descr="Wykres przedstawia procentowy rozkład odpowiedzi nauczycieli i dyrektorów wspartych placówek na pytanie: &quot;Jakie czynniki utrudniają/utrudniały Państwu korzystanie ze wsparcia w ramach projektu?&quot;. Dane zaprezentowano na wykresie słupkowym:&#10;Niechęć rodziców/opiekunów do uczestnictwa dziecka w projekcie 2,2%&#10;Niewystarczające doświadczenie pracowników w realizacji projektów 5,3%&#10;Niewystarczająca frekwencja na zajęciach 6,2%&#10;Niewystarczające doświadczenie pracowników w realizacji projektów 9,2%&#10;Trudności w rekrutacji kadry pedagogicznej do realizacji zadań 9,8%&#10;Nieukończenie projektu / rezygnacja przez ucznia z udziału w trakcie trwania projektu 10,8%&#10;Problemy z rekrutacją uczestników 12,4%&#10;Zbyt duże obciążenie dla nauczyciela 13,7%&#10;Brak wystarczających środków finansowych do zaspokojenia wszystkich potrzeb 22,6%&#10;Problemy z frekwencją na zajęciach 27,6%&#10;" title="Jakie czynniki utrudniają/utrudniały Państwu korzystanie ze wsparcia w ramach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B910D3" w14:textId="77777777" w:rsidR="00B02685" w:rsidRDefault="00B02685" w:rsidP="00DF64C7">
      <w:pPr>
        <w:pStyle w:val="podpisrdailustracji"/>
        <w:spacing w:line="271" w:lineRule="auto"/>
        <w:jc w:val="left"/>
      </w:pPr>
      <w:r>
        <w:t>Źródło: opracowanie własne na podstawie badania CAWI/CATI z nauczycielami i dyrektorami wspartych placówek, n=691.</w:t>
      </w:r>
    </w:p>
    <w:p w14:paraId="3CC72859" w14:textId="77777777" w:rsidR="00E43877" w:rsidRDefault="00E43877" w:rsidP="00DF64C7">
      <w:pPr>
        <w:jc w:val="left"/>
      </w:pPr>
      <w:r>
        <w:t>Badani respondenci badania IDI (przedstawiciele IZ i IP) wskazywali na występujące problemy w zapewnieniu komplementarności projektó</w:t>
      </w:r>
      <w:r w:rsidR="007609DA">
        <w:t>w realizowanych w ramach EFRR z </w:t>
      </w:r>
      <w:r>
        <w:t>działaniami „miękkimi” (EFS). Problem ten zaczął być szczególne widoczny na etapie kontroli trwałości projektów (jednocześnie należy zauważyć, że problem ten był zgłaszany przez wielu badanych respondentów, co świadczy o jego powszechności). Problemem dla beneficjentów było bowiem niekiedy uzyskanie dofinansowania jedynie w ramach jednego projektu, przy jednoczesnym odrzuceniu wniosku o dofinansowanie (bądź uzyskaniu dofinansowania w późniejszym niż zakładali terminie) fi</w:t>
      </w:r>
      <w:r w:rsidR="007609DA">
        <w:t>nansowanego w ramach drugiego z </w:t>
      </w:r>
      <w:r>
        <w:t>funduszy. Skutkowało to m.in. koniecznością finansowania komplementarnych projektów ze środków własnych beneficjentów (np. w okresie trwałości dofinansowanego projektu infrastrukturalnego). Jak wskazywali respondenci badania, w dużej mierze problem ten jest niezależny od IZ/IP (zależy od spełniania wymogów przez wnioskowane projekty), lecz podkreślano, że problem ten mógłby mieć mniejszą skalę w przypadku lepszego dostosowania terminów naborów wniosków w ramach poszczególnych funduszy (poprzez co łatwiej można by realizować równocześnie komplementarne wobec siebie projekty, dofinansowane z EFRR i EFS).</w:t>
      </w:r>
    </w:p>
    <w:p w14:paraId="3F63B2ED" w14:textId="77777777" w:rsidR="00761915" w:rsidRDefault="00E43877" w:rsidP="00DF64C7">
      <w:pPr>
        <w:jc w:val="left"/>
      </w:pPr>
      <w:r>
        <w:t>Wśród czynników zewnętrznych przedstawiciele IZ oraz IP wymieniali również problem strajku nauczycieli, który miał bezpośredni wpływ na br</w:t>
      </w:r>
      <w:r w:rsidR="007609DA">
        <w:t>ak możliwości przeprowadzenia w </w:t>
      </w:r>
      <w:r>
        <w:t>terminie zakładanych w projektach zajęć dodatkowych (problem ten rozwiązano poprzez zgodę na przesunięcie realizacji tychże zajęć w kolejnym/kolejnych miesiącach).</w:t>
      </w:r>
      <w:r w:rsidR="00761915">
        <w:t xml:space="preserve"> Ponadto, badani wskazywali również na problem niewystarczają</w:t>
      </w:r>
      <w:r w:rsidR="007609DA">
        <w:t>cej liczby nauczycieli (w tym o </w:t>
      </w:r>
      <w:r w:rsidR="00761915">
        <w:t xml:space="preserve">określonych kompetencjach). Zatrudnieni w szkołach (będących beneficjentami wsparcia) nauczyciele niekiedy nie wyrażali chęci wzięcia udziału w projekcie. Skutkowało to koniecznością poszukiwania nauczycieli spoza szkoły, co w </w:t>
      </w:r>
      <w:r w:rsidR="007609DA">
        <w:t>przypadku np. mniejszych gmin i </w:t>
      </w:r>
      <w:r w:rsidR="008E165B">
        <w:t xml:space="preserve">wymogu </w:t>
      </w:r>
      <w:r w:rsidR="00761915">
        <w:t xml:space="preserve">zaangażowania </w:t>
      </w:r>
      <w:r w:rsidR="00BE5C5A">
        <w:t xml:space="preserve">w </w:t>
      </w:r>
      <w:r w:rsidR="00AD3642">
        <w:t>zaplanowane działania</w:t>
      </w:r>
      <w:r w:rsidR="00761915">
        <w:t xml:space="preserve"> specjalistów (np. logopeda, psycholog) generowało problem, który beneficjenci musieli rozwiązywać szukają</w:t>
      </w:r>
      <w:r w:rsidR="007609DA">
        <w:t xml:space="preserve">c chętnych </w:t>
      </w:r>
      <w:r w:rsidR="001518D3">
        <w:t xml:space="preserve">osób </w:t>
      </w:r>
      <w:r w:rsidR="007609DA">
        <w:t>do wzięcia udziału w </w:t>
      </w:r>
      <w:r w:rsidR="00761915">
        <w:t>projekcie poza obszarem gminy.</w:t>
      </w:r>
    </w:p>
    <w:p w14:paraId="6ED40AB5" w14:textId="77777777" w:rsidR="00E43877" w:rsidRDefault="00374C61" w:rsidP="00DF64C7">
      <w:pPr>
        <w:jc w:val="left"/>
      </w:pPr>
      <w:r>
        <w:t>Biorąc pod uwagę</w:t>
      </w:r>
      <w:r w:rsidR="00D441E5">
        <w:t xml:space="preserve"> projekty związane z edukacją przedszkolną, badani</w:t>
      </w:r>
      <w:r w:rsidR="00AD3642">
        <w:t xml:space="preserve"> przedstawiciele IZ/IP podczas przeprowadzonych wywiadów pogłębionych</w:t>
      </w:r>
      <w:r w:rsidR="00D441E5">
        <w:t xml:space="preserve"> wskazali</w:t>
      </w:r>
      <w:r w:rsidR="00AD3642">
        <w:t xml:space="preserve"> również</w:t>
      </w:r>
      <w:r w:rsidR="00D441E5">
        <w:t xml:space="preserve"> na problem długiego okresu upływającego od zdiagnozowania potrzeb przez placówki przedszkolne do chwili zrealizowania projektu. Zdarzały się bowiem sytuacje, kiedy w czasie wymaganym na uzyskanie wsparcia i zrealizowanie projektu w bezpośredniej okolicy beneficjenta powstawały nowe placówki przedszkolne, wpływając na ograniczenie grupy docelowej projektu (względem potrzeb zidentyfikowanych na etapie diagnozowania potrzeb).</w:t>
      </w:r>
    </w:p>
    <w:p w14:paraId="57ABAF13" w14:textId="77777777" w:rsidR="00CE1EC6" w:rsidRDefault="00CE1EC6" w:rsidP="00DF64C7">
      <w:pPr>
        <w:jc w:val="left"/>
      </w:pPr>
      <w:r>
        <w:t>Ponadto, podczas prowadzonych wywiadów z przedstawicielami IZ/IP zidentyfikowano również potrzebę w zakresie możliwości wprowadzenia uproszczonej metody rozliczania zakupu sprzętu i wyposażenia do placówki przedszkolnej. W tym zakresie rekomendowane jest umożliwienie finansowania tego rodzaju zakupu poprzez ryczałt.</w:t>
      </w:r>
    </w:p>
    <w:p w14:paraId="70684657" w14:textId="77777777" w:rsidR="00374C61" w:rsidRPr="0012062E" w:rsidRDefault="00EF5D4A" w:rsidP="00DF64C7">
      <w:pPr>
        <w:jc w:val="left"/>
      </w:pPr>
      <w:r w:rsidRPr="00EF5D4A">
        <w:t xml:space="preserve">Eksperci uczestniczący w panelu wskazali, że czynnikami najbardziej uciążliwymi </w:t>
      </w:r>
      <w:r w:rsidR="008A471F">
        <w:t xml:space="preserve">dla beneficjentów były </w:t>
      </w:r>
      <w:r w:rsidRPr="00EF5D4A">
        <w:t>zmiany związane z</w:t>
      </w:r>
      <w:r w:rsidR="008A471F">
        <w:t>e zmianami prawnymi zachodzącymi już w trakcie realizacji projektów</w:t>
      </w:r>
      <w:r w:rsidR="00116B14">
        <w:t>, wymuszające dostosowanie realizowanych działań</w:t>
      </w:r>
      <w:r w:rsidR="0065797F">
        <w:t xml:space="preserve"> (np. zmiany zachodzące w prawie oświatowym)</w:t>
      </w:r>
      <w:r w:rsidR="008A471F">
        <w:t>.</w:t>
      </w:r>
      <w:r w:rsidRPr="00EF5D4A">
        <w:t xml:space="preserve"> </w:t>
      </w:r>
      <w:r w:rsidR="00374C61">
        <w:t xml:space="preserve">Wśród czynników spowalniających wdrażanie projektu wynikających z działań osób realizujących </w:t>
      </w:r>
      <w:r w:rsidR="00AD3642">
        <w:t xml:space="preserve">zaliczyć należy </w:t>
      </w:r>
      <w:r w:rsidR="00374C61">
        <w:t xml:space="preserve">poziom motywacji, zaangażowanie i jakość pracy. </w:t>
      </w:r>
      <w:r w:rsidRPr="00EF5D4A">
        <w:t xml:space="preserve">Nie bez znaczenia </w:t>
      </w:r>
      <w:r w:rsidR="00116B14">
        <w:t>jest także niewystarczający poziom</w:t>
      </w:r>
      <w:r w:rsidRPr="00EF5D4A">
        <w:t xml:space="preserve"> umiejętności osób</w:t>
      </w:r>
      <w:r w:rsidR="00374C61" w:rsidRPr="0012062E">
        <w:t>, które funkcjonują w grupie zarządzających projektem, oraz t</w:t>
      </w:r>
      <w:r w:rsidR="00116B14">
        <w:t>ych</w:t>
      </w:r>
      <w:r w:rsidR="00374C61" w:rsidRPr="0012062E">
        <w:t>, które są  związane z bezpośrednią stałą obsług</w:t>
      </w:r>
      <w:r w:rsidR="00DA7110">
        <w:t>ą</w:t>
      </w:r>
      <w:r w:rsidR="00374C61" w:rsidRPr="0012062E">
        <w:t xml:space="preserve"> prawno-finansową podejmowanych działań. </w:t>
      </w:r>
    </w:p>
    <w:p w14:paraId="6B5F5AA9" w14:textId="77777777" w:rsidR="00374C61" w:rsidRDefault="00EF5D4A" w:rsidP="00DF64C7">
      <w:pPr>
        <w:jc w:val="left"/>
      </w:pPr>
      <w:r w:rsidRPr="00EF5D4A">
        <w:t>Do działań zaradczych</w:t>
      </w:r>
      <w:r w:rsidR="00116B14">
        <w:t xml:space="preserve"> (mających zapobiegać występowaniu sytuacji problemowych dla beneficjentów)</w:t>
      </w:r>
      <w:r w:rsidRPr="00EF5D4A">
        <w:t xml:space="preserve"> </w:t>
      </w:r>
      <w:r w:rsidR="00374C61">
        <w:t>zaproponowanych przez ekspertów, które powinny podjąć Instytucja Zarządzająca i Instytucje Pośredniczące należą:</w:t>
      </w:r>
    </w:p>
    <w:p w14:paraId="4425E454" w14:textId="77777777" w:rsidR="00374C61" w:rsidRPr="00683027" w:rsidRDefault="00683027" w:rsidP="00DF64C7">
      <w:pPr>
        <w:pStyle w:val="Akapitzlist"/>
        <w:numPr>
          <w:ilvl w:val="0"/>
          <w:numId w:val="51"/>
        </w:numPr>
        <w:jc w:val="left"/>
        <w:rPr>
          <w:rFonts w:eastAsia="Calibri" w:cs="Arial"/>
          <w:color w:val="000000" w:themeColor="text1"/>
          <w:szCs w:val="24"/>
        </w:rPr>
      </w:pPr>
      <w:r w:rsidRPr="00374C61">
        <w:rPr>
          <w:rFonts w:eastAsia="Calibri" w:cs="Arial"/>
          <w:color w:val="000000" w:themeColor="text1"/>
          <w:szCs w:val="24"/>
        </w:rPr>
        <w:t xml:space="preserve">Diagnoza i analiza zmian w </w:t>
      </w:r>
      <w:r w:rsidRPr="00374C61">
        <w:rPr>
          <w:rFonts w:cs="Arial"/>
          <w:color w:val="000000" w:themeColor="text1"/>
          <w:lang w:eastAsia="pl-PL"/>
        </w:rPr>
        <w:t>obszarze jakości kształcenia w Polsce, uwzględniająca potrzeby rozwijającej się rzeczywistości, w tym analiza jakości dostępnej oferty edukacyjnej</w:t>
      </w:r>
      <w:r w:rsidR="00DA4DDB">
        <w:rPr>
          <w:rFonts w:cs="Arial"/>
          <w:color w:val="000000" w:themeColor="text1"/>
          <w:lang w:eastAsia="pl-PL"/>
        </w:rPr>
        <w:t xml:space="preserve"> (na etapie programowania kolejnej perspektyw</w:t>
      </w:r>
      <w:r w:rsidR="00344E13">
        <w:rPr>
          <w:rFonts w:cs="Arial"/>
          <w:color w:val="000000" w:themeColor="text1"/>
          <w:lang w:eastAsia="pl-PL"/>
        </w:rPr>
        <w:t>y</w:t>
      </w:r>
      <w:r w:rsidR="00C37549">
        <w:rPr>
          <w:rFonts w:cs="Arial"/>
          <w:color w:val="000000" w:themeColor="text1"/>
          <w:lang w:eastAsia="pl-PL"/>
        </w:rPr>
        <w:t>, w celu dostosowania wsparcia do aktualnego zapotrzebowania</w:t>
      </w:r>
      <w:r w:rsidR="00344E13">
        <w:rPr>
          <w:rFonts w:cs="Arial"/>
          <w:color w:val="000000" w:themeColor="text1"/>
          <w:lang w:eastAsia="pl-PL"/>
        </w:rPr>
        <w:t>)</w:t>
      </w:r>
      <w:r w:rsidRPr="00374C61">
        <w:rPr>
          <w:rFonts w:cs="Arial"/>
          <w:color w:val="000000" w:themeColor="text1"/>
          <w:lang w:eastAsia="pl-PL"/>
        </w:rPr>
        <w:t>;</w:t>
      </w:r>
    </w:p>
    <w:p w14:paraId="7CB549BF" w14:textId="77777777" w:rsidR="00374C61" w:rsidRPr="00374C61" w:rsidRDefault="00374C61" w:rsidP="00DF64C7">
      <w:pPr>
        <w:pStyle w:val="Akapitzlist"/>
        <w:numPr>
          <w:ilvl w:val="0"/>
          <w:numId w:val="51"/>
        </w:numPr>
        <w:jc w:val="left"/>
        <w:rPr>
          <w:rFonts w:eastAsiaTheme="minorHAnsi" w:cs="Arial"/>
          <w:color w:val="000000" w:themeColor="text1"/>
        </w:rPr>
      </w:pPr>
      <w:r w:rsidRPr="00374C61">
        <w:rPr>
          <w:rFonts w:eastAsiaTheme="minorHAnsi" w:cs="Arial"/>
          <w:color w:val="000000" w:themeColor="text1"/>
        </w:rPr>
        <w:t xml:space="preserve">Organizacja dodatkowych szkoleń i konsultacji umożliwiających rozwiązanie </w:t>
      </w:r>
      <w:r w:rsidRPr="00374C61">
        <w:rPr>
          <w:color w:val="000000" w:themeColor="text1"/>
        </w:rPr>
        <w:t>problematycznych kwestii zarówno na poziomie składania wniosku, jak i na poziomie jego realizacji</w:t>
      </w:r>
      <w:r w:rsidR="00FC176A">
        <w:rPr>
          <w:color w:val="000000" w:themeColor="text1"/>
        </w:rPr>
        <w:t>;</w:t>
      </w:r>
      <w:r w:rsidRPr="00374C61">
        <w:rPr>
          <w:color w:val="000000" w:themeColor="text1"/>
        </w:rPr>
        <w:t xml:space="preserve"> </w:t>
      </w:r>
    </w:p>
    <w:p w14:paraId="51DB1F6B" w14:textId="77777777" w:rsidR="00374C61" w:rsidRPr="00374C61" w:rsidRDefault="00374C61" w:rsidP="00DF64C7">
      <w:pPr>
        <w:pStyle w:val="Akapitzlist"/>
        <w:numPr>
          <w:ilvl w:val="0"/>
          <w:numId w:val="51"/>
        </w:numPr>
        <w:jc w:val="left"/>
        <w:rPr>
          <w:rFonts w:eastAsiaTheme="minorHAnsi" w:cs="Arial"/>
          <w:color w:val="000000" w:themeColor="text1"/>
        </w:rPr>
      </w:pPr>
      <w:r w:rsidRPr="00374C61">
        <w:rPr>
          <w:rFonts w:eastAsiaTheme="minorHAnsi" w:cs="Arial"/>
          <w:color w:val="000000" w:themeColor="text1"/>
        </w:rPr>
        <w:t>Organizacja</w:t>
      </w:r>
      <w:r w:rsidR="00C37549">
        <w:rPr>
          <w:rFonts w:eastAsiaTheme="minorHAnsi" w:cs="Arial"/>
          <w:color w:val="000000" w:themeColor="text1"/>
        </w:rPr>
        <w:t xml:space="preserve"> (w ramach wsparcia udzielanego w kolejnej perspektywie finansowej)</w:t>
      </w:r>
      <w:r w:rsidRPr="00374C61">
        <w:rPr>
          <w:rFonts w:eastAsiaTheme="minorHAnsi" w:cs="Arial"/>
          <w:color w:val="000000" w:themeColor="text1"/>
        </w:rPr>
        <w:t xml:space="preserve"> panelowych dyskusji eksperckich z udziałem</w:t>
      </w:r>
      <w:r w:rsidR="00C37549">
        <w:rPr>
          <w:rFonts w:eastAsiaTheme="minorHAnsi" w:cs="Arial"/>
          <w:color w:val="000000" w:themeColor="text1"/>
        </w:rPr>
        <w:t xml:space="preserve"> m.in.</w:t>
      </w:r>
      <w:r w:rsidRPr="00374C61">
        <w:rPr>
          <w:rFonts w:eastAsiaTheme="minorHAnsi" w:cs="Arial"/>
          <w:color w:val="000000" w:themeColor="text1"/>
        </w:rPr>
        <w:t xml:space="preserve"> partnerów ze szczebla pozarządowego oraz przedstawiciel</w:t>
      </w:r>
      <w:r w:rsidR="00C37549">
        <w:rPr>
          <w:rFonts w:eastAsiaTheme="minorHAnsi" w:cs="Arial"/>
          <w:color w:val="000000" w:themeColor="text1"/>
        </w:rPr>
        <w:t>i</w:t>
      </w:r>
      <w:r w:rsidRPr="00374C61">
        <w:rPr>
          <w:rFonts w:eastAsiaTheme="minorHAnsi" w:cs="Arial"/>
          <w:color w:val="000000" w:themeColor="text1"/>
        </w:rPr>
        <w:t xml:space="preserve"> uczelni wyższych w regionie</w:t>
      </w:r>
      <w:r w:rsidR="00C37549">
        <w:rPr>
          <w:rFonts w:eastAsiaTheme="minorHAnsi" w:cs="Arial"/>
          <w:color w:val="000000" w:themeColor="text1"/>
        </w:rPr>
        <w:t>, mających na celu bieżącą ocenę udzielanego wsparcia w kontekście aktualności potrzeb sektora edukacyjnego (np. jako element przyszłych badań ewaluacyjnych ex-ante i on-going)</w:t>
      </w:r>
      <w:r w:rsidRPr="00374C61">
        <w:rPr>
          <w:rFonts w:eastAsiaTheme="minorHAnsi" w:cs="Arial"/>
          <w:color w:val="000000" w:themeColor="text1"/>
        </w:rPr>
        <w:t>;</w:t>
      </w:r>
    </w:p>
    <w:p w14:paraId="5E512F99" w14:textId="77777777" w:rsidR="00C37549" w:rsidRPr="00374C61" w:rsidRDefault="00C37549" w:rsidP="00DF64C7">
      <w:pPr>
        <w:pStyle w:val="Akapitzlist"/>
        <w:numPr>
          <w:ilvl w:val="0"/>
          <w:numId w:val="51"/>
        </w:numPr>
        <w:jc w:val="left"/>
        <w:rPr>
          <w:rFonts w:eastAsiaTheme="minorHAnsi" w:cs="Arial"/>
          <w:color w:val="000000" w:themeColor="text1"/>
        </w:rPr>
      </w:pPr>
      <w:r>
        <w:rPr>
          <w:rFonts w:eastAsiaTheme="minorHAnsi" w:cs="Arial"/>
          <w:color w:val="000000" w:themeColor="text1"/>
        </w:rPr>
        <w:t>Z</w:t>
      </w:r>
      <w:r w:rsidR="00D53A8D" w:rsidRPr="00D53A8D">
        <w:rPr>
          <w:rFonts w:eastAsiaTheme="minorHAnsi" w:cs="Arial"/>
          <w:color w:val="000000" w:themeColor="text1"/>
        </w:rPr>
        <w:t>większenie liczby opiekunów, co pozwoli na większe zaangażowanie w poszczególne projekty</w:t>
      </w:r>
      <w:r>
        <w:rPr>
          <w:rFonts w:eastAsiaTheme="minorHAnsi" w:cs="Arial"/>
          <w:color w:val="000000" w:themeColor="text1"/>
        </w:rPr>
        <w:t>;</w:t>
      </w:r>
    </w:p>
    <w:p w14:paraId="6B9BF7B7" w14:textId="77777777" w:rsidR="00374C61" w:rsidRDefault="00374C61" w:rsidP="00DF64C7">
      <w:pPr>
        <w:pStyle w:val="Akapitzlist"/>
        <w:numPr>
          <w:ilvl w:val="0"/>
          <w:numId w:val="51"/>
        </w:numPr>
        <w:jc w:val="left"/>
        <w:rPr>
          <w:rFonts w:eastAsiaTheme="minorHAnsi"/>
          <w:color w:val="000000" w:themeColor="text1"/>
        </w:rPr>
      </w:pPr>
      <w:r w:rsidRPr="007B5F7E">
        <w:rPr>
          <w:rFonts w:eastAsiaTheme="minorHAnsi"/>
          <w:color w:val="000000" w:themeColor="text1"/>
        </w:rPr>
        <w:t>Dostosowanie terminów naborów wniosków w ramach poszczególnych funduszy EFRR i EFS, w celu ułatwienia zapewnienia komplementarności projektów;</w:t>
      </w:r>
    </w:p>
    <w:p w14:paraId="597B2057" w14:textId="77777777" w:rsidR="007B6935" w:rsidRPr="007B5F7E" w:rsidRDefault="00182F5D" w:rsidP="00DF64C7">
      <w:pPr>
        <w:pStyle w:val="Akapitzlist"/>
        <w:numPr>
          <w:ilvl w:val="0"/>
          <w:numId w:val="51"/>
        </w:numPr>
        <w:jc w:val="left"/>
        <w:rPr>
          <w:rFonts w:eastAsiaTheme="minorHAnsi"/>
        </w:rPr>
      </w:pPr>
      <w:r>
        <w:rPr>
          <w:rFonts w:eastAsiaTheme="minorHAnsi"/>
          <w:color w:val="000000" w:themeColor="text1"/>
        </w:rPr>
        <w:t>Kontynuacja działań wskazanych w</w:t>
      </w:r>
      <w:r>
        <w:t xml:space="preserve"> 10 wersji przewodnika dla beneficjentów EFRR RPO WSL 2014-2020, wprowadzającego możliwość realizacji działań, których cele są zgodne z celami EFS w zakresie włączenia społecznego i walki z ubóstwem lub wzmacniania potencjału edukacyjnego rozumianymi w sposób określony w RPO WSL 2014-2020.</w:t>
      </w:r>
    </w:p>
    <w:p w14:paraId="639482FE" w14:textId="77777777" w:rsidR="00126870" w:rsidRDefault="00126870" w:rsidP="00DF64C7">
      <w:pPr>
        <w:jc w:val="left"/>
        <w:rPr>
          <w:rStyle w:val="Odwoanieintensywne"/>
        </w:rPr>
        <w:sectPr w:rsidR="00126870" w:rsidSect="00174F8C">
          <w:pgSz w:w="11906" w:h="16838"/>
          <w:pgMar w:top="1418" w:right="1418" w:bottom="1418" w:left="1418" w:header="709" w:footer="709" w:gutter="0"/>
          <w:cols w:space="708"/>
          <w:docGrid w:linePitch="360"/>
        </w:sectPr>
      </w:pPr>
    </w:p>
    <w:p w14:paraId="53723EDC" w14:textId="6E2181C4" w:rsidR="004E7839" w:rsidRDefault="00872D0F" w:rsidP="00DF64C7">
      <w:pPr>
        <w:jc w:val="left"/>
        <w:rPr>
          <w:rStyle w:val="Odwoanieintensywne"/>
        </w:rPr>
      </w:pPr>
      <w:r w:rsidRPr="00872D0F">
        <w:rPr>
          <w:rStyle w:val="Odwoanieintensywne"/>
        </w:rPr>
        <w:t>Podsumowanie</w:t>
      </w:r>
    </w:p>
    <w:p w14:paraId="60E27009" w14:textId="3705F408" w:rsidR="00F0412A" w:rsidRDefault="00F0412A" w:rsidP="00DF64C7">
      <w:pPr>
        <w:jc w:val="left"/>
      </w:pPr>
      <w:r>
        <w:t>Biorąc pod uwagę wyniki badań przeprowadzonych poszczególnymi metodami, możliwe jest wskazanie głównych czynników, które przyczyniły się do realizacji założonych celów. W przypadku czynników zewnętrznych warto zwrócić uwagę (na podkreślaną już w ramach analizy poprzednich pytań badawczych) reformę oświatowa z 2017 r. Wpłynęła ona w zdecydowanym stopniu na stopień zainteresowania wsparciem w zakresie tworzenia nowych miejsc przedszkolnych, których konieczność utworzenia została narzucona przez ww. reformę. Wśród czynników zewnętrznych warto również zwrócić uwagę na szczególnie wysokie zainteresowanie uczniów szkół zawodowych (oraz nauczycieli z tego sektora) w korzystaniu ze wsparcia i braniem udziału w organizowanych projektach. Istotnym elementem było również posiadane przez wnioskodawców doświadczenie w realizacji wcześniejszych projektów unijnych (punktowane na etapie oceny wniosków o dofinansowanie</w:t>
      </w:r>
      <w:r w:rsidR="00E81BF0">
        <w:t xml:space="preserve">, </w:t>
      </w:r>
      <w:r w:rsidR="00641C63">
        <w:t>wobec czego czynnik ten uznać należy za wewnętrzny</w:t>
      </w:r>
      <w:r>
        <w:t>).</w:t>
      </w:r>
      <w:r w:rsidR="00641C63">
        <w:t xml:space="preserve"> Do czynników wewnętrznych (pozytywnie wpływających na realizację wsparcia) wymienić należy również dobrą współpracę między IZ i IP RPO WSL 2014-2020</w:t>
      </w:r>
      <w:r w:rsidR="00E81BF0">
        <w:t>,</w:t>
      </w:r>
      <w:r w:rsidR="00641C63">
        <w:t xml:space="preserve"> a beneficjentami, dzięki czemu możliwe było szybkie reagowanie na pojawiające się nowe okoliczności oraz możliwość wprowadzania uzasadnionych zmian w projektach (m.in. wydłużenie czasu realizacji projektu, zmiana wydatkowania środków finansowych).</w:t>
      </w:r>
    </w:p>
    <w:p w14:paraId="69F0FB9C" w14:textId="77777777" w:rsidR="006B2779" w:rsidRDefault="00F0412A" w:rsidP="00DF64C7">
      <w:pPr>
        <w:jc w:val="left"/>
      </w:pPr>
      <w:r>
        <w:t>Mimo szeregu korzystnych czynników, o</w:t>
      </w:r>
      <w:r w:rsidR="00591415">
        <w:t>dnotowano również negatywny wpływ czynników zewnętrznych i wewnętrznych, wśród których wymienić można m.in. często wskazywane przez beneficjentów wsparcia opóźnienia w przetargach na wykonawcę, k</w:t>
      </w:r>
      <w:r w:rsidR="00591415" w:rsidRPr="00F42965">
        <w:t>onieczność stosowania Prawa Zamówień Publicznych</w:t>
      </w:r>
      <w:r>
        <w:t xml:space="preserve"> (jest to oczywiście element konieczny, niemożliwy do zmiany, lecz często wskazywany przez beneficjentów jako czynnik utrudniający)</w:t>
      </w:r>
      <w:r w:rsidR="00591415" w:rsidRPr="00F42965">
        <w:t xml:space="preserve"> oraz zasady konkurencyjności</w:t>
      </w:r>
      <w:r w:rsidR="00591415">
        <w:t>, t</w:t>
      </w:r>
      <w:r w:rsidR="00591415" w:rsidRPr="00F42965">
        <w:t>rudności w rekrutacji uczestników projektów</w:t>
      </w:r>
      <w:r>
        <w:t xml:space="preserve"> (osoby po 50 roku życia i cechujące się niskimi kwalifikacjami)</w:t>
      </w:r>
      <w:r w:rsidR="00591415">
        <w:t>, k</w:t>
      </w:r>
      <w:r w:rsidR="00591415" w:rsidRPr="00664CFF">
        <w:t>onieczność przygotowania obszernej dokumentacji projektowej oraz mnogość zobowiązań formalnych</w:t>
      </w:r>
      <w:r w:rsidR="00591415">
        <w:t>, z</w:t>
      </w:r>
      <w:r w:rsidR="00591415" w:rsidRPr="00444370">
        <w:t>mieniające się wytyczne oraz zbyt długi czas oczekiwania na płatności w ramach projektu</w:t>
      </w:r>
      <w:r w:rsidR="00591415">
        <w:t>.</w:t>
      </w:r>
      <w:r w:rsidR="004F69F9">
        <w:t xml:space="preserve"> Niewątpliwie pozytywny skutek (względem zidentyfikowanych negatywnych czynników) przyniosłaby organizacja dodatkowych </w:t>
      </w:r>
      <w:r w:rsidR="004F69F9" w:rsidRPr="004F69F9">
        <w:t>szkoleń i konsultacji umożliwiających rozwiązanie problematycznych kwestii zarówno na poziomie składania wniosku, jak i</w:t>
      </w:r>
      <w:r w:rsidR="004F69F9">
        <w:t xml:space="preserve"> na poziomie jego realizacji, </w:t>
      </w:r>
      <w:r w:rsidR="004F69F9" w:rsidRPr="004F69F9">
        <w:t>zwiększenie liczby opiekunów projektów</w:t>
      </w:r>
      <w:r w:rsidR="004F69F9">
        <w:t xml:space="preserve"> </w:t>
      </w:r>
      <w:r w:rsidR="004F69F9" w:rsidRPr="004F69F9">
        <w:t>oraz szkoleń dla nich</w:t>
      </w:r>
      <w:r w:rsidR="004F69F9">
        <w:t>.</w:t>
      </w:r>
      <w:r w:rsidR="004F69F9" w:rsidRPr="004F69F9">
        <w:t xml:space="preserve"> </w:t>
      </w:r>
    </w:p>
    <w:p w14:paraId="5CF1708D" w14:textId="77777777" w:rsidR="00E65D01" w:rsidRDefault="00E65D01" w:rsidP="00DF64C7">
      <w:pPr>
        <w:pStyle w:val="Nagwek3"/>
        <w:spacing w:line="271" w:lineRule="auto"/>
        <w:ind w:left="426"/>
        <w:jc w:val="left"/>
        <w:rPr>
          <w:rFonts w:eastAsia="Arial"/>
        </w:rPr>
      </w:pPr>
      <w:bookmarkStart w:id="52" w:name="_Toc24466788"/>
      <w:bookmarkStart w:id="53" w:name="_Toc25664297"/>
      <w:bookmarkStart w:id="54" w:name="_Toc26526278"/>
      <w:bookmarkStart w:id="55" w:name="_Toc38035010"/>
      <w:bookmarkStart w:id="56" w:name="_Toc24466791"/>
      <w:bookmarkStart w:id="57" w:name="_Toc25664298"/>
      <w:bookmarkStart w:id="58" w:name="_Toc26526279"/>
      <w:r w:rsidRPr="00610089">
        <w:rPr>
          <w:rFonts w:eastAsia="Arial"/>
        </w:rPr>
        <w:t>Jak oceniana jest efektywność udzielonego wsparcia? Które typy projektów</w:t>
      </w:r>
      <w:r>
        <w:rPr>
          <w:rFonts w:eastAsia="Arial"/>
        </w:rPr>
        <w:t xml:space="preserve"> w </w:t>
      </w:r>
      <w:r w:rsidRPr="00610089">
        <w:rPr>
          <w:rFonts w:eastAsia="Arial"/>
        </w:rPr>
        <w:t>ramach poszczególnych OP/Działań były najbardziej efektywne? Jakie działania należy podjąć by zwiększyć efektywność udzielanego wsparcia?</w:t>
      </w:r>
      <w:bookmarkEnd w:id="52"/>
      <w:bookmarkEnd w:id="53"/>
      <w:bookmarkEnd w:id="54"/>
      <w:bookmarkEnd w:id="55"/>
    </w:p>
    <w:p w14:paraId="3577CC1B" w14:textId="77777777" w:rsidR="00876708" w:rsidRPr="007B45DD" w:rsidRDefault="00876708" w:rsidP="00DF64C7">
      <w:pPr>
        <w:jc w:val="left"/>
      </w:pPr>
      <w:r>
        <w:t xml:space="preserve">Jednym ze sposobów oceny efektywności udzielonego wsparcia jest określenie efektywności kosztowej ewaluowanych projektów. </w:t>
      </w:r>
      <w:r w:rsidRPr="007B45DD">
        <w:t xml:space="preserve">W celu obliczenia efektywności kosztowej </w:t>
      </w:r>
      <w:r>
        <w:t>wsparcia w ramach XI i XII OP RPO WSL analizie poddane</w:t>
      </w:r>
      <w:r w:rsidRPr="007B45DD">
        <w:t xml:space="preserve"> </w:t>
      </w:r>
      <w:r>
        <w:t xml:space="preserve">zostały </w:t>
      </w:r>
      <w:r w:rsidRPr="007B45DD">
        <w:t xml:space="preserve">wartości wskaźników </w:t>
      </w:r>
      <w:r>
        <w:t xml:space="preserve">ram wykonania oraz </w:t>
      </w:r>
      <w:r w:rsidRPr="007B45DD">
        <w:t xml:space="preserve">produktu i rezultatu osiągnięte </w:t>
      </w:r>
      <w:r>
        <w:t>na dzień 30.09.2019 r. (na podstawie danych z SL 2014)</w:t>
      </w:r>
      <w:r w:rsidRPr="007B45DD">
        <w:t xml:space="preserve"> w ramach OP</w:t>
      </w:r>
      <w:r>
        <w:t> </w:t>
      </w:r>
      <w:r w:rsidRPr="007B45DD">
        <w:t>XI i OP XII</w:t>
      </w:r>
      <w:r>
        <w:t>,</w:t>
      </w:r>
      <w:r w:rsidRPr="007B45DD">
        <w:t xml:space="preserve"> wyrażone jako średnia arytmetyczna stopnia ich realizacji przez każdy z typów projektów w odniesieniu do założeń danego działania. Następnie otrzymane wartości porównano z postępem finansowym </w:t>
      </w:r>
      <w:r>
        <w:t>wyrażonym jako % alokacji danej</w:t>
      </w:r>
      <w:r w:rsidRPr="007B45DD">
        <w:t xml:space="preserve"> </w:t>
      </w:r>
      <w:r>
        <w:t>OP</w:t>
      </w:r>
      <w:r w:rsidRPr="007B45DD">
        <w:t>, który został zakontraktowany w umowach o dofinansowanie</w:t>
      </w:r>
      <w:r>
        <w:t>,</w:t>
      </w:r>
      <w:r w:rsidRPr="007B45DD">
        <w:t xml:space="preserve"> w podziale na poszczególne typy projektów.</w:t>
      </w:r>
    </w:p>
    <w:p w14:paraId="4FDDFD73" w14:textId="77777777" w:rsidR="00876708" w:rsidRDefault="00876708" w:rsidP="00DF64C7">
      <w:pPr>
        <w:jc w:val="left"/>
      </w:pPr>
      <w:r>
        <w:t>Jednakże warto zwrócić uwagę</w:t>
      </w:r>
      <w:r w:rsidRPr="007B45DD">
        <w:t>, że przedstawiona</w:t>
      </w:r>
      <w:r>
        <w:t xml:space="preserve"> w poniższych tabelach</w:t>
      </w:r>
      <w:r w:rsidRPr="007B45DD">
        <w:t xml:space="preserve"> efektywność kosztowa nie jest wartością ostateczną, co wynika z faktu, iż wciąż realizowane są kolejne projekty w ramach omawianych OP. Tym samym o ostatecznej efektywności kosztowej będzie można mówić dopiero w momencie zakończenia wszystkich realizowanych projektów.</w:t>
      </w:r>
    </w:p>
    <w:p w14:paraId="12511639" w14:textId="77777777" w:rsidR="00876708" w:rsidRDefault="00876708" w:rsidP="00DF64C7">
      <w:pPr>
        <w:tabs>
          <w:tab w:val="left" w:pos="4962"/>
        </w:tabs>
        <w:jc w:val="left"/>
      </w:pPr>
    </w:p>
    <w:p w14:paraId="4BCE3C55" w14:textId="77777777" w:rsidR="00876708" w:rsidRDefault="00876708" w:rsidP="00DF64C7">
      <w:pPr>
        <w:tabs>
          <w:tab w:val="left" w:pos="4962"/>
        </w:tabs>
        <w:jc w:val="left"/>
      </w:pPr>
      <w:r>
        <w:t>Wartość docelowa 2023 ( 100 % wydatków kwalifikowalnych) przedstawiona w monitoringu wskaźników finansowych odnosząca się do osi priorytetowych: XI Wzmocnienie potencjału edukacyjnego oraz XII Infrastruktura edukacyjna wynosi kolejno 229 287 231 EUR oraz 95 412 345 EUR, natomiast wartość wniosków o płatność</w:t>
      </w:r>
      <w:r w:rsidRPr="00F27250">
        <w:t xml:space="preserve"> </w:t>
      </w:r>
      <w:r>
        <w:t>od początku realizacji programu do 1</w:t>
      </w:r>
      <w:r w:rsidR="002F120A">
        <w:t xml:space="preserve"> </w:t>
      </w:r>
      <w:r>
        <w:t>października 2019 r. (określona na podstawie monitoringu wskaźników finansowych</w:t>
      </w:r>
      <w:r w:rsidRPr="00F27250">
        <w:t xml:space="preserve"> – stan na dzień 1 października 2019 r.</w:t>
      </w:r>
      <w:r>
        <w:t>) wynosi 79 885 889 EUR (OP XI) oraz 47 268 881</w:t>
      </w:r>
      <w:r w:rsidRPr="00F27250">
        <w:t xml:space="preserve"> </w:t>
      </w:r>
      <w:r>
        <w:t xml:space="preserve">EUR (OP XII). </w:t>
      </w:r>
    </w:p>
    <w:p w14:paraId="41ED687D" w14:textId="77777777" w:rsidR="00876708" w:rsidRDefault="00876708" w:rsidP="00DF64C7">
      <w:pPr>
        <w:tabs>
          <w:tab w:val="left" w:pos="4962"/>
        </w:tabs>
        <w:jc w:val="left"/>
      </w:pPr>
      <w:r>
        <w:t>Na podstawie wartości pierwotnej alokacji środków finansowych przeznaczonych na realizację projektów w ramach Regionalnego Programu Operacyjnego Województwa Śląskiego na lata 2014-2020 określony został postęp finansowy</w:t>
      </w:r>
      <w:r>
        <w:rPr>
          <w:rStyle w:val="Odwoanieprzypisudolnego"/>
        </w:rPr>
        <w:footnoteReference w:id="74"/>
      </w:r>
      <w:r>
        <w:t xml:space="preserve"> dla XI i XII osi priorytetowych. Postęp finansowy, na podstawie wniosków o płatność (na dzień 1.10.2019 r.) kształtuje się na poziomie 34,8% dla OP XI oraz 47,0% dla OP XII.</w:t>
      </w:r>
    </w:p>
    <w:p w14:paraId="4BCE548F" w14:textId="77777777" w:rsidR="00876708" w:rsidRDefault="00876708" w:rsidP="00DF64C7">
      <w:pPr>
        <w:tabs>
          <w:tab w:val="left" w:pos="4962"/>
        </w:tabs>
        <w:jc w:val="left"/>
      </w:pPr>
    </w:p>
    <w:p w14:paraId="458EC0EC" w14:textId="279689F4" w:rsidR="00876708" w:rsidRDefault="00876708" w:rsidP="00DF64C7">
      <w:pPr>
        <w:pStyle w:val="Legenda"/>
        <w:spacing w:line="271" w:lineRule="auto"/>
        <w:jc w:val="left"/>
      </w:pPr>
      <w:bookmarkStart w:id="59" w:name="_Toc33457224"/>
      <w:r>
        <w:t xml:space="preserve">Tabela </w:t>
      </w:r>
      <w:r>
        <w:rPr>
          <w:noProof/>
        </w:rPr>
        <w:fldChar w:fldCharType="begin"/>
      </w:r>
      <w:r>
        <w:rPr>
          <w:noProof/>
        </w:rPr>
        <w:instrText xml:space="preserve"> SEQ Tabela \* ARABIC </w:instrText>
      </w:r>
      <w:r>
        <w:rPr>
          <w:noProof/>
        </w:rPr>
        <w:fldChar w:fldCharType="separate"/>
      </w:r>
      <w:r w:rsidR="00A8147E">
        <w:rPr>
          <w:noProof/>
        </w:rPr>
        <w:t>24</w:t>
      </w:r>
      <w:r>
        <w:rPr>
          <w:noProof/>
        </w:rPr>
        <w:fldChar w:fldCharType="end"/>
      </w:r>
      <w:r>
        <w:rPr>
          <w:noProof/>
        </w:rPr>
        <w:t>.</w:t>
      </w:r>
      <w:r>
        <w:t xml:space="preserve"> </w:t>
      </w:r>
      <w:r w:rsidRPr="00B477DB">
        <w:t>Kwoty przeznaczone na dofinansowanie projektów w ramach OP XI oraz OP XII</w:t>
      </w:r>
      <w:bookmarkEnd w:id="59"/>
    </w:p>
    <w:tbl>
      <w:tblPr>
        <w:tblStyle w:val="redniasiatka3akcent6"/>
        <w:tblW w:w="0" w:type="auto"/>
        <w:tblLayout w:type="fixed"/>
        <w:tblLook w:val="04A0" w:firstRow="1" w:lastRow="0" w:firstColumn="1" w:lastColumn="0" w:noHBand="0" w:noVBand="1"/>
        <w:tblCaption w:val="Kwoty przeznaczone na dofinansowanie projektów w ramach OP XI oraz OP XII"/>
        <w:tblDescription w:val="Tabela przedstawia kwoty przeznaczone na dofinansowanie projektów w ramach OP XI oraz OP XII, w tym alokację w EUR; wartość wniosków o płatność do KE od początku rralizacji programu do końca 2018 roku; orientacyjną kwotę przeznaczoną na dofinansowanie w ramach konkursu w 2019 roku; sumę dofinansowania."/>
      </w:tblPr>
      <w:tblGrid>
        <w:gridCol w:w="1684"/>
        <w:gridCol w:w="2393"/>
        <w:gridCol w:w="2482"/>
        <w:gridCol w:w="2727"/>
      </w:tblGrid>
      <w:tr w:rsidR="00876708" w:rsidRPr="005D2B87" w14:paraId="6B971194" w14:textId="77777777" w:rsidTr="009F10D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84" w:type="dxa"/>
          </w:tcPr>
          <w:p w14:paraId="108C08CF" w14:textId="77777777" w:rsidR="00876708" w:rsidRPr="005D2B87" w:rsidRDefault="00876708" w:rsidP="00DF64C7">
            <w:pPr>
              <w:jc w:val="left"/>
              <w:rPr>
                <w:sz w:val="20"/>
              </w:rPr>
            </w:pPr>
            <w:r w:rsidRPr="005D2B87">
              <w:rPr>
                <w:sz w:val="20"/>
              </w:rPr>
              <w:t>Oś priorytetowa</w:t>
            </w:r>
          </w:p>
        </w:tc>
        <w:tc>
          <w:tcPr>
            <w:tcW w:w="2393" w:type="dxa"/>
          </w:tcPr>
          <w:p w14:paraId="673AB654" w14:textId="77777777" w:rsidR="00876708" w:rsidRPr="005D2B87" w:rsidRDefault="00876708" w:rsidP="00DF64C7">
            <w:pPr>
              <w:jc w:val="left"/>
              <w:cnfStyle w:val="100000000000" w:firstRow="1" w:lastRow="0" w:firstColumn="0" w:lastColumn="0" w:oddVBand="0" w:evenVBand="0" w:oddHBand="0" w:evenHBand="0" w:firstRowFirstColumn="0" w:firstRowLastColumn="0" w:lastRowFirstColumn="0" w:lastRowLastColumn="0"/>
              <w:rPr>
                <w:sz w:val="20"/>
              </w:rPr>
            </w:pPr>
            <w:r w:rsidRPr="00896BA0">
              <w:rPr>
                <w:sz w:val="20"/>
              </w:rPr>
              <w:t>Wartość docelowa 2023</w:t>
            </w:r>
            <w:r>
              <w:rPr>
                <w:sz w:val="20"/>
              </w:rPr>
              <w:t xml:space="preserve"> wskaźników finansowych </w:t>
            </w:r>
            <w:r w:rsidRPr="005D2B87">
              <w:rPr>
                <w:sz w:val="20"/>
              </w:rPr>
              <w:t xml:space="preserve"> (</w:t>
            </w:r>
            <w:r>
              <w:rPr>
                <w:sz w:val="20"/>
              </w:rPr>
              <w:t>EUR</w:t>
            </w:r>
            <w:r w:rsidRPr="005D2B87">
              <w:rPr>
                <w:sz w:val="20"/>
              </w:rPr>
              <w:t>)</w:t>
            </w:r>
          </w:p>
        </w:tc>
        <w:tc>
          <w:tcPr>
            <w:tcW w:w="2482" w:type="dxa"/>
          </w:tcPr>
          <w:p w14:paraId="52719925" w14:textId="77777777" w:rsidR="00876708" w:rsidRPr="005D2B87" w:rsidRDefault="00876708" w:rsidP="00DF64C7">
            <w:pPr>
              <w:jc w:val="left"/>
              <w:cnfStyle w:val="100000000000" w:firstRow="1" w:lastRow="0" w:firstColumn="0" w:lastColumn="0" w:oddVBand="0" w:evenVBand="0" w:oddHBand="0" w:evenHBand="0" w:firstRowFirstColumn="0" w:firstRowLastColumn="0" w:lastRowFirstColumn="0" w:lastRowLastColumn="0"/>
              <w:rPr>
                <w:sz w:val="20"/>
              </w:rPr>
            </w:pPr>
            <w:r w:rsidRPr="005D2B87">
              <w:rPr>
                <w:sz w:val="20"/>
              </w:rPr>
              <w:t xml:space="preserve">Wartość </w:t>
            </w:r>
            <w:r>
              <w:rPr>
                <w:sz w:val="20"/>
              </w:rPr>
              <w:t xml:space="preserve">zatwierdzonych </w:t>
            </w:r>
            <w:r w:rsidRPr="005D2B87">
              <w:rPr>
                <w:sz w:val="20"/>
              </w:rPr>
              <w:t xml:space="preserve">wniosków </w:t>
            </w:r>
            <w:r>
              <w:rPr>
                <w:sz w:val="20"/>
              </w:rPr>
              <w:t>o płatność (EUR)</w:t>
            </w:r>
          </w:p>
        </w:tc>
        <w:tc>
          <w:tcPr>
            <w:tcW w:w="2727" w:type="dxa"/>
          </w:tcPr>
          <w:p w14:paraId="6B0CF81B" w14:textId="77777777" w:rsidR="00876708" w:rsidRPr="005D2B87" w:rsidRDefault="00876708" w:rsidP="00DF64C7">
            <w:pPr>
              <w:jc w:val="left"/>
              <w:cnfStyle w:val="100000000000" w:firstRow="1" w:lastRow="0" w:firstColumn="0" w:lastColumn="0" w:oddVBand="0" w:evenVBand="0" w:oddHBand="0" w:evenHBand="0" w:firstRowFirstColumn="0" w:firstRowLastColumn="0" w:lastRowFirstColumn="0" w:lastRowLastColumn="0"/>
              <w:rPr>
                <w:sz w:val="20"/>
              </w:rPr>
            </w:pPr>
            <w:r>
              <w:rPr>
                <w:sz w:val="20"/>
              </w:rPr>
              <w:t>Postęp finansowy na podstawie wniosków o płatność</w:t>
            </w:r>
          </w:p>
        </w:tc>
      </w:tr>
      <w:tr w:rsidR="00876708" w:rsidRPr="005D2B87" w14:paraId="2B6D5C5F" w14:textId="77777777" w:rsidTr="009F10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4" w:type="dxa"/>
          </w:tcPr>
          <w:p w14:paraId="1D8A38A7" w14:textId="77777777" w:rsidR="00876708" w:rsidRPr="005D2B87" w:rsidRDefault="00876708" w:rsidP="00DF64C7">
            <w:pPr>
              <w:jc w:val="left"/>
              <w:rPr>
                <w:sz w:val="20"/>
              </w:rPr>
            </w:pPr>
            <w:r w:rsidRPr="005D2B87">
              <w:rPr>
                <w:sz w:val="20"/>
              </w:rPr>
              <w:t>XI</w:t>
            </w:r>
          </w:p>
        </w:tc>
        <w:tc>
          <w:tcPr>
            <w:tcW w:w="2393" w:type="dxa"/>
          </w:tcPr>
          <w:p w14:paraId="5AAC2912" w14:textId="77777777" w:rsidR="00876708" w:rsidRPr="005D2B87" w:rsidRDefault="00876708" w:rsidP="003E5E36">
            <w:pPr>
              <w:jc w:val="right"/>
              <w:cnfStyle w:val="000000100000" w:firstRow="0" w:lastRow="0" w:firstColumn="0" w:lastColumn="0" w:oddVBand="0" w:evenVBand="0" w:oddHBand="1" w:evenHBand="0" w:firstRowFirstColumn="0" w:firstRowLastColumn="0" w:lastRowFirstColumn="0" w:lastRowLastColumn="0"/>
              <w:rPr>
                <w:sz w:val="20"/>
              </w:rPr>
            </w:pPr>
            <w:r>
              <w:rPr>
                <w:sz w:val="20"/>
              </w:rPr>
              <w:t xml:space="preserve">229 287 231 </w:t>
            </w:r>
            <w:r w:rsidRPr="005D2B87">
              <w:rPr>
                <w:sz w:val="20"/>
              </w:rPr>
              <w:t>(EFS)</w:t>
            </w:r>
          </w:p>
        </w:tc>
        <w:tc>
          <w:tcPr>
            <w:tcW w:w="2482" w:type="dxa"/>
          </w:tcPr>
          <w:p w14:paraId="19B07F8B" w14:textId="77777777" w:rsidR="00876708" w:rsidRPr="005D2B87" w:rsidRDefault="00876708" w:rsidP="003E5E36">
            <w:pPr>
              <w:jc w:val="right"/>
              <w:cnfStyle w:val="000000100000" w:firstRow="0" w:lastRow="0" w:firstColumn="0" w:lastColumn="0" w:oddVBand="0" w:evenVBand="0" w:oddHBand="1" w:evenHBand="0" w:firstRowFirstColumn="0" w:firstRowLastColumn="0" w:lastRowFirstColumn="0" w:lastRowLastColumn="0"/>
              <w:rPr>
                <w:sz w:val="20"/>
              </w:rPr>
            </w:pPr>
            <w:r>
              <w:rPr>
                <w:sz w:val="20"/>
              </w:rPr>
              <w:t>79 885 889</w:t>
            </w:r>
          </w:p>
        </w:tc>
        <w:tc>
          <w:tcPr>
            <w:tcW w:w="2727" w:type="dxa"/>
          </w:tcPr>
          <w:p w14:paraId="2319AF78" w14:textId="77777777" w:rsidR="00876708" w:rsidRPr="005D2B87" w:rsidRDefault="00876708" w:rsidP="003E5E36">
            <w:pPr>
              <w:jc w:val="right"/>
              <w:cnfStyle w:val="000000100000" w:firstRow="0" w:lastRow="0" w:firstColumn="0" w:lastColumn="0" w:oddVBand="0" w:evenVBand="0" w:oddHBand="1" w:evenHBand="0" w:firstRowFirstColumn="0" w:firstRowLastColumn="0" w:lastRowFirstColumn="0" w:lastRowLastColumn="0"/>
              <w:rPr>
                <w:sz w:val="20"/>
              </w:rPr>
            </w:pPr>
            <w:r>
              <w:rPr>
                <w:sz w:val="20"/>
              </w:rPr>
              <w:t>34,8%</w:t>
            </w:r>
          </w:p>
        </w:tc>
      </w:tr>
      <w:tr w:rsidR="00876708" w:rsidRPr="005D2B87" w14:paraId="0C7BF3B4" w14:textId="77777777" w:rsidTr="009F10DC">
        <w:trPr>
          <w:trHeight w:val="20"/>
        </w:trPr>
        <w:tc>
          <w:tcPr>
            <w:cnfStyle w:val="001000000000" w:firstRow="0" w:lastRow="0" w:firstColumn="1" w:lastColumn="0" w:oddVBand="0" w:evenVBand="0" w:oddHBand="0" w:evenHBand="0" w:firstRowFirstColumn="0" w:firstRowLastColumn="0" w:lastRowFirstColumn="0" w:lastRowLastColumn="0"/>
            <w:tcW w:w="1684" w:type="dxa"/>
          </w:tcPr>
          <w:p w14:paraId="1D7D70D2" w14:textId="77777777" w:rsidR="00876708" w:rsidRPr="005D2B87" w:rsidRDefault="00876708" w:rsidP="00DF64C7">
            <w:pPr>
              <w:jc w:val="left"/>
              <w:rPr>
                <w:sz w:val="20"/>
              </w:rPr>
            </w:pPr>
            <w:r w:rsidRPr="005D2B87">
              <w:rPr>
                <w:sz w:val="20"/>
              </w:rPr>
              <w:t>XII</w:t>
            </w:r>
          </w:p>
        </w:tc>
        <w:tc>
          <w:tcPr>
            <w:tcW w:w="2393" w:type="dxa"/>
          </w:tcPr>
          <w:p w14:paraId="705DE6A0" w14:textId="77777777" w:rsidR="00876708" w:rsidRPr="005D2B87" w:rsidRDefault="00876708" w:rsidP="003E5E36">
            <w:pPr>
              <w:jc w:val="right"/>
              <w:cnfStyle w:val="000000000000" w:firstRow="0" w:lastRow="0" w:firstColumn="0" w:lastColumn="0" w:oddVBand="0" w:evenVBand="0" w:oddHBand="0" w:evenHBand="0" w:firstRowFirstColumn="0" w:firstRowLastColumn="0" w:lastRowFirstColumn="0" w:lastRowLastColumn="0"/>
              <w:rPr>
                <w:sz w:val="20"/>
              </w:rPr>
            </w:pPr>
            <w:r>
              <w:rPr>
                <w:sz w:val="20"/>
              </w:rPr>
              <w:t xml:space="preserve">95 412 345 </w:t>
            </w:r>
            <w:r w:rsidRPr="005D2B87">
              <w:rPr>
                <w:sz w:val="20"/>
              </w:rPr>
              <w:t>(EFRR)</w:t>
            </w:r>
          </w:p>
        </w:tc>
        <w:tc>
          <w:tcPr>
            <w:tcW w:w="2482" w:type="dxa"/>
          </w:tcPr>
          <w:p w14:paraId="5D658D1F" w14:textId="77777777" w:rsidR="00876708" w:rsidRPr="005D2B87" w:rsidRDefault="00876708" w:rsidP="003E5E36">
            <w:pPr>
              <w:jc w:val="right"/>
              <w:cnfStyle w:val="000000000000" w:firstRow="0" w:lastRow="0" w:firstColumn="0" w:lastColumn="0" w:oddVBand="0" w:evenVBand="0" w:oddHBand="0" w:evenHBand="0" w:firstRowFirstColumn="0" w:firstRowLastColumn="0" w:lastRowFirstColumn="0" w:lastRowLastColumn="0"/>
              <w:rPr>
                <w:sz w:val="20"/>
              </w:rPr>
            </w:pPr>
            <w:r>
              <w:rPr>
                <w:sz w:val="20"/>
              </w:rPr>
              <w:t>47 268 881</w:t>
            </w:r>
            <w:r w:rsidRPr="005D2B87">
              <w:rPr>
                <w:sz w:val="20"/>
              </w:rPr>
              <w:t xml:space="preserve"> </w:t>
            </w:r>
          </w:p>
        </w:tc>
        <w:tc>
          <w:tcPr>
            <w:tcW w:w="2727" w:type="dxa"/>
          </w:tcPr>
          <w:p w14:paraId="1BE3C7FD" w14:textId="77777777" w:rsidR="00876708" w:rsidRPr="005D2B87" w:rsidRDefault="00876708" w:rsidP="003E5E36">
            <w:pPr>
              <w:jc w:val="right"/>
              <w:cnfStyle w:val="000000000000" w:firstRow="0" w:lastRow="0" w:firstColumn="0" w:lastColumn="0" w:oddVBand="0" w:evenVBand="0" w:oddHBand="0" w:evenHBand="0" w:firstRowFirstColumn="0" w:firstRowLastColumn="0" w:lastRowFirstColumn="0" w:lastRowLastColumn="0"/>
              <w:rPr>
                <w:sz w:val="20"/>
              </w:rPr>
            </w:pPr>
            <w:r>
              <w:rPr>
                <w:sz w:val="20"/>
              </w:rPr>
              <w:t>47,0%</w:t>
            </w:r>
          </w:p>
        </w:tc>
      </w:tr>
    </w:tbl>
    <w:p w14:paraId="0A40FC1D" w14:textId="77777777" w:rsidR="00876708" w:rsidRDefault="00876708" w:rsidP="00DF64C7">
      <w:pPr>
        <w:pStyle w:val="podpisrdailustracji"/>
        <w:spacing w:line="271" w:lineRule="auto"/>
        <w:jc w:val="left"/>
      </w:pPr>
      <w:r>
        <w:t xml:space="preserve">Źródło: Opracowanie własne na </w:t>
      </w:r>
      <w:r w:rsidR="00DA7110">
        <w:t>podstawie</w:t>
      </w:r>
      <w:r>
        <w:t xml:space="preserve"> </w:t>
      </w:r>
      <w:r w:rsidR="00DA7110">
        <w:t>monitoringu</w:t>
      </w:r>
      <w:r>
        <w:t xml:space="preserve"> wskaźników finansowych w EUR</w:t>
      </w:r>
      <w:r w:rsidRPr="001C7E6A">
        <w:t xml:space="preserve"> – stan na dzień </w:t>
      </w:r>
      <w:r>
        <w:t>1</w:t>
      </w:r>
      <w:r w:rsidRPr="001C7E6A">
        <w:t xml:space="preserve"> października 2019 r.</w:t>
      </w:r>
    </w:p>
    <w:p w14:paraId="7A148F17" w14:textId="77777777" w:rsidR="00876708" w:rsidRDefault="00876708" w:rsidP="00DF64C7">
      <w:pPr>
        <w:jc w:val="left"/>
      </w:pPr>
    </w:p>
    <w:p w14:paraId="01C26C28" w14:textId="77777777" w:rsidR="00876708" w:rsidRDefault="00876708" w:rsidP="00DF64C7">
      <w:pPr>
        <w:jc w:val="left"/>
      </w:pPr>
      <w:r>
        <w:t xml:space="preserve">Określenie postępu finansowego dla OP XI i XII umożliwiło obliczenie wskaźników efektywności kosztowej projektów realizowanych w ramach OP XI Wzmocnienie potencjału edukacyjnego oraz OP XII Infrastruktura edukacyjna. </w:t>
      </w:r>
    </w:p>
    <w:p w14:paraId="1ABBE551" w14:textId="77777777" w:rsidR="00876708" w:rsidRDefault="00876708" w:rsidP="00DF64C7">
      <w:pPr>
        <w:jc w:val="left"/>
      </w:pPr>
      <w:r>
        <w:t>Efektywność ekonomiczna została obliczona na podstawie porównania średniej arytmetycznej stopnia</w:t>
      </w:r>
      <w:r w:rsidRPr="00B6467B">
        <w:t xml:space="preserve"> </w:t>
      </w:r>
      <w:r>
        <w:t xml:space="preserve">szacowanej </w:t>
      </w:r>
      <w:r w:rsidRPr="00B6467B">
        <w:t xml:space="preserve">realizacji </w:t>
      </w:r>
      <w:r>
        <w:t xml:space="preserve">wskaźników rzeczowych w 2023 r. (na podstawie wniosków o płatność) </w:t>
      </w:r>
      <w:r w:rsidRPr="00B6467B">
        <w:t xml:space="preserve">przez </w:t>
      </w:r>
      <w:r>
        <w:t>projekty realizowane w ramach RPO WSL 2014-2020, w </w:t>
      </w:r>
      <w:r w:rsidRPr="00B6467B">
        <w:t xml:space="preserve">odniesieniu do </w:t>
      </w:r>
      <w:r>
        <w:t>poziomu postępu finansowego obliczonego na podstawie wniosków o płatność (wg. stanu na dzień 1.10.2019 r.), wyrażonego</w:t>
      </w:r>
      <w:r w:rsidRPr="00B6467B">
        <w:t xml:space="preserve"> jako % </w:t>
      </w:r>
      <w:r>
        <w:t>osiągnięcia wartości docelowej wskaźników finansowych (2023) dla</w:t>
      </w:r>
      <w:r w:rsidRPr="00B6467B">
        <w:t xml:space="preserve"> </w:t>
      </w:r>
      <w:r>
        <w:t>danej osi priorytetowej</w:t>
      </w:r>
      <w:r w:rsidRPr="00B6467B">
        <w:t>,</w:t>
      </w:r>
      <w:r>
        <w:t xml:space="preserve"> który wynika z wniosków o płatność,</w:t>
      </w:r>
      <w:r w:rsidRPr="00B6467B">
        <w:t xml:space="preserve"> w podziale na poszczególne typy projektów.</w:t>
      </w:r>
    </w:p>
    <w:p w14:paraId="35592367" w14:textId="77777777" w:rsidR="00876708" w:rsidRDefault="00876708" w:rsidP="00DF64C7">
      <w:pPr>
        <w:jc w:val="left"/>
      </w:pPr>
    </w:p>
    <w:p w14:paraId="37B00222" w14:textId="77777777" w:rsidR="00876708" w:rsidRDefault="00876708" w:rsidP="00DF64C7">
      <w:pPr>
        <w:jc w:val="left"/>
      </w:pPr>
      <m:oMathPara>
        <m:oMath>
          <m:r>
            <w:rPr>
              <w:rFonts w:ascii="Cambria Math" w:hAnsi="Cambria Math"/>
            </w:rPr>
            <m:t xml:space="preserve">Efektywność ekonomiczna= </m:t>
          </m:r>
          <m:f>
            <m:fPr>
              <m:ctrlPr>
                <w:rPr>
                  <w:rFonts w:ascii="Cambria Math" w:hAnsi="Cambria Math"/>
                  <w:i/>
                </w:rPr>
              </m:ctrlPr>
            </m:fPr>
            <m:num>
              <m:eqArr>
                <m:eqArrPr>
                  <m:ctrlPr>
                    <w:rPr>
                      <w:rFonts w:ascii="Cambria Math" w:hAnsi="Cambria Math"/>
                      <w:i/>
                    </w:rPr>
                  </m:ctrlPr>
                </m:eqArrPr>
                <m:e>
                  <m:r>
                    <w:rPr>
                      <w:rFonts w:ascii="Cambria Math" w:hAnsi="Cambria Math"/>
                    </w:rPr>
                    <m:t>% szacowanej realizacji wskaźnika w 2023 r.</m:t>
                  </m:r>
                </m:e>
                <m:e>
                  <m:r>
                    <w:rPr>
                      <w:rFonts w:ascii="Cambria Math" w:hAnsi="Cambria Math"/>
                    </w:rPr>
                    <m:t>(na podstawie wniosków o płatność)</m:t>
                  </m:r>
                </m:e>
              </m:eqArr>
            </m:num>
            <m:den>
              <m:eqArr>
                <m:eqArrPr>
                  <m:ctrlPr>
                    <w:rPr>
                      <w:rFonts w:ascii="Cambria Math" w:hAnsi="Cambria Math"/>
                      <w:i/>
                    </w:rPr>
                  </m:ctrlPr>
                </m:eqArrPr>
                <m:e>
                  <m:r>
                    <w:rPr>
                      <w:rFonts w:ascii="Cambria Math" w:hAnsi="Cambria Math"/>
                    </w:rPr>
                    <m:t xml:space="preserve">Poziom postępu finansowego </m:t>
                  </m:r>
                </m:e>
                <m:e>
                  <m:r>
                    <w:rPr>
                      <w:rFonts w:ascii="Cambria Math" w:hAnsi="Cambria Math"/>
                    </w:rPr>
                    <m:t>(na podstawie wniosków o płatność)</m:t>
                  </m:r>
                </m:e>
              </m:eqArr>
            </m:den>
          </m:f>
        </m:oMath>
      </m:oMathPara>
    </w:p>
    <w:p w14:paraId="764E926A" w14:textId="77777777" w:rsidR="00876708" w:rsidRDefault="00876708" w:rsidP="00DF64C7">
      <w:pPr>
        <w:jc w:val="left"/>
      </w:pPr>
    </w:p>
    <w:p w14:paraId="3F53D1F6" w14:textId="77777777" w:rsidR="00876708" w:rsidRDefault="00876708" w:rsidP="00DF64C7">
      <w:pPr>
        <w:jc w:val="left"/>
      </w:pPr>
      <w:r>
        <w:t xml:space="preserve">Szacowany na podstawie wniosków o </w:t>
      </w:r>
      <w:r w:rsidR="00DA7110">
        <w:t>płatność</w:t>
      </w:r>
      <w:r>
        <w:t xml:space="preserve"> poziom realizacji wskaźników ram wykonania dla osi priorytetowych XI oraz XII oscyluje na poziomie pomiędzy 40% (wskaźnik: p</w:t>
      </w:r>
      <w:r w:rsidRPr="00615EAC">
        <w:t>otencjał objętej wsparciem infrastruktury w zakresie opieki nad dziećmi lub infrastruktury edukacyjnej</w:t>
      </w:r>
      <w:r>
        <w:t>) do 188% (</w:t>
      </w:r>
      <w:r w:rsidRPr="001C7E6A">
        <w:t>Liczba uczniów objętych wsparciem w zakresie rozwijania kompetencji kluczowych lub umiejętności uniwersalnych niezbędnych na rynku pracy w programie - mężczyźni</w:t>
      </w:r>
      <w:r>
        <w:t xml:space="preserve">). </w:t>
      </w:r>
    </w:p>
    <w:p w14:paraId="0DAAA21D" w14:textId="77777777" w:rsidR="00876708" w:rsidRDefault="00876708" w:rsidP="00DF64C7">
      <w:pPr>
        <w:jc w:val="left"/>
      </w:pPr>
      <w:r>
        <w:t xml:space="preserve">Najwyższy poziom szacowanej realizacji wskaźników dla ram wykonania OP XI, obliczony na podstawie </w:t>
      </w:r>
      <w:r w:rsidR="00DA7110">
        <w:t>wniosków</w:t>
      </w:r>
      <w:r>
        <w:t xml:space="preserve"> o płatność, osiągnięty został w przypadku wskaźnika: </w:t>
      </w:r>
      <w:r w:rsidRPr="001C7E6A">
        <w:t>Liczba uczniów objętych wsparciem w zakresie rozwijania kompetencji kluczowych lub umiejętności uniwersalnych niezbędnych na rynku pracy w programie - mężczyźni</w:t>
      </w:r>
      <w:r>
        <w:t xml:space="preserve"> (wartość szacowanej realizacji na poziomie 188%).</w:t>
      </w:r>
    </w:p>
    <w:p w14:paraId="6619DA8B" w14:textId="77777777" w:rsidR="00876708" w:rsidRDefault="00876708" w:rsidP="00DF64C7">
      <w:pPr>
        <w:jc w:val="left"/>
      </w:pPr>
      <w:r>
        <w:t xml:space="preserve">Biorąc pod uwagę wartości docelowe dla analizowanych wskaźników w 2023 r., powyższy wskaźnik osiągnął najwyższą efektywność kosztową na poziomie 5,39. Dla porównania – pozostałe wskaźniki ram wykonania OP XI osiągnęły efektywność kosztową pomiędzy 1,84 a 5,09. </w:t>
      </w:r>
    </w:p>
    <w:p w14:paraId="08E2068D" w14:textId="77777777" w:rsidR="00876708" w:rsidRDefault="00876708" w:rsidP="00DF64C7">
      <w:pPr>
        <w:jc w:val="left"/>
      </w:pPr>
      <w:r>
        <w:t>Szacowany poziom realizacji dwóch wskaźników ram wykonania OP XII wynosi 40% (wskaźnik: p</w:t>
      </w:r>
      <w:r w:rsidRPr="00230A60">
        <w:t>otencjał objętej wsparciem infrastruktury w zakresie opieki nad dziećmi lub infrastruktury edukacyjnej</w:t>
      </w:r>
      <w:r>
        <w:t>) oraz 81% (wskaźnik: l</w:t>
      </w:r>
      <w:r w:rsidRPr="00230A60">
        <w:t>iczba wspartych obiektów infrastruktury kształcenia zawodowego</w:t>
      </w:r>
      <w:r>
        <w:t>), co przekłada się na efektywność kosztową na poziomie kolejno: 0,85 oraz 1,72.</w:t>
      </w:r>
    </w:p>
    <w:p w14:paraId="622212F5" w14:textId="77777777" w:rsidR="00876708" w:rsidRDefault="00876708" w:rsidP="00DF64C7">
      <w:pPr>
        <w:jc w:val="left"/>
      </w:pPr>
    </w:p>
    <w:p w14:paraId="503E22A3" w14:textId="77777777" w:rsidR="00876708" w:rsidRDefault="00876708" w:rsidP="00DF64C7">
      <w:pPr>
        <w:jc w:val="left"/>
      </w:pPr>
      <w:r>
        <w:t>Natomiast pozostałe wskaźniki charakterystyczne dla Europejskiego Funduszu Społecznego (EFS) osiągnęły bardzo zróżnicowane wartości szacunkowe – pomiędzy 30% (</w:t>
      </w:r>
      <w:r w:rsidRPr="001C7E6A">
        <w:t>Liczba osób o niskich kwalifikacjach objętych wsparciem w programie</w:t>
      </w:r>
      <w:r>
        <w:t>) a 2500% (</w:t>
      </w:r>
      <w:r w:rsidRPr="00FE2B30">
        <w:t>Liczba osób, które uzyskały kwalifikacje w ramach pozaszkolnych form kształcenia</w:t>
      </w:r>
      <w:r>
        <w:t>), co przekłada się na osiągnięcie efektywności ekonomicznej na kolejno na poziomie: 0,85 i 71,84.</w:t>
      </w:r>
    </w:p>
    <w:p w14:paraId="7AC394B0" w14:textId="77777777" w:rsidR="00876708" w:rsidRDefault="00876708" w:rsidP="00DF64C7">
      <w:pPr>
        <w:jc w:val="left"/>
      </w:pPr>
    </w:p>
    <w:p w14:paraId="3C2C1D19" w14:textId="77777777" w:rsidR="00876708" w:rsidRDefault="00876708" w:rsidP="00DF64C7">
      <w:pPr>
        <w:jc w:val="left"/>
        <w:sectPr w:rsidR="00876708" w:rsidSect="00174F8C">
          <w:footerReference w:type="default" r:id="rId30"/>
          <w:pgSz w:w="11906" w:h="16838"/>
          <w:pgMar w:top="1418" w:right="1418" w:bottom="1418" w:left="1418" w:header="709" w:footer="709" w:gutter="0"/>
          <w:cols w:space="708"/>
          <w:docGrid w:linePitch="360"/>
        </w:sectPr>
      </w:pPr>
      <w:r>
        <w:t xml:space="preserve">W przypadku wskaźników EFRR najniższą szacowaną wartość wskaźników, obliczoną na podstawie wniosków o płatność odnotowano przy wskaźniku: </w:t>
      </w:r>
      <w:r w:rsidRPr="008E308E">
        <w:t>Liczba osób odwiedzających Planetarium Śląskie ze zorganizowanych grup uczniowskich i przedszkolnych</w:t>
      </w:r>
      <w:r>
        <w:t xml:space="preserve"> (0%; efektywność kosztowa na poziomie 0,00), który jest przypisany do działania 12.3. Natomiast najwyższa szacowana wartość została osiągnięta dla wskaźnika: </w:t>
      </w:r>
      <w:r w:rsidRPr="008E308E">
        <w:t>Liczba wspartych obiektów infrastruktury kształcenia zawodowego</w:t>
      </w:r>
      <w:r>
        <w:t xml:space="preserve"> (81%; efektywność kosztowa na poziomie 1,72), który przypisany jest do działania 12.2. Pozostałe wartości wskaźników EFRR oscylują pomiędzy 40% i 74%, co przekłada się na efektywność kosztową na poziomie kolejno: 0,85 i 1,72.</w:t>
      </w:r>
    </w:p>
    <w:p w14:paraId="036516FC" w14:textId="485C9D5A" w:rsidR="00876708" w:rsidRDefault="00876708" w:rsidP="00DF64C7">
      <w:pPr>
        <w:pStyle w:val="Legenda"/>
        <w:jc w:val="left"/>
      </w:pPr>
      <w:r>
        <w:t xml:space="preserve">Tabela </w:t>
      </w:r>
      <w:r>
        <w:rPr>
          <w:noProof/>
        </w:rPr>
        <w:fldChar w:fldCharType="begin"/>
      </w:r>
      <w:r>
        <w:rPr>
          <w:noProof/>
        </w:rPr>
        <w:instrText xml:space="preserve"> SEQ Tabela \* ARABIC </w:instrText>
      </w:r>
      <w:r>
        <w:rPr>
          <w:noProof/>
        </w:rPr>
        <w:fldChar w:fldCharType="separate"/>
      </w:r>
      <w:r w:rsidR="00A8147E">
        <w:rPr>
          <w:noProof/>
        </w:rPr>
        <w:t>25</w:t>
      </w:r>
      <w:r>
        <w:rPr>
          <w:noProof/>
        </w:rPr>
        <w:fldChar w:fldCharType="end"/>
      </w:r>
      <w:r>
        <w:t>. Efektywność kosztowa w ramach poszczególnych wskaźników na podstawie wniosków o płatność</w:t>
      </w:r>
    </w:p>
    <w:tbl>
      <w:tblPr>
        <w:tblStyle w:val="redniasiatka3akcent6"/>
        <w:tblW w:w="14282" w:type="dxa"/>
        <w:tblLayout w:type="fixed"/>
        <w:tblLook w:val="04A0" w:firstRow="1" w:lastRow="0" w:firstColumn="1" w:lastColumn="0" w:noHBand="0" w:noVBand="1"/>
        <w:tblCaption w:val="Efektywność kosztowa w ramach poszczególnych wskaźników"/>
        <w:tblDescription w:val="Tabela przedstawia efektywność kosztową obliczoną dla poszczególnych wskaźników, w tym: wartość docelową na rok 2023; szacowaną realizację (na podstawie podpisanych umów); procentową wartość szacowanej realizacji; wskaźnik efektywności kosztowej."/>
      </w:tblPr>
      <w:tblGrid>
        <w:gridCol w:w="534"/>
        <w:gridCol w:w="992"/>
        <w:gridCol w:w="6804"/>
        <w:gridCol w:w="992"/>
        <w:gridCol w:w="2268"/>
        <w:gridCol w:w="1418"/>
        <w:gridCol w:w="1274"/>
      </w:tblGrid>
      <w:tr w:rsidR="00876708" w:rsidRPr="00142E5C" w14:paraId="5F580B3B" w14:textId="77777777" w:rsidTr="009F10DC">
        <w:trPr>
          <w:cnfStyle w:val="100000000000" w:firstRow="1" w:lastRow="0" w:firstColumn="0" w:lastColumn="0" w:oddVBand="0" w:evenVBand="0" w:oddHBand="0" w:evenHBand="0" w:firstRowFirstColumn="0" w:firstRowLastColumn="0" w:lastRowFirstColumn="0" w:lastRowLastColumn="0"/>
          <w:trHeight w:val="632"/>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82F7F49" w14:textId="77777777" w:rsidR="00876708" w:rsidRPr="00142E5C" w:rsidRDefault="00876708" w:rsidP="00DF64C7">
            <w:pPr>
              <w:jc w:val="left"/>
              <w:rPr>
                <w:sz w:val="18"/>
              </w:rPr>
            </w:pPr>
            <w:r w:rsidRPr="00142E5C">
              <w:rPr>
                <w:sz w:val="18"/>
              </w:rPr>
              <w:t>OP</w:t>
            </w:r>
          </w:p>
        </w:tc>
        <w:tc>
          <w:tcPr>
            <w:tcW w:w="992" w:type="dxa"/>
            <w:vAlign w:val="center"/>
          </w:tcPr>
          <w:p w14:paraId="31330723" w14:textId="77777777" w:rsidR="00876708" w:rsidRPr="00B830C7" w:rsidRDefault="00876708" w:rsidP="00DF64C7">
            <w:pPr>
              <w:jc w:val="left"/>
              <w:cnfStyle w:val="100000000000" w:firstRow="1" w:lastRow="0" w:firstColumn="0" w:lastColumn="0" w:oddVBand="0" w:evenVBand="0" w:oddHBand="0" w:evenHBand="0" w:firstRowFirstColumn="0" w:firstRowLastColumn="0" w:lastRowFirstColumn="0" w:lastRowLastColumn="0"/>
              <w:rPr>
                <w:sz w:val="17"/>
                <w:szCs w:val="17"/>
              </w:rPr>
            </w:pPr>
            <w:r w:rsidRPr="00B830C7">
              <w:rPr>
                <w:sz w:val="17"/>
                <w:szCs w:val="17"/>
              </w:rPr>
              <w:t>Działanie</w:t>
            </w:r>
          </w:p>
        </w:tc>
        <w:tc>
          <w:tcPr>
            <w:tcW w:w="6804" w:type="dxa"/>
            <w:vAlign w:val="center"/>
          </w:tcPr>
          <w:p w14:paraId="0DA5879C" w14:textId="77777777" w:rsidR="00876708" w:rsidRPr="00142E5C" w:rsidRDefault="00876708" w:rsidP="00DF64C7">
            <w:pPr>
              <w:jc w:val="left"/>
              <w:cnfStyle w:val="100000000000" w:firstRow="1" w:lastRow="0" w:firstColumn="0" w:lastColumn="0" w:oddVBand="0" w:evenVBand="0" w:oddHBand="0" w:evenHBand="0" w:firstRowFirstColumn="0" w:firstRowLastColumn="0" w:lastRowFirstColumn="0" w:lastRowLastColumn="0"/>
              <w:rPr>
                <w:sz w:val="18"/>
              </w:rPr>
            </w:pPr>
            <w:r w:rsidRPr="00142E5C">
              <w:rPr>
                <w:sz w:val="18"/>
              </w:rPr>
              <w:t>Nazwa wskaźnika</w:t>
            </w:r>
          </w:p>
        </w:tc>
        <w:tc>
          <w:tcPr>
            <w:tcW w:w="992" w:type="dxa"/>
            <w:vAlign w:val="center"/>
          </w:tcPr>
          <w:p w14:paraId="22502080" w14:textId="77777777" w:rsidR="00876708" w:rsidRPr="00B830C7" w:rsidRDefault="00876708" w:rsidP="00DF64C7">
            <w:pPr>
              <w:jc w:val="left"/>
              <w:cnfStyle w:val="100000000000" w:firstRow="1" w:lastRow="0" w:firstColumn="0" w:lastColumn="0" w:oddVBand="0" w:evenVBand="0" w:oddHBand="0" w:evenHBand="0" w:firstRowFirstColumn="0" w:firstRowLastColumn="0" w:lastRowFirstColumn="0" w:lastRowLastColumn="0"/>
              <w:rPr>
                <w:sz w:val="17"/>
                <w:szCs w:val="17"/>
              </w:rPr>
            </w:pPr>
            <w:r w:rsidRPr="00B830C7">
              <w:rPr>
                <w:sz w:val="17"/>
                <w:szCs w:val="17"/>
              </w:rPr>
              <w:t>Wartość docelowa 2023 r.</w:t>
            </w:r>
          </w:p>
        </w:tc>
        <w:tc>
          <w:tcPr>
            <w:tcW w:w="2268" w:type="dxa"/>
            <w:vAlign w:val="center"/>
          </w:tcPr>
          <w:p w14:paraId="76FB8425" w14:textId="77777777" w:rsidR="00876708" w:rsidRPr="00142E5C" w:rsidRDefault="00876708" w:rsidP="00DF64C7">
            <w:pPr>
              <w:jc w:val="left"/>
              <w:cnfStyle w:val="100000000000" w:firstRow="1" w:lastRow="0" w:firstColumn="0" w:lastColumn="0" w:oddVBand="0" w:evenVBand="0" w:oddHBand="0" w:evenHBand="0" w:firstRowFirstColumn="0" w:firstRowLastColumn="0" w:lastRowFirstColumn="0" w:lastRowLastColumn="0"/>
              <w:rPr>
                <w:sz w:val="18"/>
              </w:rPr>
            </w:pPr>
            <w:r>
              <w:rPr>
                <w:sz w:val="18"/>
              </w:rPr>
              <w:t xml:space="preserve">Szacowana realizacja </w:t>
            </w:r>
            <w:r>
              <w:rPr>
                <w:sz w:val="18"/>
              </w:rPr>
              <w:br/>
              <w:t>(na podstawie wniosków o płatność)</w:t>
            </w:r>
          </w:p>
        </w:tc>
        <w:tc>
          <w:tcPr>
            <w:tcW w:w="1418" w:type="dxa"/>
            <w:vAlign w:val="center"/>
          </w:tcPr>
          <w:p w14:paraId="2A0981BE" w14:textId="77777777" w:rsidR="00876708" w:rsidRPr="00142E5C" w:rsidRDefault="00876708" w:rsidP="00DF64C7">
            <w:pPr>
              <w:jc w:val="left"/>
              <w:cnfStyle w:val="100000000000" w:firstRow="1" w:lastRow="0" w:firstColumn="0" w:lastColumn="0" w:oddVBand="0" w:evenVBand="0" w:oddHBand="0" w:evenHBand="0" w:firstRowFirstColumn="0" w:firstRowLastColumn="0" w:lastRowFirstColumn="0" w:lastRowLastColumn="0"/>
              <w:rPr>
                <w:sz w:val="18"/>
              </w:rPr>
            </w:pPr>
            <w:r>
              <w:rPr>
                <w:sz w:val="18"/>
              </w:rPr>
              <w:t>% realizacji</w:t>
            </w:r>
          </w:p>
        </w:tc>
        <w:tc>
          <w:tcPr>
            <w:tcW w:w="1274" w:type="dxa"/>
            <w:vAlign w:val="center"/>
          </w:tcPr>
          <w:p w14:paraId="49C32B11" w14:textId="77777777" w:rsidR="00876708" w:rsidRPr="00B830C7" w:rsidRDefault="00876708" w:rsidP="00DF64C7">
            <w:pPr>
              <w:jc w:val="left"/>
              <w:cnfStyle w:val="100000000000" w:firstRow="1" w:lastRow="0" w:firstColumn="0" w:lastColumn="0" w:oddVBand="0" w:evenVBand="0" w:oddHBand="0" w:evenHBand="0" w:firstRowFirstColumn="0" w:firstRowLastColumn="0" w:lastRowFirstColumn="0" w:lastRowLastColumn="0"/>
              <w:rPr>
                <w:sz w:val="17"/>
                <w:szCs w:val="17"/>
              </w:rPr>
            </w:pPr>
            <w:r w:rsidRPr="00B830C7">
              <w:rPr>
                <w:sz w:val="17"/>
                <w:szCs w:val="17"/>
              </w:rPr>
              <w:t>Efektywność kosztowa (wskaźnik)</w:t>
            </w:r>
          </w:p>
        </w:tc>
      </w:tr>
      <w:tr w:rsidR="00876708" w:rsidRPr="00142E5C" w14:paraId="4074C5F1" w14:textId="77777777" w:rsidTr="009F10D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282" w:type="dxa"/>
            <w:gridSpan w:val="7"/>
          </w:tcPr>
          <w:p w14:paraId="4FB3D164" w14:textId="77777777" w:rsidR="00876708" w:rsidRPr="00142E5C" w:rsidRDefault="00876708" w:rsidP="00DF64C7">
            <w:pPr>
              <w:jc w:val="left"/>
              <w:rPr>
                <w:sz w:val="18"/>
              </w:rPr>
            </w:pPr>
            <w:r>
              <w:rPr>
                <w:sz w:val="18"/>
              </w:rPr>
              <w:t>Ramy wykonania</w:t>
            </w:r>
          </w:p>
        </w:tc>
      </w:tr>
      <w:tr w:rsidR="00876708" w:rsidRPr="00142E5C" w14:paraId="108600FD" w14:textId="77777777" w:rsidTr="009F10DC">
        <w:trPr>
          <w:trHeight w:val="202"/>
        </w:trPr>
        <w:tc>
          <w:tcPr>
            <w:cnfStyle w:val="001000000000" w:firstRow="0" w:lastRow="0" w:firstColumn="1" w:lastColumn="0" w:oddVBand="0" w:evenVBand="0" w:oddHBand="0" w:evenHBand="0" w:firstRowFirstColumn="0" w:firstRowLastColumn="0" w:lastRowFirstColumn="0" w:lastRowLastColumn="0"/>
            <w:tcW w:w="534" w:type="dxa"/>
            <w:vMerge w:val="restart"/>
          </w:tcPr>
          <w:p w14:paraId="5ADA7582" w14:textId="77777777" w:rsidR="00876708" w:rsidRPr="00142E5C" w:rsidRDefault="00876708" w:rsidP="00DF64C7">
            <w:pPr>
              <w:jc w:val="left"/>
              <w:rPr>
                <w:sz w:val="18"/>
              </w:rPr>
            </w:pPr>
            <w:r>
              <w:rPr>
                <w:sz w:val="18"/>
              </w:rPr>
              <w:t>XI</w:t>
            </w:r>
          </w:p>
        </w:tc>
        <w:tc>
          <w:tcPr>
            <w:tcW w:w="992" w:type="dxa"/>
            <w:vAlign w:val="bottom"/>
          </w:tcPr>
          <w:p w14:paraId="09DAD698"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sz w:val="18"/>
                <w:szCs w:val="18"/>
              </w:rPr>
            </w:pPr>
            <w:r w:rsidRPr="00E24BD3">
              <w:rPr>
                <w:rFonts w:ascii="Calibri" w:hAnsi="Calibri" w:cs="Calibri"/>
                <w:color w:val="000000"/>
                <w:sz w:val="18"/>
                <w:szCs w:val="18"/>
              </w:rPr>
              <w:t>11.1</w:t>
            </w:r>
          </w:p>
        </w:tc>
        <w:tc>
          <w:tcPr>
            <w:tcW w:w="6804" w:type="dxa"/>
          </w:tcPr>
          <w:p w14:paraId="2B673AF2"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uczniów objętych wsparciem w zakresie rozwijania kompetencji kluczowych lub umiejętności uniwersalnych niezbędnych na rynku pracy w programie</w:t>
            </w:r>
          </w:p>
        </w:tc>
        <w:tc>
          <w:tcPr>
            <w:tcW w:w="992" w:type="dxa"/>
          </w:tcPr>
          <w:p w14:paraId="324D1275"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48263</w:t>
            </w:r>
          </w:p>
        </w:tc>
        <w:tc>
          <w:tcPr>
            <w:tcW w:w="2268" w:type="dxa"/>
          </w:tcPr>
          <w:p w14:paraId="51C9E35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85446</w:t>
            </w:r>
          </w:p>
        </w:tc>
        <w:tc>
          <w:tcPr>
            <w:tcW w:w="1418" w:type="dxa"/>
          </w:tcPr>
          <w:p w14:paraId="4923CD29"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177%</w:t>
            </w:r>
          </w:p>
        </w:tc>
        <w:tc>
          <w:tcPr>
            <w:tcW w:w="1274" w:type="dxa"/>
          </w:tcPr>
          <w:p w14:paraId="7D827316"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5,0</w:t>
            </w:r>
            <w:r>
              <w:rPr>
                <w:sz w:val="18"/>
                <w:szCs w:val="18"/>
              </w:rPr>
              <w:t>9</w:t>
            </w:r>
          </w:p>
        </w:tc>
      </w:tr>
      <w:tr w:rsidR="00876708" w:rsidRPr="00142E5C" w14:paraId="126E8193"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7FE0B642" w14:textId="77777777" w:rsidR="00876708" w:rsidRPr="00142E5C" w:rsidRDefault="00876708" w:rsidP="00DF64C7">
            <w:pPr>
              <w:jc w:val="left"/>
              <w:rPr>
                <w:sz w:val="18"/>
              </w:rPr>
            </w:pPr>
          </w:p>
        </w:tc>
        <w:tc>
          <w:tcPr>
            <w:tcW w:w="992" w:type="dxa"/>
            <w:vAlign w:val="bottom"/>
          </w:tcPr>
          <w:p w14:paraId="6ABD05B3"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sz w:val="18"/>
                <w:szCs w:val="18"/>
              </w:rPr>
            </w:pPr>
            <w:r w:rsidRPr="00E24BD3">
              <w:rPr>
                <w:rFonts w:ascii="Calibri" w:hAnsi="Calibri" w:cs="Calibri"/>
                <w:color w:val="000000"/>
                <w:sz w:val="18"/>
                <w:szCs w:val="18"/>
              </w:rPr>
              <w:t>11.1</w:t>
            </w:r>
          </w:p>
        </w:tc>
        <w:tc>
          <w:tcPr>
            <w:tcW w:w="6804" w:type="dxa"/>
          </w:tcPr>
          <w:p w14:paraId="70908A74"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uczniów objętych wsparciem w zakresie rozwijania kompetencji kluczowych lub umiejętności uniwersalnych niezbędnych na rynku pracy w programie - mężczyźni</w:t>
            </w:r>
          </w:p>
        </w:tc>
        <w:tc>
          <w:tcPr>
            <w:tcW w:w="992" w:type="dxa"/>
          </w:tcPr>
          <w:p w14:paraId="741C6997"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22098</w:t>
            </w:r>
          </w:p>
        </w:tc>
        <w:tc>
          <w:tcPr>
            <w:tcW w:w="2268" w:type="dxa"/>
          </w:tcPr>
          <w:p w14:paraId="010BC3F7"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41481</w:t>
            </w:r>
          </w:p>
        </w:tc>
        <w:tc>
          <w:tcPr>
            <w:tcW w:w="1418" w:type="dxa"/>
          </w:tcPr>
          <w:p w14:paraId="3B6982D1"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188%</w:t>
            </w:r>
          </w:p>
        </w:tc>
        <w:tc>
          <w:tcPr>
            <w:tcW w:w="1274" w:type="dxa"/>
          </w:tcPr>
          <w:p w14:paraId="59CC6C95"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5,3</w:t>
            </w:r>
            <w:r>
              <w:rPr>
                <w:sz w:val="18"/>
                <w:szCs w:val="18"/>
              </w:rPr>
              <w:t>9</w:t>
            </w:r>
          </w:p>
        </w:tc>
      </w:tr>
      <w:tr w:rsidR="00876708" w:rsidRPr="00142E5C" w14:paraId="12589349"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346D9807" w14:textId="77777777" w:rsidR="00876708" w:rsidRPr="00142E5C" w:rsidRDefault="00876708" w:rsidP="00DF64C7">
            <w:pPr>
              <w:jc w:val="left"/>
              <w:rPr>
                <w:sz w:val="18"/>
              </w:rPr>
            </w:pPr>
          </w:p>
        </w:tc>
        <w:tc>
          <w:tcPr>
            <w:tcW w:w="992" w:type="dxa"/>
            <w:vAlign w:val="bottom"/>
          </w:tcPr>
          <w:p w14:paraId="6B6E2426"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sz w:val="18"/>
                <w:szCs w:val="18"/>
              </w:rPr>
            </w:pPr>
            <w:r w:rsidRPr="00E24BD3">
              <w:rPr>
                <w:rFonts w:ascii="Calibri" w:hAnsi="Calibri" w:cs="Calibri"/>
                <w:color w:val="000000"/>
                <w:sz w:val="18"/>
                <w:szCs w:val="18"/>
              </w:rPr>
              <w:t>11.1</w:t>
            </w:r>
          </w:p>
        </w:tc>
        <w:tc>
          <w:tcPr>
            <w:tcW w:w="6804" w:type="dxa"/>
          </w:tcPr>
          <w:p w14:paraId="7B6DBD50"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uczniów objętych wsparciem w zakresie rozwijania kompetencji kluczowych lub umiejętności uniwersalnych niezbędnych na rynku pracy w programie - kobiety</w:t>
            </w:r>
          </w:p>
        </w:tc>
        <w:tc>
          <w:tcPr>
            <w:tcW w:w="992" w:type="dxa"/>
          </w:tcPr>
          <w:p w14:paraId="3C049B7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26165</w:t>
            </w:r>
          </w:p>
        </w:tc>
        <w:tc>
          <w:tcPr>
            <w:tcW w:w="2268" w:type="dxa"/>
          </w:tcPr>
          <w:p w14:paraId="17CD6313"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43965</w:t>
            </w:r>
          </w:p>
        </w:tc>
        <w:tc>
          <w:tcPr>
            <w:tcW w:w="1418" w:type="dxa"/>
          </w:tcPr>
          <w:p w14:paraId="3D5E9BE1"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168%</w:t>
            </w:r>
          </w:p>
        </w:tc>
        <w:tc>
          <w:tcPr>
            <w:tcW w:w="1274" w:type="dxa"/>
          </w:tcPr>
          <w:p w14:paraId="718EE79E"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4,</w:t>
            </w:r>
            <w:r>
              <w:rPr>
                <w:sz w:val="18"/>
                <w:szCs w:val="18"/>
              </w:rPr>
              <w:t>83</w:t>
            </w:r>
          </w:p>
        </w:tc>
      </w:tr>
      <w:tr w:rsidR="00876708" w:rsidRPr="00142E5C" w14:paraId="45049F04"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6B1706CC" w14:textId="77777777" w:rsidR="00876708" w:rsidRPr="00142E5C" w:rsidRDefault="00876708" w:rsidP="00DF64C7">
            <w:pPr>
              <w:jc w:val="left"/>
              <w:rPr>
                <w:sz w:val="18"/>
              </w:rPr>
            </w:pPr>
          </w:p>
        </w:tc>
        <w:tc>
          <w:tcPr>
            <w:tcW w:w="992" w:type="dxa"/>
            <w:vAlign w:val="bottom"/>
          </w:tcPr>
          <w:p w14:paraId="6D6CB18C"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sz w:val="18"/>
                <w:szCs w:val="18"/>
              </w:rPr>
            </w:pPr>
            <w:r w:rsidRPr="00E24BD3">
              <w:rPr>
                <w:rFonts w:ascii="Calibri" w:hAnsi="Calibri" w:cs="Calibri"/>
                <w:color w:val="000000"/>
                <w:sz w:val="18"/>
                <w:szCs w:val="18"/>
              </w:rPr>
              <w:t>11.2</w:t>
            </w:r>
          </w:p>
        </w:tc>
        <w:tc>
          <w:tcPr>
            <w:tcW w:w="6804" w:type="dxa"/>
          </w:tcPr>
          <w:p w14:paraId="7DE4485C"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uczniów szkół i placówek kształcenia zawodowego uczestniczących w stażach i praktykach u pracodawcy</w:t>
            </w:r>
          </w:p>
        </w:tc>
        <w:tc>
          <w:tcPr>
            <w:tcW w:w="992" w:type="dxa"/>
          </w:tcPr>
          <w:p w14:paraId="39B8DF0B"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6066</w:t>
            </w:r>
          </w:p>
        </w:tc>
        <w:tc>
          <w:tcPr>
            <w:tcW w:w="2268" w:type="dxa"/>
          </w:tcPr>
          <w:p w14:paraId="045178F3"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4058</w:t>
            </w:r>
          </w:p>
        </w:tc>
        <w:tc>
          <w:tcPr>
            <w:tcW w:w="1418" w:type="dxa"/>
          </w:tcPr>
          <w:p w14:paraId="4499AE7C"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67%</w:t>
            </w:r>
          </w:p>
        </w:tc>
        <w:tc>
          <w:tcPr>
            <w:tcW w:w="1274" w:type="dxa"/>
          </w:tcPr>
          <w:p w14:paraId="56C7AB54"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1,9</w:t>
            </w:r>
            <w:r>
              <w:rPr>
                <w:sz w:val="18"/>
                <w:szCs w:val="18"/>
              </w:rPr>
              <w:t>2</w:t>
            </w:r>
          </w:p>
        </w:tc>
      </w:tr>
      <w:tr w:rsidR="00876708" w:rsidRPr="00142E5C" w14:paraId="6E585066"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5D552CB3" w14:textId="77777777" w:rsidR="00876708" w:rsidRPr="00142E5C" w:rsidRDefault="00876708" w:rsidP="00DF64C7">
            <w:pPr>
              <w:jc w:val="left"/>
              <w:rPr>
                <w:sz w:val="18"/>
              </w:rPr>
            </w:pPr>
          </w:p>
        </w:tc>
        <w:tc>
          <w:tcPr>
            <w:tcW w:w="992" w:type="dxa"/>
            <w:vAlign w:val="bottom"/>
          </w:tcPr>
          <w:p w14:paraId="27A0BD79"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sz w:val="18"/>
                <w:szCs w:val="18"/>
              </w:rPr>
            </w:pPr>
            <w:r w:rsidRPr="00E24BD3">
              <w:rPr>
                <w:rFonts w:ascii="Calibri" w:hAnsi="Calibri" w:cs="Calibri"/>
                <w:color w:val="000000"/>
                <w:sz w:val="18"/>
                <w:szCs w:val="18"/>
              </w:rPr>
              <w:t>11.2</w:t>
            </w:r>
          </w:p>
        </w:tc>
        <w:tc>
          <w:tcPr>
            <w:tcW w:w="6804" w:type="dxa"/>
          </w:tcPr>
          <w:p w14:paraId="5C919AC1"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uczniów szkół i placówek kształcenia zawodowego uczestniczących w stażach i praktykach u pracodawcy - mężczyźni</w:t>
            </w:r>
          </w:p>
        </w:tc>
        <w:tc>
          <w:tcPr>
            <w:tcW w:w="992" w:type="dxa"/>
          </w:tcPr>
          <w:p w14:paraId="58EAC91C"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3943</w:t>
            </w:r>
          </w:p>
        </w:tc>
        <w:tc>
          <w:tcPr>
            <w:tcW w:w="2268" w:type="dxa"/>
          </w:tcPr>
          <w:p w14:paraId="42321FB2"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2527</w:t>
            </w:r>
          </w:p>
        </w:tc>
        <w:tc>
          <w:tcPr>
            <w:tcW w:w="1418" w:type="dxa"/>
          </w:tcPr>
          <w:p w14:paraId="17F6D86B"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64%</w:t>
            </w:r>
          </w:p>
        </w:tc>
        <w:tc>
          <w:tcPr>
            <w:tcW w:w="1274" w:type="dxa"/>
          </w:tcPr>
          <w:p w14:paraId="73D931CC"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1,8</w:t>
            </w:r>
            <w:r>
              <w:rPr>
                <w:sz w:val="18"/>
                <w:szCs w:val="18"/>
              </w:rPr>
              <w:t>4</w:t>
            </w:r>
          </w:p>
        </w:tc>
      </w:tr>
      <w:tr w:rsidR="00876708" w:rsidRPr="00142E5C" w14:paraId="41B85420"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4D114B78" w14:textId="77777777" w:rsidR="00876708" w:rsidRPr="00142E5C" w:rsidRDefault="00876708" w:rsidP="00DF64C7">
            <w:pPr>
              <w:jc w:val="left"/>
              <w:rPr>
                <w:sz w:val="18"/>
              </w:rPr>
            </w:pPr>
          </w:p>
        </w:tc>
        <w:tc>
          <w:tcPr>
            <w:tcW w:w="992" w:type="dxa"/>
            <w:vAlign w:val="bottom"/>
          </w:tcPr>
          <w:p w14:paraId="2B892285"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sz w:val="18"/>
                <w:szCs w:val="18"/>
              </w:rPr>
            </w:pPr>
            <w:r w:rsidRPr="00E24BD3">
              <w:rPr>
                <w:rFonts w:ascii="Calibri" w:hAnsi="Calibri" w:cs="Calibri"/>
                <w:color w:val="000000"/>
                <w:sz w:val="18"/>
                <w:szCs w:val="18"/>
              </w:rPr>
              <w:t>11.2</w:t>
            </w:r>
          </w:p>
        </w:tc>
        <w:tc>
          <w:tcPr>
            <w:tcW w:w="6804" w:type="dxa"/>
          </w:tcPr>
          <w:p w14:paraId="46FE1FAF"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uczniów szkół i placówek kształcenia zawodowego uczestniczących w stażach i praktykach u pracodawcy - kobiety</w:t>
            </w:r>
          </w:p>
        </w:tc>
        <w:tc>
          <w:tcPr>
            <w:tcW w:w="992" w:type="dxa"/>
          </w:tcPr>
          <w:p w14:paraId="1E124E79"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2123</w:t>
            </w:r>
          </w:p>
        </w:tc>
        <w:tc>
          <w:tcPr>
            <w:tcW w:w="2268" w:type="dxa"/>
          </w:tcPr>
          <w:p w14:paraId="3F593FE3"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1531</w:t>
            </w:r>
          </w:p>
        </w:tc>
        <w:tc>
          <w:tcPr>
            <w:tcW w:w="1418" w:type="dxa"/>
          </w:tcPr>
          <w:p w14:paraId="5DF4CFB0"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72%</w:t>
            </w:r>
          </w:p>
        </w:tc>
        <w:tc>
          <w:tcPr>
            <w:tcW w:w="1274" w:type="dxa"/>
          </w:tcPr>
          <w:p w14:paraId="13D0862E"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2,0</w:t>
            </w:r>
            <w:r>
              <w:rPr>
                <w:sz w:val="18"/>
                <w:szCs w:val="18"/>
              </w:rPr>
              <w:t>7</w:t>
            </w:r>
          </w:p>
        </w:tc>
      </w:tr>
      <w:tr w:rsidR="00876708" w:rsidRPr="00142E5C" w14:paraId="28565F29"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val="restart"/>
          </w:tcPr>
          <w:p w14:paraId="5780190E" w14:textId="77777777" w:rsidR="00876708" w:rsidRPr="00142E5C" w:rsidRDefault="00876708" w:rsidP="00DF64C7">
            <w:pPr>
              <w:jc w:val="left"/>
              <w:rPr>
                <w:sz w:val="18"/>
              </w:rPr>
            </w:pPr>
            <w:r>
              <w:rPr>
                <w:sz w:val="18"/>
              </w:rPr>
              <w:t>XII</w:t>
            </w:r>
          </w:p>
        </w:tc>
        <w:tc>
          <w:tcPr>
            <w:tcW w:w="992" w:type="dxa"/>
            <w:vAlign w:val="bottom"/>
          </w:tcPr>
          <w:p w14:paraId="684E0839"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sz w:val="18"/>
                <w:szCs w:val="18"/>
              </w:rPr>
            </w:pPr>
            <w:r w:rsidRPr="00E24BD3">
              <w:rPr>
                <w:rFonts w:ascii="Calibri" w:hAnsi="Calibri" w:cs="Calibri"/>
                <w:color w:val="000000"/>
                <w:sz w:val="18"/>
                <w:szCs w:val="18"/>
              </w:rPr>
              <w:t>12.1, 12.2</w:t>
            </w:r>
          </w:p>
        </w:tc>
        <w:tc>
          <w:tcPr>
            <w:tcW w:w="6804" w:type="dxa"/>
          </w:tcPr>
          <w:p w14:paraId="149E6041"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Potencjał objętej wsparciem infrastruktury w zakresie opieki nad dziećmi lub infrastruktury edukacyjnej</w:t>
            </w:r>
          </w:p>
        </w:tc>
        <w:tc>
          <w:tcPr>
            <w:tcW w:w="992" w:type="dxa"/>
          </w:tcPr>
          <w:p w14:paraId="1ADF6685"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32329</w:t>
            </w:r>
          </w:p>
        </w:tc>
        <w:tc>
          <w:tcPr>
            <w:tcW w:w="2268" w:type="dxa"/>
          </w:tcPr>
          <w:p w14:paraId="076CCC0B"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12883</w:t>
            </w:r>
          </w:p>
        </w:tc>
        <w:tc>
          <w:tcPr>
            <w:tcW w:w="1418" w:type="dxa"/>
          </w:tcPr>
          <w:p w14:paraId="73DC7FA9"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40%</w:t>
            </w:r>
          </w:p>
        </w:tc>
        <w:tc>
          <w:tcPr>
            <w:tcW w:w="1274" w:type="dxa"/>
          </w:tcPr>
          <w:p w14:paraId="6D1A630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0,</w:t>
            </w:r>
            <w:r>
              <w:rPr>
                <w:sz w:val="18"/>
                <w:szCs w:val="18"/>
              </w:rPr>
              <w:t>8</w:t>
            </w:r>
            <w:r w:rsidRPr="00E24BD3">
              <w:rPr>
                <w:sz w:val="18"/>
                <w:szCs w:val="18"/>
              </w:rPr>
              <w:t>5</w:t>
            </w:r>
          </w:p>
        </w:tc>
      </w:tr>
      <w:tr w:rsidR="00876708" w:rsidRPr="00142E5C" w14:paraId="6B09019A"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148D6A5C" w14:textId="77777777" w:rsidR="00876708" w:rsidRPr="00142E5C" w:rsidRDefault="00876708" w:rsidP="00DF64C7">
            <w:pPr>
              <w:jc w:val="left"/>
              <w:rPr>
                <w:sz w:val="18"/>
              </w:rPr>
            </w:pPr>
          </w:p>
        </w:tc>
        <w:tc>
          <w:tcPr>
            <w:tcW w:w="992" w:type="dxa"/>
            <w:vAlign w:val="bottom"/>
          </w:tcPr>
          <w:p w14:paraId="10360352"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sz w:val="18"/>
                <w:szCs w:val="18"/>
              </w:rPr>
            </w:pPr>
            <w:r w:rsidRPr="00E24BD3">
              <w:rPr>
                <w:rFonts w:ascii="Calibri" w:hAnsi="Calibri" w:cs="Calibri"/>
                <w:color w:val="000000"/>
                <w:sz w:val="18"/>
                <w:szCs w:val="18"/>
              </w:rPr>
              <w:t>12.2</w:t>
            </w:r>
          </w:p>
        </w:tc>
        <w:tc>
          <w:tcPr>
            <w:tcW w:w="6804" w:type="dxa"/>
          </w:tcPr>
          <w:p w14:paraId="032A279A"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wspartych obiektów infrastruktury kształcenia zawodowego</w:t>
            </w:r>
          </w:p>
        </w:tc>
        <w:tc>
          <w:tcPr>
            <w:tcW w:w="992" w:type="dxa"/>
          </w:tcPr>
          <w:p w14:paraId="033DE503"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52</w:t>
            </w:r>
          </w:p>
        </w:tc>
        <w:tc>
          <w:tcPr>
            <w:tcW w:w="2268" w:type="dxa"/>
          </w:tcPr>
          <w:p w14:paraId="7887620E"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42</w:t>
            </w:r>
          </w:p>
        </w:tc>
        <w:tc>
          <w:tcPr>
            <w:tcW w:w="1418" w:type="dxa"/>
          </w:tcPr>
          <w:p w14:paraId="7CC9AC3D"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81%</w:t>
            </w:r>
          </w:p>
        </w:tc>
        <w:tc>
          <w:tcPr>
            <w:tcW w:w="1274" w:type="dxa"/>
          </w:tcPr>
          <w:p w14:paraId="5FE18DC7"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w:t>
            </w:r>
            <w:r>
              <w:rPr>
                <w:sz w:val="18"/>
                <w:szCs w:val="18"/>
              </w:rPr>
              <w:t>7</w:t>
            </w:r>
            <w:r w:rsidRPr="00E24BD3">
              <w:rPr>
                <w:sz w:val="18"/>
                <w:szCs w:val="18"/>
              </w:rPr>
              <w:t>2</w:t>
            </w:r>
          </w:p>
        </w:tc>
      </w:tr>
      <w:tr w:rsidR="00876708" w:rsidRPr="00142E5C" w14:paraId="3FDDBD2C"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14282" w:type="dxa"/>
            <w:gridSpan w:val="7"/>
          </w:tcPr>
          <w:p w14:paraId="538F69E1" w14:textId="77777777" w:rsidR="00876708" w:rsidRPr="00142E5C" w:rsidRDefault="00876708" w:rsidP="003E5E36">
            <w:pPr>
              <w:jc w:val="right"/>
              <w:rPr>
                <w:sz w:val="18"/>
              </w:rPr>
            </w:pPr>
            <w:r>
              <w:rPr>
                <w:sz w:val="18"/>
              </w:rPr>
              <w:t>EFS</w:t>
            </w:r>
          </w:p>
        </w:tc>
      </w:tr>
      <w:tr w:rsidR="00876708" w:rsidRPr="00142E5C" w14:paraId="6FEA75B5"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val="restart"/>
          </w:tcPr>
          <w:p w14:paraId="38AF120F" w14:textId="77777777" w:rsidR="00876708" w:rsidRPr="00142E5C" w:rsidRDefault="00876708" w:rsidP="00DF64C7">
            <w:pPr>
              <w:jc w:val="left"/>
              <w:rPr>
                <w:sz w:val="18"/>
              </w:rPr>
            </w:pPr>
            <w:r>
              <w:rPr>
                <w:sz w:val="18"/>
              </w:rPr>
              <w:t>XI</w:t>
            </w:r>
          </w:p>
        </w:tc>
        <w:tc>
          <w:tcPr>
            <w:tcW w:w="992" w:type="dxa"/>
          </w:tcPr>
          <w:p w14:paraId="2F549175"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11.1</w:t>
            </w:r>
          </w:p>
        </w:tc>
        <w:tc>
          <w:tcPr>
            <w:tcW w:w="6804" w:type="dxa"/>
          </w:tcPr>
          <w:p w14:paraId="5A5CFE55"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miejsc wychowania przedszkolnego dofinansowanych w programie</w:t>
            </w:r>
          </w:p>
        </w:tc>
        <w:tc>
          <w:tcPr>
            <w:tcW w:w="992" w:type="dxa"/>
          </w:tcPr>
          <w:p w14:paraId="3C95F200"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3081</w:t>
            </w:r>
          </w:p>
        </w:tc>
        <w:tc>
          <w:tcPr>
            <w:tcW w:w="2268" w:type="dxa"/>
          </w:tcPr>
          <w:p w14:paraId="5F71ABC9"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4309</w:t>
            </w:r>
          </w:p>
        </w:tc>
        <w:tc>
          <w:tcPr>
            <w:tcW w:w="1418" w:type="dxa"/>
          </w:tcPr>
          <w:p w14:paraId="26D82A4B"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140%</w:t>
            </w:r>
          </w:p>
        </w:tc>
        <w:tc>
          <w:tcPr>
            <w:tcW w:w="1274" w:type="dxa"/>
          </w:tcPr>
          <w:p w14:paraId="4DDB44C7"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sz w:val="18"/>
                <w:szCs w:val="18"/>
              </w:rPr>
              <w:t>4,02</w:t>
            </w:r>
          </w:p>
        </w:tc>
      </w:tr>
      <w:tr w:rsidR="00876708" w:rsidRPr="00142E5C" w14:paraId="7A0BEFE3"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10B2A4C8" w14:textId="77777777" w:rsidR="00876708" w:rsidRPr="00142E5C" w:rsidRDefault="00876708" w:rsidP="00DF64C7">
            <w:pPr>
              <w:jc w:val="left"/>
              <w:rPr>
                <w:sz w:val="18"/>
              </w:rPr>
            </w:pPr>
          </w:p>
        </w:tc>
        <w:tc>
          <w:tcPr>
            <w:tcW w:w="992" w:type="dxa"/>
          </w:tcPr>
          <w:p w14:paraId="3068423B"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11.1</w:t>
            </w:r>
          </w:p>
        </w:tc>
        <w:tc>
          <w:tcPr>
            <w:tcW w:w="6804" w:type="dxa"/>
          </w:tcPr>
          <w:p w14:paraId="2AC1A667"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dzieci objętych w ramach programu dodatkowymi zajęciami zwiększającymi ich szanse edukacyjne w edukacji przedszkolnej</w:t>
            </w:r>
          </w:p>
        </w:tc>
        <w:tc>
          <w:tcPr>
            <w:tcW w:w="992" w:type="dxa"/>
          </w:tcPr>
          <w:p w14:paraId="62199682"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13984</w:t>
            </w:r>
          </w:p>
        </w:tc>
        <w:tc>
          <w:tcPr>
            <w:tcW w:w="2268" w:type="dxa"/>
          </w:tcPr>
          <w:p w14:paraId="0AAFD1F2"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11181</w:t>
            </w:r>
          </w:p>
        </w:tc>
        <w:tc>
          <w:tcPr>
            <w:tcW w:w="1418" w:type="dxa"/>
          </w:tcPr>
          <w:p w14:paraId="1615E6C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80%</w:t>
            </w:r>
          </w:p>
        </w:tc>
        <w:tc>
          <w:tcPr>
            <w:tcW w:w="1274" w:type="dxa"/>
          </w:tcPr>
          <w:p w14:paraId="61439DDC"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2,</w:t>
            </w:r>
            <w:r>
              <w:rPr>
                <w:sz w:val="18"/>
                <w:szCs w:val="18"/>
              </w:rPr>
              <w:t>30</w:t>
            </w:r>
          </w:p>
        </w:tc>
      </w:tr>
      <w:tr w:rsidR="00876708" w:rsidRPr="00142E5C" w14:paraId="31341B0E"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36FED80B" w14:textId="77777777" w:rsidR="00876708" w:rsidRPr="00142E5C" w:rsidRDefault="00876708" w:rsidP="00DF64C7">
            <w:pPr>
              <w:jc w:val="left"/>
              <w:rPr>
                <w:sz w:val="18"/>
              </w:rPr>
            </w:pPr>
          </w:p>
        </w:tc>
        <w:tc>
          <w:tcPr>
            <w:tcW w:w="992" w:type="dxa"/>
          </w:tcPr>
          <w:p w14:paraId="69B2EC25"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11.1</w:t>
            </w:r>
          </w:p>
        </w:tc>
        <w:tc>
          <w:tcPr>
            <w:tcW w:w="6804" w:type="dxa"/>
          </w:tcPr>
          <w:p w14:paraId="101A3298"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uczniów objętych wsparciem w zakresie rozwijania kompetencji kluczowych lub umiejętności uniwersalnych niezbędnych na rynku pracy w programie</w:t>
            </w:r>
          </w:p>
        </w:tc>
        <w:tc>
          <w:tcPr>
            <w:tcW w:w="992" w:type="dxa"/>
          </w:tcPr>
          <w:p w14:paraId="58139AF4"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46366</w:t>
            </w:r>
          </w:p>
        </w:tc>
        <w:tc>
          <w:tcPr>
            <w:tcW w:w="2268" w:type="dxa"/>
          </w:tcPr>
          <w:p w14:paraId="032C6327"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85446</w:t>
            </w:r>
          </w:p>
        </w:tc>
        <w:tc>
          <w:tcPr>
            <w:tcW w:w="1418" w:type="dxa"/>
          </w:tcPr>
          <w:p w14:paraId="58E480D8"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184%</w:t>
            </w:r>
          </w:p>
        </w:tc>
        <w:tc>
          <w:tcPr>
            <w:tcW w:w="1274" w:type="dxa"/>
          </w:tcPr>
          <w:p w14:paraId="512FC8B8"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5,</w:t>
            </w:r>
            <w:r>
              <w:rPr>
                <w:sz w:val="18"/>
                <w:szCs w:val="18"/>
              </w:rPr>
              <w:t>30</w:t>
            </w:r>
          </w:p>
        </w:tc>
      </w:tr>
      <w:tr w:rsidR="00876708" w:rsidRPr="00142E5C" w14:paraId="49EEBB4C"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36FEA441" w14:textId="77777777" w:rsidR="00876708" w:rsidRPr="00142E5C" w:rsidRDefault="00876708" w:rsidP="00DF64C7">
            <w:pPr>
              <w:jc w:val="left"/>
              <w:rPr>
                <w:sz w:val="18"/>
              </w:rPr>
            </w:pPr>
          </w:p>
        </w:tc>
        <w:tc>
          <w:tcPr>
            <w:tcW w:w="992" w:type="dxa"/>
          </w:tcPr>
          <w:p w14:paraId="61F025FB"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11.1</w:t>
            </w:r>
          </w:p>
        </w:tc>
        <w:tc>
          <w:tcPr>
            <w:tcW w:w="6804" w:type="dxa"/>
          </w:tcPr>
          <w:p w14:paraId="54EDFC41"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szkół, których pracownie przedmiotowe zostały doposażone w programie</w:t>
            </w:r>
          </w:p>
        </w:tc>
        <w:tc>
          <w:tcPr>
            <w:tcW w:w="992" w:type="dxa"/>
          </w:tcPr>
          <w:p w14:paraId="48F31CEF"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148</w:t>
            </w:r>
          </w:p>
        </w:tc>
        <w:tc>
          <w:tcPr>
            <w:tcW w:w="2268" w:type="dxa"/>
          </w:tcPr>
          <w:p w14:paraId="31A9D611"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465</w:t>
            </w:r>
          </w:p>
        </w:tc>
        <w:tc>
          <w:tcPr>
            <w:tcW w:w="1418" w:type="dxa"/>
          </w:tcPr>
          <w:p w14:paraId="5B860A77"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314%</w:t>
            </w:r>
          </w:p>
        </w:tc>
        <w:tc>
          <w:tcPr>
            <w:tcW w:w="1274" w:type="dxa"/>
          </w:tcPr>
          <w:p w14:paraId="404C4B3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sz w:val="18"/>
                <w:szCs w:val="18"/>
              </w:rPr>
              <w:t>9,03</w:t>
            </w:r>
          </w:p>
        </w:tc>
      </w:tr>
      <w:tr w:rsidR="00876708" w:rsidRPr="00142E5C" w14:paraId="41D80D20"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66943A88" w14:textId="77777777" w:rsidR="00876708" w:rsidRPr="00142E5C" w:rsidRDefault="00876708" w:rsidP="00DF64C7">
            <w:pPr>
              <w:jc w:val="left"/>
              <w:rPr>
                <w:sz w:val="18"/>
              </w:rPr>
            </w:pPr>
          </w:p>
        </w:tc>
        <w:tc>
          <w:tcPr>
            <w:tcW w:w="992" w:type="dxa"/>
          </w:tcPr>
          <w:p w14:paraId="5F967122"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11.1</w:t>
            </w:r>
          </w:p>
        </w:tc>
        <w:tc>
          <w:tcPr>
            <w:tcW w:w="6804" w:type="dxa"/>
          </w:tcPr>
          <w:p w14:paraId="297F1D9D"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szkół i placówek systemu oświaty wyposażonych w ramach programu w sprzęt TIK do prowadzenia zajęć edukacyjnych</w:t>
            </w:r>
          </w:p>
        </w:tc>
        <w:tc>
          <w:tcPr>
            <w:tcW w:w="992" w:type="dxa"/>
          </w:tcPr>
          <w:p w14:paraId="0C9FD7F8"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155</w:t>
            </w:r>
          </w:p>
        </w:tc>
        <w:tc>
          <w:tcPr>
            <w:tcW w:w="2268" w:type="dxa"/>
          </w:tcPr>
          <w:p w14:paraId="6B2D06F4"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537</w:t>
            </w:r>
          </w:p>
        </w:tc>
        <w:tc>
          <w:tcPr>
            <w:tcW w:w="1418" w:type="dxa"/>
          </w:tcPr>
          <w:p w14:paraId="3970B1E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346%</w:t>
            </w:r>
          </w:p>
        </w:tc>
        <w:tc>
          <w:tcPr>
            <w:tcW w:w="1274" w:type="dxa"/>
          </w:tcPr>
          <w:p w14:paraId="3364ECAA"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9,</w:t>
            </w:r>
            <w:r>
              <w:rPr>
                <w:sz w:val="18"/>
                <w:szCs w:val="18"/>
              </w:rPr>
              <w:t>96</w:t>
            </w:r>
          </w:p>
        </w:tc>
      </w:tr>
      <w:tr w:rsidR="00876708" w:rsidRPr="00142E5C" w14:paraId="79EDE3AF"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187C5686" w14:textId="77777777" w:rsidR="00876708" w:rsidRPr="00142E5C" w:rsidRDefault="00876708" w:rsidP="00DF64C7">
            <w:pPr>
              <w:jc w:val="left"/>
              <w:rPr>
                <w:sz w:val="18"/>
              </w:rPr>
            </w:pPr>
          </w:p>
        </w:tc>
        <w:tc>
          <w:tcPr>
            <w:tcW w:w="992" w:type="dxa"/>
          </w:tcPr>
          <w:p w14:paraId="75101A9C"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11.1</w:t>
            </w:r>
          </w:p>
        </w:tc>
        <w:tc>
          <w:tcPr>
            <w:tcW w:w="6804" w:type="dxa"/>
          </w:tcPr>
          <w:p w14:paraId="05D9BAE7"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uczniów, którzy nabyli kompetencje kluczowe lub umiejętności uniwersalne niezbędne na rynku pracy po opuszczeniu programu</w:t>
            </w:r>
          </w:p>
        </w:tc>
        <w:tc>
          <w:tcPr>
            <w:tcW w:w="992" w:type="dxa"/>
          </w:tcPr>
          <w:p w14:paraId="0CE3D682"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27819</w:t>
            </w:r>
          </w:p>
        </w:tc>
        <w:tc>
          <w:tcPr>
            <w:tcW w:w="2268" w:type="dxa"/>
          </w:tcPr>
          <w:p w14:paraId="1BA9019C"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36639</w:t>
            </w:r>
          </w:p>
        </w:tc>
        <w:tc>
          <w:tcPr>
            <w:tcW w:w="1418" w:type="dxa"/>
          </w:tcPr>
          <w:p w14:paraId="3DAF82FB"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132%</w:t>
            </w:r>
          </w:p>
        </w:tc>
        <w:tc>
          <w:tcPr>
            <w:tcW w:w="1274" w:type="dxa"/>
          </w:tcPr>
          <w:p w14:paraId="1140B1B3"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3,7</w:t>
            </w:r>
            <w:r>
              <w:rPr>
                <w:sz w:val="18"/>
                <w:szCs w:val="18"/>
              </w:rPr>
              <w:t>8</w:t>
            </w:r>
          </w:p>
        </w:tc>
      </w:tr>
      <w:tr w:rsidR="00876708" w:rsidRPr="00142E5C" w14:paraId="72760531"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3644B19A" w14:textId="77777777" w:rsidR="00876708" w:rsidRPr="00142E5C" w:rsidRDefault="00876708" w:rsidP="00DF64C7">
            <w:pPr>
              <w:jc w:val="left"/>
              <w:rPr>
                <w:sz w:val="18"/>
              </w:rPr>
            </w:pPr>
          </w:p>
        </w:tc>
        <w:tc>
          <w:tcPr>
            <w:tcW w:w="992" w:type="dxa"/>
          </w:tcPr>
          <w:p w14:paraId="045E32B2"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11.1</w:t>
            </w:r>
          </w:p>
        </w:tc>
        <w:tc>
          <w:tcPr>
            <w:tcW w:w="6804" w:type="dxa"/>
          </w:tcPr>
          <w:p w14:paraId="2CCB90A9"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szkół, w których pracowanie przedmiotowe wykorzystują doposażenie do prowadzenia zajęć edukacyjnych</w:t>
            </w:r>
          </w:p>
        </w:tc>
        <w:tc>
          <w:tcPr>
            <w:tcW w:w="992" w:type="dxa"/>
          </w:tcPr>
          <w:p w14:paraId="18796D80"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148</w:t>
            </w:r>
          </w:p>
        </w:tc>
        <w:tc>
          <w:tcPr>
            <w:tcW w:w="2268" w:type="dxa"/>
          </w:tcPr>
          <w:p w14:paraId="056A93A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314</w:t>
            </w:r>
          </w:p>
        </w:tc>
        <w:tc>
          <w:tcPr>
            <w:tcW w:w="1418" w:type="dxa"/>
          </w:tcPr>
          <w:p w14:paraId="64AE4FF1"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212%</w:t>
            </w:r>
          </w:p>
        </w:tc>
        <w:tc>
          <w:tcPr>
            <w:tcW w:w="1274" w:type="dxa"/>
          </w:tcPr>
          <w:p w14:paraId="0E3DC33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6,</w:t>
            </w:r>
            <w:r>
              <w:rPr>
                <w:sz w:val="18"/>
                <w:szCs w:val="18"/>
              </w:rPr>
              <w:t>10</w:t>
            </w:r>
          </w:p>
        </w:tc>
      </w:tr>
      <w:tr w:rsidR="00876708" w:rsidRPr="00142E5C" w14:paraId="1D1BC70C"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34B21333" w14:textId="77777777" w:rsidR="00876708" w:rsidRPr="00142E5C" w:rsidRDefault="00876708" w:rsidP="00DF64C7">
            <w:pPr>
              <w:jc w:val="left"/>
              <w:rPr>
                <w:sz w:val="18"/>
              </w:rPr>
            </w:pPr>
          </w:p>
        </w:tc>
        <w:tc>
          <w:tcPr>
            <w:tcW w:w="992" w:type="dxa"/>
          </w:tcPr>
          <w:p w14:paraId="2E9762AC"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11.1</w:t>
            </w:r>
          </w:p>
        </w:tc>
        <w:tc>
          <w:tcPr>
            <w:tcW w:w="6804" w:type="dxa"/>
          </w:tcPr>
          <w:p w14:paraId="00B11D7B"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szkół i placówek systemu oświaty wykorzystujących sprzęt TIK do prowadzenia zajęć edukacyjnych</w:t>
            </w:r>
          </w:p>
        </w:tc>
        <w:tc>
          <w:tcPr>
            <w:tcW w:w="992" w:type="dxa"/>
          </w:tcPr>
          <w:p w14:paraId="25C4A59E"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155</w:t>
            </w:r>
          </w:p>
        </w:tc>
        <w:tc>
          <w:tcPr>
            <w:tcW w:w="2268" w:type="dxa"/>
          </w:tcPr>
          <w:p w14:paraId="04125F24"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339</w:t>
            </w:r>
          </w:p>
        </w:tc>
        <w:tc>
          <w:tcPr>
            <w:tcW w:w="1418" w:type="dxa"/>
          </w:tcPr>
          <w:p w14:paraId="4FD8A4A8"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219%</w:t>
            </w:r>
          </w:p>
        </w:tc>
        <w:tc>
          <w:tcPr>
            <w:tcW w:w="1274" w:type="dxa"/>
          </w:tcPr>
          <w:p w14:paraId="4531A88B"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6,2</w:t>
            </w:r>
            <w:r>
              <w:rPr>
                <w:sz w:val="18"/>
                <w:szCs w:val="18"/>
              </w:rPr>
              <w:t>8</w:t>
            </w:r>
          </w:p>
        </w:tc>
      </w:tr>
      <w:tr w:rsidR="00876708" w:rsidRPr="00142E5C" w14:paraId="2BC6E4BE"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4DAFD613" w14:textId="77777777" w:rsidR="00876708" w:rsidRPr="00142E5C" w:rsidRDefault="00876708" w:rsidP="00DF64C7">
            <w:pPr>
              <w:jc w:val="left"/>
              <w:rPr>
                <w:sz w:val="18"/>
              </w:rPr>
            </w:pPr>
          </w:p>
        </w:tc>
        <w:tc>
          <w:tcPr>
            <w:tcW w:w="992" w:type="dxa"/>
          </w:tcPr>
          <w:p w14:paraId="6DB47203"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11.4</w:t>
            </w:r>
          </w:p>
        </w:tc>
        <w:tc>
          <w:tcPr>
            <w:tcW w:w="6804" w:type="dxa"/>
          </w:tcPr>
          <w:p w14:paraId="3E86D87F"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osób o niskich kwalifikacjach objętych wsparciem w programie</w:t>
            </w:r>
          </w:p>
        </w:tc>
        <w:tc>
          <w:tcPr>
            <w:tcW w:w="992" w:type="dxa"/>
          </w:tcPr>
          <w:p w14:paraId="562C6045"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15412</w:t>
            </w:r>
          </w:p>
        </w:tc>
        <w:tc>
          <w:tcPr>
            <w:tcW w:w="2268" w:type="dxa"/>
          </w:tcPr>
          <w:p w14:paraId="7F7612A0"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4571</w:t>
            </w:r>
          </w:p>
        </w:tc>
        <w:tc>
          <w:tcPr>
            <w:tcW w:w="1418" w:type="dxa"/>
          </w:tcPr>
          <w:p w14:paraId="6FB582FA"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30%</w:t>
            </w:r>
          </w:p>
        </w:tc>
        <w:tc>
          <w:tcPr>
            <w:tcW w:w="1274" w:type="dxa"/>
          </w:tcPr>
          <w:p w14:paraId="216E9E98"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0,8</w:t>
            </w:r>
            <w:r>
              <w:rPr>
                <w:sz w:val="18"/>
                <w:szCs w:val="18"/>
              </w:rPr>
              <w:t>5</w:t>
            </w:r>
          </w:p>
        </w:tc>
      </w:tr>
      <w:tr w:rsidR="00876708" w:rsidRPr="00142E5C" w14:paraId="132EBD75"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0842175B" w14:textId="77777777" w:rsidR="00876708" w:rsidRPr="00142E5C" w:rsidRDefault="00876708" w:rsidP="00DF64C7">
            <w:pPr>
              <w:jc w:val="left"/>
              <w:rPr>
                <w:sz w:val="18"/>
              </w:rPr>
            </w:pPr>
          </w:p>
        </w:tc>
        <w:tc>
          <w:tcPr>
            <w:tcW w:w="992" w:type="dxa"/>
          </w:tcPr>
          <w:p w14:paraId="6A86B8BA"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11.4</w:t>
            </w:r>
          </w:p>
        </w:tc>
        <w:tc>
          <w:tcPr>
            <w:tcW w:w="6804" w:type="dxa"/>
          </w:tcPr>
          <w:p w14:paraId="4D699A07"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osób w wieku 50 lat i więcej objętych wsparciem w programie</w:t>
            </w:r>
          </w:p>
        </w:tc>
        <w:tc>
          <w:tcPr>
            <w:tcW w:w="992" w:type="dxa"/>
          </w:tcPr>
          <w:p w14:paraId="6746CBF1"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3626</w:t>
            </w:r>
          </w:p>
        </w:tc>
        <w:tc>
          <w:tcPr>
            <w:tcW w:w="2268" w:type="dxa"/>
          </w:tcPr>
          <w:p w14:paraId="220ACEBE"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1774</w:t>
            </w:r>
          </w:p>
        </w:tc>
        <w:tc>
          <w:tcPr>
            <w:tcW w:w="1418" w:type="dxa"/>
          </w:tcPr>
          <w:p w14:paraId="13AA21F9"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49%</w:t>
            </w:r>
          </w:p>
        </w:tc>
        <w:tc>
          <w:tcPr>
            <w:tcW w:w="1274" w:type="dxa"/>
          </w:tcPr>
          <w:p w14:paraId="00E603DC"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w:t>
            </w:r>
            <w:r>
              <w:rPr>
                <w:sz w:val="18"/>
                <w:szCs w:val="18"/>
              </w:rPr>
              <w:t>41</w:t>
            </w:r>
          </w:p>
        </w:tc>
      </w:tr>
      <w:tr w:rsidR="00876708" w:rsidRPr="00142E5C" w14:paraId="4964C503"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0326DD44" w14:textId="77777777" w:rsidR="00876708" w:rsidRPr="00142E5C" w:rsidRDefault="00876708" w:rsidP="00DF64C7">
            <w:pPr>
              <w:jc w:val="left"/>
              <w:rPr>
                <w:sz w:val="18"/>
              </w:rPr>
            </w:pPr>
          </w:p>
        </w:tc>
        <w:tc>
          <w:tcPr>
            <w:tcW w:w="992" w:type="dxa"/>
          </w:tcPr>
          <w:p w14:paraId="05033BAE"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11.4</w:t>
            </w:r>
          </w:p>
        </w:tc>
        <w:tc>
          <w:tcPr>
            <w:tcW w:w="6804" w:type="dxa"/>
          </w:tcPr>
          <w:p w14:paraId="6815465C"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osób w wieku 25 lat i więcej objętych wsparciem w programie</w:t>
            </w:r>
          </w:p>
        </w:tc>
        <w:tc>
          <w:tcPr>
            <w:tcW w:w="992" w:type="dxa"/>
          </w:tcPr>
          <w:p w14:paraId="13391CD5"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14506</w:t>
            </w:r>
          </w:p>
        </w:tc>
        <w:tc>
          <w:tcPr>
            <w:tcW w:w="2268" w:type="dxa"/>
          </w:tcPr>
          <w:p w14:paraId="1113C90F"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8599</w:t>
            </w:r>
          </w:p>
        </w:tc>
        <w:tc>
          <w:tcPr>
            <w:tcW w:w="1418" w:type="dxa"/>
          </w:tcPr>
          <w:p w14:paraId="3F150856"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59%</w:t>
            </w:r>
          </w:p>
        </w:tc>
        <w:tc>
          <w:tcPr>
            <w:tcW w:w="1274" w:type="dxa"/>
          </w:tcPr>
          <w:p w14:paraId="24ED9473"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w:t>
            </w:r>
            <w:r>
              <w:rPr>
                <w:sz w:val="18"/>
                <w:szCs w:val="18"/>
              </w:rPr>
              <w:t>70</w:t>
            </w:r>
          </w:p>
        </w:tc>
      </w:tr>
      <w:tr w:rsidR="00876708" w:rsidRPr="00142E5C" w14:paraId="4C381663"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39E6D7A3" w14:textId="77777777" w:rsidR="00876708" w:rsidRPr="00142E5C" w:rsidRDefault="00876708" w:rsidP="00DF64C7">
            <w:pPr>
              <w:jc w:val="left"/>
              <w:rPr>
                <w:sz w:val="18"/>
              </w:rPr>
            </w:pPr>
          </w:p>
        </w:tc>
        <w:tc>
          <w:tcPr>
            <w:tcW w:w="992" w:type="dxa"/>
          </w:tcPr>
          <w:p w14:paraId="67EB4FFE"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11.4</w:t>
            </w:r>
          </w:p>
        </w:tc>
        <w:tc>
          <w:tcPr>
            <w:tcW w:w="6804" w:type="dxa"/>
          </w:tcPr>
          <w:p w14:paraId="4968C3ED"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osób o niskich kwalifikacjach, które uzyskały lub nabyły kompetencje po opuszczeniu programu</w:t>
            </w:r>
          </w:p>
        </w:tc>
        <w:tc>
          <w:tcPr>
            <w:tcW w:w="992" w:type="dxa"/>
          </w:tcPr>
          <w:p w14:paraId="53313037"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9247</w:t>
            </w:r>
          </w:p>
        </w:tc>
        <w:tc>
          <w:tcPr>
            <w:tcW w:w="2268" w:type="dxa"/>
          </w:tcPr>
          <w:p w14:paraId="21139502"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2283</w:t>
            </w:r>
          </w:p>
        </w:tc>
        <w:tc>
          <w:tcPr>
            <w:tcW w:w="1418" w:type="dxa"/>
          </w:tcPr>
          <w:p w14:paraId="07483E34"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25%</w:t>
            </w:r>
          </w:p>
        </w:tc>
        <w:tc>
          <w:tcPr>
            <w:tcW w:w="1274" w:type="dxa"/>
          </w:tcPr>
          <w:p w14:paraId="79870783"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24BD3">
              <w:rPr>
                <w:sz w:val="18"/>
                <w:szCs w:val="18"/>
              </w:rPr>
              <w:t>0,7</w:t>
            </w:r>
            <w:r>
              <w:rPr>
                <w:sz w:val="18"/>
                <w:szCs w:val="18"/>
              </w:rPr>
              <w:t>1</w:t>
            </w:r>
          </w:p>
        </w:tc>
      </w:tr>
      <w:tr w:rsidR="00876708" w:rsidRPr="00142E5C" w14:paraId="763CD28A"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1EBFC017" w14:textId="77777777" w:rsidR="00876708" w:rsidRPr="00142E5C" w:rsidRDefault="00876708" w:rsidP="00DF64C7">
            <w:pPr>
              <w:jc w:val="left"/>
              <w:rPr>
                <w:sz w:val="18"/>
              </w:rPr>
            </w:pPr>
          </w:p>
        </w:tc>
        <w:tc>
          <w:tcPr>
            <w:tcW w:w="992" w:type="dxa"/>
          </w:tcPr>
          <w:p w14:paraId="3D38E9F4"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11.4</w:t>
            </w:r>
          </w:p>
        </w:tc>
        <w:tc>
          <w:tcPr>
            <w:tcW w:w="6804" w:type="dxa"/>
          </w:tcPr>
          <w:p w14:paraId="4B7406F0"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osób w wieku 50 lat i więcej, które uzyskały kwalifikacje lub nabyły kompetencje po opuszczeniu programu</w:t>
            </w:r>
          </w:p>
        </w:tc>
        <w:tc>
          <w:tcPr>
            <w:tcW w:w="992" w:type="dxa"/>
          </w:tcPr>
          <w:p w14:paraId="3D3B0219"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2176</w:t>
            </w:r>
          </w:p>
        </w:tc>
        <w:tc>
          <w:tcPr>
            <w:tcW w:w="2268" w:type="dxa"/>
          </w:tcPr>
          <w:p w14:paraId="1BCC5BEA"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758</w:t>
            </w:r>
          </w:p>
        </w:tc>
        <w:tc>
          <w:tcPr>
            <w:tcW w:w="1418" w:type="dxa"/>
          </w:tcPr>
          <w:p w14:paraId="09EEE9E4"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35%</w:t>
            </w:r>
          </w:p>
        </w:tc>
        <w:tc>
          <w:tcPr>
            <w:tcW w:w="1274" w:type="dxa"/>
          </w:tcPr>
          <w:p w14:paraId="2D8F870D"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sz w:val="18"/>
                <w:szCs w:val="18"/>
              </w:rPr>
              <w:t>1,00</w:t>
            </w:r>
          </w:p>
        </w:tc>
      </w:tr>
      <w:tr w:rsidR="00876708" w:rsidRPr="00142E5C" w14:paraId="1C0471B0"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1665E9A7" w14:textId="77777777" w:rsidR="00876708" w:rsidRPr="00142E5C" w:rsidRDefault="00876708" w:rsidP="00DF64C7">
            <w:pPr>
              <w:jc w:val="left"/>
              <w:rPr>
                <w:sz w:val="18"/>
              </w:rPr>
            </w:pPr>
          </w:p>
        </w:tc>
        <w:tc>
          <w:tcPr>
            <w:tcW w:w="992" w:type="dxa"/>
          </w:tcPr>
          <w:p w14:paraId="5EC16656"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11.4</w:t>
            </w:r>
          </w:p>
        </w:tc>
        <w:tc>
          <w:tcPr>
            <w:tcW w:w="6804" w:type="dxa"/>
          </w:tcPr>
          <w:p w14:paraId="3C7FD3B3"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 xml:space="preserve">Liczba osób w wieku 25 lat i więcej, które uzyskały kwalifikacje lub nabyły kompetencje po opuszczeniu </w:t>
            </w:r>
          </w:p>
        </w:tc>
        <w:tc>
          <w:tcPr>
            <w:tcW w:w="992" w:type="dxa"/>
          </w:tcPr>
          <w:p w14:paraId="0EE9476E"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8704</w:t>
            </w:r>
          </w:p>
        </w:tc>
        <w:tc>
          <w:tcPr>
            <w:tcW w:w="2268" w:type="dxa"/>
          </w:tcPr>
          <w:p w14:paraId="266612C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4206</w:t>
            </w:r>
          </w:p>
        </w:tc>
        <w:tc>
          <w:tcPr>
            <w:tcW w:w="1418" w:type="dxa"/>
          </w:tcPr>
          <w:p w14:paraId="34EBA254"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48%</w:t>
            </w:r>
          </w:p>
        </w:tc>
        <w:tc>
          <w:tcPr>
            <w:tcW w:w="1274" w:type="dxa"/>
          </w:tcPr>
          <w:p w14:paraId="4EBF4D47"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24BD3">
              <w:rPr>
                <w:sz w:val="18"/>
                <w:szCs w:val="18"/>
              </w:rPr>
              <w:t>1,3</w:t>
            </w:r>
            <w:r>
              <w:rPr>
                <w:sz w:val="18"/>
                <w:szCs w:val="18"/>
              </w:rPr>
              <w:t>9</w:t>
            </w:r>
          </w:p>
        </w:tc>
      </w:tr>
      <w:tr w:rsidR="00876708" w:rsidRPr="00142E5C" w14:paraId="1BFD7E73"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718A3F0E" w14:textId="77777777" w:rsidR="00876708" w:rsidRPr="003E225D" w:rsidRDefault="00876708" w:rsidP="00DF64C7">
            <w:pPr>
              <w:jc w:val="left"/>
              <w:rPr>
                <w:sz w:val="18"/>
              </w:rPr>
            </w:pPr>
          </w:p>
        </w:tc>
        <w:tc>
          <w:tcPr>
            <w:tcW w:w="992" w:type="dxa"/>
          </w:tcPr>
          <w:p w14:paraId="5FA1FF49"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11.2</w:t>
            </w:r>
          </w:p>
        </w:tc>
        <w:tc>
          <w:tcPr>
            <w:tcW w:w="6804" w:type="dxa"/>
          </w:tcPr>
          <w:p w14:paraId="64CB6F74"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uczniów szkół i placówek kształcenia zawodowego uczestniczących w stażach i praktykach u pracodawcy</w:t>
            </w:r>
          </w:p>
        </w:tc>
        <w:tc>
          <w:tcPr>
            <w:tcW w:w="992" w:type="dxa"/>
          </w:tcPr>
          <w:p w14:paraId="6B7FB078"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6066</w:t>
            </w:r>
          </w:p>
        </w:tc>
        <w:tc>
          <w:tcPr>
            <w:tcW w:w="2268" w:type="dxa"/>
          </w:tcPr>
          <w:p w14:paraId="1CA1EB0D"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4058</w:t>
            </w:r>
          </w:p>
        </w:tc>
        <w:tc>
          <w:tcPr>
            <w:tcW w:w="1418" w:type="dxa"/>
          </w:tcPr>
          <w:p w14:paraId="0AC30427"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67%</w:t>
            </w:r>
          </w:p>
        </w:tc>
        <w:tc>
          <w:tcPr>
            <w:tcW w:w="1274" w:type="dxa"/>
          </w:tcPr>
          <w:p w14:paraId="7683090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24BD3">
              <w:rPr>
                <w:sz w:val="18"/>
                <w:szCs w:val="18"/>
              </w:rPr>
              <w:t>1,9</w:t>
            </w:r>
            <w:r>
              <w:rPr>
                <w:sz w:val="18"/>
                <w:szCs w:val="18"/>
              </w:rPr>
              <w:t>2</w:t>
            </w:r>
          </w:p>
        </w:tc>
      </w:tr>
      <w:tr w:rsidR="00876708" w:rsidRPr="00142E5C" w14:paraId="7C27ECB0"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66E8CAD5" w14:textId="77777777" w:rsidR="00876708" w:rsidRPr="003E225D" w:rsidRDefault="00876708" w:rsidP="00DF64C7">
            <w:pPr>
              <w:jc w:val="left"/>
              <w:rPr>
                <w:sz w:val="18"/>
              </w:rPr>
            </w:pPr>
          </w:p>
        </w:tc>
        <w:tc>
          <w:tcPr>
            <w:tcW w:w="992" w:type="dxa"/>
          </w:tcPr>
          <w:p w14:paraId="0BBA2B0B"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11.3</w:t>
            </w:r>
          </w:p>
        </w:tc>
        <w:tc>
          <w:tcPr>
            <w:tcW w:w="6804" w:type="dxa"/>
          </w:tcPr>
          <w:p w14:paraId="0011FA6D"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osób uczestniczących w pozaszkolnych formach kształcenia w programie</w:t>
            </w:r>
          </w:p>
        </w:tc>
        <w:tc>
          <w:tcPr>
            <w:tcW w:w="992" w:type="dxa"/>
          </w:tcPr>
          <w:p w14:paraId="4CC0C844"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4729</w:t>
            </w:r>
          </w:p>
        </w:tc>
        <w:tc>
          <w:tcPr>
            <w:tcW w:w="2268" w:type="dxa"/>
          </w:tcPr>
          <w:p w14:paraId="1ACFBA0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26815</w:t>
            </w:r>
          </w:p>
        </w:tc>
        <w:tc>
          <w:tcPr>
            <w:tcW w:w="1418" w:type="dxa"/>
          </w:tcPr>
          <w:p w14:paraId="2E20D0E0"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567%</w:t>
            </w:r>
          </w:p>
        </w:tc>
        <w:tc>
          <w:tcPr>
            <w:tcW w:w="1274" w:type="dxa"/>
          </w:tcPr>
          <w:p w14:paraId="3BF9E08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18"/>
                <w:szCs w:val="18"/>
              </w:rPr>
            </w:pPr>
            <w:r w:rsidRPr="00E24BD3">
              <w:rPr>
                <w:sz w:val="18"/>
                <w:szCs w:val="18"/>
              </w:rPr>
              <w:t>16,</w:t>
            </w:r>
            <w:r>
              <w:rPr>
                <w:sz w:val="18"/>
                <w:szCs w:val="18"/>
              </w:rPr>
              <w:t>29</w:t>
            </w:r>
          </w:p>
        </w:tc>
      </w:tr>
      <w:tr w:rsidR="00876708" w:rsidRPr="00142E5C" w14:paraId="51ECE15F"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22B024FC" w14:textId="77777777" w:rsidR="00876708" w:rsidRPr="003E225D" w:rsidRDefault="00876708" w:rsidP="00DF64C7">
            <w:pPr>
              <w:jc w:val="left"/>
              <w:rPr>
                <w:sz w:val="18"/>
              </w:rPr>
            </w:pPr>
          </w:p>
        </w:tc>
        <w:tc>
          <w:tcPr>
            <w:tcW w:w="992" w:type="dxa"/>
          </w:tcPr>
          <w:p w14:paraId="5A879390"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11.3</w:t>
            </w:r>
          </w:p>
        </w:tc>
        <w:tc>
          <w:tcPr>
            <w:tcW w:w="6804" w:type="dxa"/>
          </w:tcPr>
          <w:p w14:paraId="1E34E81C"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podmiotów realizujących zadania centrum kształcenia zawodowego i ustawicznego objętych wsparciem w programie</w:t>
            </w:r>
          </w:p>
        </w:tc>
        <w:tc>
          <w:tcPr>
            <w:tcW w:w="992" w:type="dxa"/>
          </w:tcPr>
          <w:p w14:paraId="6EB94A1E"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2</w:t>
            </w:r>
          </w:p>
        </w:tc>
        <w:tc>
          <w:tcPr>
            <w:tcW w:w="2268" w:type="dxa"/>
          </w:tcPr>
          <w:p w14:paraId="555D59D5"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2</w:t>
            </w:r>
          </w:p>
        </w:tc>
        <w:tc>
          <w:tcPr>
            <w:tcW w:w="1418" w:type="dxa"/>
          </w:tcPr>
          <w:p w14:paraId="794C20CF"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100%</w:t>
            </w:r>
          </w:p>
        </w:tc>
        <w:tc>
          <w:tcPr>
            <w:tcW w:w="1274" w:type="dxa"/>
          </w:tcPr>
          <w:p w14:paraId="78939CA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24BD3">
              <w:rPr>
                <w:sz w:val="18"/>
                <w:szCs w:val="18"/>
              </w:rPr>
              <w:t>2,8</w:t>
            </w:r>
            <w:r>
              <w:rPr>
                <w:sz w:val="18"/>
                <w:szCs w:val="18"/>
              </w:rPr>
              <w:t>7</w:t>
            </w:r>
          </w:p>
        </w:tc>
      </w:tr>
      <w:tr w:rsidR="00876708" w:rsidRPr="00142E5C" w14:paraId="56B3AEE7"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078ED05B" w14:textId="77777777" w:rsidR="00876708" w:rsidRPr="003E225D" w:rsidRDefault="00876708" w:rsidP="00DF64C7">
            <w:pPr>
              <w:jc w:val="left"/>
              <w:rPr>
                <w:sz w:val="18"/>
              </w:rPr>
            </w:pPr>
          </w:p>
        </w:tc>
        <w:tc>
          <w:tcPr>
            <w:tcW w:w="992" w:type="dxa"/>
          </w:tcPr>
          <w:p w14:paraId="0CDBFA8B"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11.3</w:t>
            </w:r>
          </w:p>
        </w:tc>
        <w:tc>
          <w:tcPr>
            <w:tcW w:w="6804" w:type="dxa"/>
          </w:tcPr>
          <w:p w14:paraId="6E2764E9"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osób uczestniczących w szkolnych formach kształcenia w programie</w:t>
            </w:r>
          </w:p>
        </w:tc>
        <w:tc>
          <w:tcPr>
            <w:tcW w:w="992" w:type="dxa"/>
          </w:tcPr>
          <w:p w14:paraId="7857243F"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1804</w:t>
            </w:r>
          </w:p>
        </w:tc>
        <w:tc>
          <w:tcPr>
            <w:tcW w:w="2268" w:type="dxa"/>
          </w:tcPr>
          <w:p w14:paraId="42166A6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619</w:t>
            </w:r>
          </w:p>
        </w:tc>
        <w:tc>
          <w:tcPr>
            <w:tcW w:w="1418" w:type="dxa"/>
          </w:tcPr>
          <w:p w14:paraId="70FD4324"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34%</w:t>
            </w:r>
          </w:p>
        </w:tc>
        <w:tc>
          <w:tcPr>
            <w:tcW w:w="1274" w:type="dxa"/>
          </w:tcPr>
          <w:p w14:paraId="3F05A5B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0,9</w:t>
            </w:r>
            <w:r>
              <w:rPr>
                <w:sz w:val="18"/>
                <w:szCs w:val="18"/>
              </w:rPr>
              <w:t>9</w:t>
            </w:r>
          </w:p>
        </w:tc>
      </w:tr>
      <w:tr w:rsidR="00876708" w:rsidRPr="00142E5C" w14:paraId="38186454"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4649C80F" w14:textId="77777777" w:rsidR="00876708" w:rsidRPr="00142E5C" w:rsidRDefault="00876708" w:rsidP="00DF64C7">
            <w:pPr>
              <w:jc w:val="left"/>
              <w:rPr>
                <w:sz w:val="18"/>
              </w:rPr>
            </w:pPr>
          </w:p>
        </w:tc>
        <w:tc>
          <w:tcPr>
            <w:tcW w:w="992" w:type="dxa"/>
          </w:tcPr>
          <w:p w14:paraId="178CAFC2"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11.2</w:t>
            </w:r>
          </w:p>
        </w:tc>
        <w:tc>
          <w:tcPr>
            <w:tcW w:w="6804" w:type="dxa"/>
          </w:tcPr>
          <w:p w14:paraId="0B3F63D2"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nauczycieli kształcenia zawodowego oraz instruktorów praktycznej nauki zawodu objętych wsparciem w programie</w:t>
            </w:r>
          </w:p>
        </w:tc>
        <w:tc>
          <w:tcPr>
            <w:tcW w:w="992" w:type="dxa"/>
          </w:tcPr>
          <w:p w14:paraId="19E52790"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269</w:t>
            </w:r>
          </w:p>
        </w:tc>
        <w:tc>
          <w:tcPr>
            <w:tcW w:w="2268" w:type="dxa"/>
          </w:tcPr>
          <w:p w14:paraId="072B829A"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599</w:t>
            </w:r>
          </w:p>
        </w:tc>
        <w:tc>
          <w:tcPr>
            <w:tcW w:w="1418" w:type="dxa"/>
          </w:tcPr>
          <w:p w14:paraId="2B3E05C5"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223%</w:t>
            </w:r>
          </w:p>
        </w:tc>
        <w:tc>
          <w:tcPr>
            <w:tcW w:w="1274" w:type="dxa"/>
          </w:tcPr>
          <w:p w14:paraId="05701669"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6,</w:t>
            </w:r>
            <w:r>
              <w:rPr>
                <w:sz w:val="18"/>
                <w:szCs w:val="18"/>
              </w:rPr>
              <w:t>40</w:t>
            </w:r>
          </w:p>
        </w:tc>
      </w:tr>
      <w:tr w:rsidR="00876708" w:rsidRPr="00142E5C" w14:paraId="3EBA6245"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1ACDCE79" w14:textId="77777777" w:rsidR="00876708" w:rsidRPr="00142E5C" w:rsidRDefault="00876708" w:rsidP="00DF64C7">
            <w:pPr>
              <w:jc w:val="left"/>
              <w:rPr>
                <w:sz w:val="18"/>
              </w:rPr>
            </w:pPr>
          </w:p>
        </w:tc>
        <w:tc>
          <w:tcPr>
            <w:tcW w:w="992" w:type="dxa"/>
          </w:tcPr>
          <w:p w14:paraId="6476B745"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11.2</w:t>
            </w:r>
          </w:p>
        </w:tc>
        <w:tc>
          <w:tcPr>
            <w:tcW w:w="6804" w:type="dxa"/>
          </w:tcPr>
          <w:p w14:paraId="3961BE90"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szkół i placówek kształcenia zawodowego doposażonych w programie w sprzęt i materiały dydaktyczne niezbędne do realizacji kształcenia zawodowego</w:t>
            </w:r>
          </w:p>
        </w:tc>
        <w:tc>
          <w:tcPr>
            <w:tcW w:w="992" w:type="dxa"/>
          </w:tcPr>
          <w:p w14:paraId="75D874BF"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67</w:t>
            </w:r>
          </w:p>
        </w:tc>
        <w:tc>
          <w:tcPr>
            <w:tcW w:w="2268" w:type="dxa"/>
          </w:tcPr>
          <w:p w14:paraId="0C03CCCF"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199</w:t>
            </w:r>
          </w:p>
        </w:tc>
        <w:tc>
          <w:tcPr>
            <w:tcW w:w="1418" w:type="dxa"/>
          </w:tcPr>
          <w:p w14:paraId="08D4D9C6"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297%</w:t>
            </w:r>
          </w:p>
        </w:tc>
        <w:tc>
          <w:tcPr>
            <w:tcW w:w="1274" w:type="dxa"/>
          </w:tcPr>
          <w:p w14:paraId="68B339B9"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8,</w:t>
            </w:r>
            <w:r>
              <w:rPr>
                <w:sz w:val="18"/>
                <w:szCs w:val="18"/>
              </w:rPr>
              <w:t>5</w:t>
            </w:r>
            <w:r w:rsidRPr="00E24BD3">
              <w:rPr>
                <w:sz w:val="18"/>
                <w:szCs w:val="18"/>
              </w:rPr>
              <w:t>3</w:t>
            </w:r>
          </w:p>
        </w:tc>
      </w:tr>
      <w:tr w:rsidR="00876708" w:rsidRPr="00142E5C" w14:paraId="5EE22D7F"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0F58D8C5" w14:textId="77777777" w:rsidR="00876708" w:rsidRPr="00142E5C" w:rsidRDefault="00876708" w:rsidP="00DF64C7">
            <w:pPr>
              <w:jc w:val="left"/>
              <w:rPr>
                <w:sz w:val="18"/>
              </w:rPr>
            </w:pPr>
          </w:p>
        </w:tc>
        <w:tc>
          <w:tcPr>
            <w:tcW w:w="992" w:type="dxa"/>
          </w:tcPr>
          <w:p w14:paraId="5E80C007"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11.2</w:t>
            </w:r>
          </w:p>
        </w:tc>
        <w:tc>
          <w:tcPr>
            <w:tcW w:w="6804" w:type="dxa"/>
          </w:tcPr>
          <w:p w14:paraId="0C53AACE"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uczniów objętych wsparciem w zakresie rozwijania kompetencji kluczowych lub umiejętności uniwersalnych niezbędnych na rynku pracy w programie</w:t>
            </w:r>
          </w:p>
        </w:tc>
        <w:tc>
          <w:tcPr>
            <w:tcW w:w="992" w:type="dxa"/>
          </w:tcPr>
          <w:p w14:paraId="00CC67A6"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1897</w:t>
            </w:r>
          </w:p>
        </w:tc>
        <w:tc>
          <w:tcPr>
            <w:tcW w:w="2268" w:type="dxa"/>
          </w:tcPr>
          <w:p w14:paraId="3CB0F15E"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0</w:t>
            </w:r>
          </w:p>
        </w:tc>
        <w:tc>
          <w:tcPr>
            <w:tcW w:w="1418" w:type="dxa"/>
          </w:tcPr>
          <w:p w14:paraId="6B28877A"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0%</w:t>
            </w:r>
          </w:p>
        </w:tc>
        <w:tc>
          <w:tcPr>
            <w:tcW w:w="1274" w:type="dxa"/>
          </w:tcPr>
          <w:p w14:paraId="0CE240F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0,00</w:t>
            </w:r>
          </w:p>
        </w:tc>
      </w:tr>
      <w:tr w:rsidR="00876708" w:rsidRPr="00142E5C" w14:paraId="46E97D00"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25F85A13" w14:textId="77777777" w:rsidR="00876708" w:rsidRPr="00142E5C" w:rsidRDefault="00876708" w:rsidP="00DF64C7">
            <w:pPr>
              <w:jc w:val="left"/>
              <w:rPr>
                <w:sz w:val="18"/>
              </w:rPr>
            </w:pPr>
          </w:p>
        </w:tc>
        <w:tc>
          <w:tcPr>
            <w:tcW w:w="992" w:type="dxa"/>
          </w:tcPr>
          <w:p w14:paraId="43A444D2"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11.2</w:t>
            </w:r>
          </w:p>
        </w:tc>
        <w:tc>
          <w:tcPr>
            <w:tcW w:w="6804" w:type="dxa"/>
          </w:tcPr>
          <w:p w14:paraId="0FF115CB"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uczniów, którzy nabyli kompetencje kluczowe lub umiejętności uniwersalne niezbędne na rynku pracy po opuszczeniu programu</w:t>
            </w:r>
          </w:p>
        </w:tc>
        <w:tc>
          <w:tcPr>
            <w:tcW w:w="992" w:type="dxa"/>
          </w:tcPr>
          <w:p w14:paraId="2EDDB6A2"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1043</w:t>
            </w:r>
          </w:p>
        </w:tc>
        <w:tc>
          <w:tcPr>
            <w:tcW w:w="2268" w:type="dxa"/>
          </w:tcPr>
          <w:p w14:paraId="0AB42CF0"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0</w:t>
            </w:r>
          </w:p>
        </w:tc>
        <w:tc>
          <w:tcPr>
            <w:tcW w:w="1418" w:type="dxa"/>
          </w:tcPr>
          <w:p w14:paraId="3D2C9CA0"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0%</w:t>
            </w:r>
          </w:p>
        </w:tc>
        <w:tc>
          <w:tcPr>
            <w:tcW w:w="1274" w:type="dxa"/>
          </w:tcPr>
          <w:p w14:paraId="73816AC2"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0,00</w:t>
            </w:r>
          </w:p>
        </w:tc>
      </w:tr>
      <w:tr w:rsidR="00876708" w:rsidRPr="00142E5C" w14:paraId="174BDA68"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066D51D4" w14:textId="77777777" w:rsidR="00876708" w:rsidRPr="00142E5C" w:rsidRDefault="00876708" w:rsidP="00DF64C7">
            <w:pPr>
              <w:jc w:val="left"/>
              <w:rPr>
                <w:sz w:val="18"/>
              </w:rPr>
            </w:pPr>
          </w:p>
        </w:tc>
        <w:tc>
          <w:tcPr>
            <w:tcW w:w="992" w:type="dxa"/>
          </w:tcPr>
          <w:p w14:paraId="2AE8E9EA"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11.3</w:t>
            </w:r>
          </w:p>
        </w:tc>
        <w:tc>
          <w:tcPr>
            <w:tcW w:w="6804" w:type="dxa"/>
          </w:tcPr>
          <w:p w14:paraId="44627CD1"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osób, które uzyskały kwalifikacje w ramach pozaszkolnych form kształcenia</w:t>
            </w:r>
          </w:p>
        </w:tc>
        <w:tc>
          <w:tcPr>
            <w:tcW w:w="992" w:type="dxa"/>
          </w:tcPr>
          <w:p w14:paraId="115B2A5B"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709</w:t>
            </w:r>
          </w:p>
        </w:tc>
        <w:tc>
          <w:tcPr>
            <w:tcW w:w="2268" w:type="dxa"/>
          </w:tcPr>
          <w:p w14:paraId="7174A306"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17724</w:t>
            </w:r>
          </w:p>
        </w:tc>
        <w:tc>
          <w:tcPr>
            <w:tcW w:w="1418" w:type="dxa"/>
          </w:tcPr>
          <w:p w14:paraId="229EFF56"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2500%</w:t>
            </w:r>
          </w:p>
        </w:tc>
        <w:tc>
          <w:tcPr>
            <w:tcW w:w="1274" w:type="dxa"/>
          </w:tcPr>
          <w:p w14:paraId="48B65E48"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7</w:t>
            </w:r>
            <w:r>
              <w:rPr>
                <w:sz w:val="18"/>
                <w:szCs w:val="18"/>
              </w:rPr>
              <w:t>1,84</w:t>
            </w:r>
          </w:p>
        </w:tc>
      </w:tr>
      <w:tr w:rsidR="00876708" w:rsidRPr="00142E5C" w14:paraId="6789F569"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540690FC" w14:textId="77777777" w:rsidR="00876708" w:rsidRPr="00142E5C" w:rsidRDefault="00876708" w:rsidP="00DF64C7">
            <w:pPr>
              <w:jc w:val="left"/>
              <w:rPr>
                <w:sz w:val="18"/>
              </w:rPr>
            </w:pPr>
          </w:p>
        </w:tc>
        <w:tc>
          <w:tcPr>
            <w:tcW w:w="992" w:type="dxa"/>
          </w:tcPr>
          <w:p w14:paraId="1AF4FF26"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11.2</w:t>
            </w:r>
          </w:p>
        </w:tc>
        <w:tc>
          <w:tcPr>
            <w:tcW w:w="6804" w:type="dxa"/>
          </w:tcPr>
          <w:p w14:paraId="43ED01FD"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szkół i placówek kształcenia zawodowego wykorzystujących doposażenie zakupione dzięki EFS</w:t>
            </w:r>
          </w:p>
        </w:tc>
        <w:tc>
          <w:tcPr>
            <w:tcW w:w="992" w:type="dxa"/>
          </w:tcPr>
          <w:p w14:paraId="76720EB0"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67</w:t>
            </w:r>
          </w:p>
        </w:tc>
        <w:tc>
          <w:tcPr>
            <w:tcW w:w="2268" w:type="dxa"/>
          </w:tcPr>
          <w:p w14:paraId="10AA7698"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100</w:t>
            </w:r>
          </w:p>
        </w:tc>
        <w:tc>
          <w:tcPr>
            <w:tcW w:w="1418" w:type="dxa"/>
          </w:tcPr>
          <w:p w14:paraId="7694540C"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149%</w:t>
            </w:r>
          </w:p>
        </w:tc>
        <w:tc>
          <w:tcPr>
            <w:tcW w:w="1274" w:type="dxa"/>
          </w:tcPr>
          <w:p w14:paraId="33693E5B"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4,2</w:t>
            </w:r>
            <w:r>
              <w:rPr>
                <w:sz w:val="18"/>
                <w:szCs w:val="18"/>
              </w:rPr>
              <w:t>9</w:t>
            </w:r>
          </w:p>
        </w:tc>
      </w:tr>
      <w:tr w:rsidR="00876708" w:rsidRPr="00142E5C" w14:paraId="38ED1377"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32989A82" w14:textId="77777777" w:rsidR="00876708" w:rsidRPr="00142E5C" w:rsidRDefault="00876708" w:rsidP="00DF64C7">
            <w:pPr>
              <w:jc w:val="left"/>
              <w:rPr>
                <w:sz w:val="18"/>
              </w:rPr>
            </w:pPr>
          </w:p>
        </w:tc>
        <w:tc>
          <w:tcPr>
            <w:tcW w:w="992" w:type="dxa"/>
          </w:tcPr>
          <w:p w14:paraId="236C2D24"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11.2</w:t>
            </w:r>
          </w:p>
        </w:tc>
        <w:tc>
          <w:tcPr>
            <w:tcW w:w="6804" w:type="dxa"/>
          </w:tcPr>
          <w:p w14:paraId="080C9599"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nauczycieli kształcenia zawodowego oraz instruktorów praktycznej nauki zawodu, którzy uzyskali kwalifikacje lub nabyli kompetencje po opuszczeniu programu</w:t>
            </w:r>
          </w:p>
        </w:tc>
        <w:tc>
          <w:tcPr>
            <w:tcW w:w="992" w:type="dxa"/>
          </w:tcPr>
          <w:p w14:paraId="65D3C80D"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215</w:t>
            </w:r>
          </w:p>
        </w:tc>
        <w:tc>
          <w:tcPr>
            <w:tcW w:w="2268" w:type="dxa"/>
          </w:tcPr>
          <w:p w14:paraId="08AE80C7"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272</w:t>
            </w:r>
          </w:p>
        </w:tc>
        <w:tc>
          <w:tcPr>
            <w:tcW w:w="1418" w:type="dxa"/>
          </w:tcPr>
          <w:p w14:paraId="298F14E8"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127%</w:t>
            </w:r>
          </w:p>
        </w:tc>
        <w:tc>
          <w:tcPr>
            <w:tcW w:w="1274" w:type="dxa"/>
          </w:tcPr>
          <w:p w14:paraId="7121CE1D"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3,</w:t>
            </w:r>
            <w:r>
              <w:rPr>
                <w:sz w:val="18"/>
                <w:szCs w:val="18"/>
              </w:rPr>
              <w:t>64</w:t>
            </w:r>
          </w:p>
        </w:tc>
      </w:tr>
      <w:tr w:rsidR="00876708" w:rsidRPr="00142E5C" w14:paraId="677717F0"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14282" w:type="dxa"/>
            <w:gridSpan w:val="7"/>
          </w:tcPr>
          <w:p w14:paraId="7A10897A" w14:textId="77777777" w:rsidR="00876708" w:rsidRPr="00142E5C" w:rsidRDefault="00876708" w:rsidP="00DF64C7">
            <w:pPr>
              <w:jc w:val="left"/>
              <w:rPr>
                <w:sz w:val="18"/>
              </w:rPr>
            </w:pPr>
            <w:r>
              <w:rPr>
                <w:sz w:val="18"/>
              </w:rPr>
              <w:t>EFRR</w:t>
            </w:r>
          </w:p>
        </w:tc>
      </w:tr>
      <w:tr w:rsidR="00876708" w:rsidRPr="00142E5C" w14:paraId="31797571"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val="restart"/>
          </w:tcPr>
          <w:p w14:paraId="5EDE2D86" w14:textId="77777777" w:rsidR="00876708" w:rsidRPr="00142E5C" w:rsidRDefault="00876708" w:rsidP="00DF64C7">
            <w:pPr>
              <w:jc w:val="left"/>
              <w:rPr>
                <w:sz w:val="18"/>
              </w:rPr>
            </w:pPr>
            <w:r>
              <w:rPr>
                <w:sz w:val="18"/>
              </w:rPr>
              <w:t>XII</w:t>
            </w:r>
          </w:p>
        </w:tc>
        <w:tc>
          <w:tcPr>
            <w:tcW w:w="992" w:type="dxa"/>
          </w:tcPr>
          <w:p w14:paraId="0C8557A2"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12.1, 12.2</w:t>
            </w:r>
          </w:p>
        </w:tc>
        <w:tc>
          <w:tcPr>
            <w:tcW w:w="6804" w:type="dxa"/>
          </w:tcPr>
          <w:p w14:paraId="727F8F2E"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Potencjał objętej wsparciem infrastruktury w zakresie opieki nad dziećmi lub infrastruktury edukacyjnej</w:t>
            </w:r>
          </w:p>
        </w:tc>
        <w:tc>
          <w:tcPr>
            <w:tcW w:w="992" w:type="dxa"/>
          </w:tcPr>
          <w:p w14:paraId="22A4D3CB"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32329</w:t>
            </w:r>
          </w:p>
        </w:tc>
        <w:tc>
          <w:tcPr>
            <w:tcW w:w="2268" w:type="dxa"/>
          </w:tcPr>
          <w:p w14:paraId="285DE4CB"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12883</w:t>
            </w:r>
          </w:p>
        </w:tc>
        <w:tc>
          <w:tcPr>
            <w:tcW w:w="1418" w:type="dxa"/>
          </w:tcPr>
          <w:p w14:paraId="351F159D"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40%</w:t>
            </w:r>
          </w:p>
        </w:tc>
        <w:tc>
          <w:tcPr>
            <w:tcW w:w="1274" w:type="dxa"/>
          </w:tcPr>
          <w:p w14:paraId="048D0806"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0,</w:t>
            </w:r>
            <w:r>
              <w:rPr>
                <w:sz w:val="18"/>
                <w:szCs w:val="18"/>
              </w:rPr>
              <w:t>8</w:t>
            </w:r>
            <w:r w:rsidRPr="00E24BD3">
              <w:rPr>
                <w:sz w:val="18"/>
                <w:szCs w:val="18"/>
              </w:rPr>
              <w:t>5</w:t>
            </w:r>
          </w:p>
        </w:tc>
      </w:tr>
      <w:tr w:rsidR="00876708" w:rsidRPr="00142E5C" w14:paraId="676327EC"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1B9B50C9" w14:textId="77777777" w:rsidR="00876708" w:rsidRPr="00142E5C" w:rsidRDefault="00876708" w:rsidP="00DF64C7">
            <w:pPr>
              <w:jc w:val="left"/>
              <w:rPr>
                <w:sz w:val="18"/>
              </w:rPr>
            </w:pPr>
          </w:p>
        </w:tc>
        <w:tc>
          <w:tcPr>
            <w:tcW w:w="992" w:type="dxa"/>
          </w:tcPr>
          <w:p w14:paraId="3076F59A"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12.1</w:t>
            </w:r>
          </w:p>
        </w:tc>
        <w:tc>
          <w:tcPr>
            <w:tcW w:w="6804" w:type="dxa"/>
          </w:tcPr>
          <w:p w14:paraId="5EB8F2D4"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wspartych obiektów infrastruktury przedszkolnej</w:t>
            </w:r>
          </w:p>
        </w:tc>
        <w:tc>
          <w:tcPr>
            <w:tcW w:w="992" w:type="dxa"/>
          </w:tcPr>
          <w:p w14:paraId="78489FB4"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50</w:t>
            </w:r>
          </w:p>
        </w:tc>
        <w:tc>
          <w:tcPr>
            <w:tcW w:w="2268" w:type="dxa"/>
          </w:tcPr>
          <w:p w14:paraId="1523C3C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37</w:t>
            </w:r>
          </w:p>
        </w:tc>
        <w:tc>
          <w:tcPr>
            <w:tcW w:w="1418" w:type="dxa"/>
          </w:tcPr>
          <w:p w14:paraId="181AD88E"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74%</w:t>
            </w:r>
          </w:p>
        </w:tc>
        <w:tc>
          <w:tcPr>
            <w:tcW w:w="1274" w:type="dxa"/>
          </w:tcPr>
          <w:p w14:paraId="58F26D97"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w:t>
            </w:r>
            <w:r>
              <w:rPr>
                <w:sz w:val="18"/>
                <w:szCs w:val="18"/>
              </w:rPr>
              <w:t>57</w:t>
            </w:r>
          </w:p>
        </w:tc>
      </w:tr>
      <w:tr w:rsidR="00876708" w:rsidRPr="00142E5C" w14:paraId="24D4B4C9"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61FF826B" w14:textId="77777777" w:rsidR="00876708" w:rsidRPr="00142E5C" w:rsidRDefault="00876708" w:rsidP="00DF64C7">
            <w:pPr>
              <w:jc w:val="left"/>
              <w:rPr>
                <w:sz w:val="18"/>
              </w:rPr>
            </w:pPr>
          </w:p>
        </w:tc>
        <w:tc>
          <w:tcPr>
            <w:tcW w:w="992" w:type="dxa"/>
          </w:tcPr>
          <w:p w14:paraId="223B1C1D"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12.2</w:t>
            </w:r>
          </w:p>
        </w:tc>
        <w:tc>
          <w:tcPr>
            <w:tcW w:w="6804" w:type="dxa"/>
          </w:tcPr>
          <w:p w14:paraId="50B244D3"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Liczba wspartych obiektów infrastruktury kształcenia zawodowego</w:t>
            </w:r>
          </w:p>
        </w:tc>
        <w:tc>
          <w:tcPr>
            <w:tcW w:w="992" w:type="dxa"/>
          </w:tcPr>
          <w:p w14:paraId="620726A5"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52</w:t>
            </w:r>
          </w:p>
        </w:tc>
        <w:tc>
          <w:tcPr>
            <w:tcW w:w="2268" w:type="dxa"/>
          </w:tcPr>
          <w:p w14:paraId="47627988"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42</w:t>
            </w:r>
          </w:p>
        </w:tc>
        <w:tc>
          <w:tcPr>
            <w:tcW w:w="1418" w:type="dxa"/>
          </w:tcPr>
          <w:p w14:paraId="27DD3E55"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81%</w:t>
            </w:r>
          </w:p>
        </w:tc>
        <w:tc>
          <w:tcPr>
            <w:tcW w:w="1274" w:type="dxa"/>
          </w:tcPr>
          <w:p w14:paraId="6DAD1A3E"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sz w:val="18"/>
                <w:szCs w:val="18"/>
              </w:rPr>
              <w:t>1,</w:t>
            </w:r>
            <w:r>
              <w:rPr>
                <w:sz w:val="18"/>
                <w:szCs w:val="18"/>
              </w:rPr>
              <w:t>7</w:t>
            </w:r>
            <w:r w:rsidRPr="00E24BD3">
              <w:rPr>
                <w:sz w:val="18"/>
                <w:szCs w:val="18"/>
              </w:rPr>
              <w:t>2</w:t>
            </w:r>
          </w:p>
        </w:tc>
      </w:tr>
      <w:tr w:rsidR="00876708" w:rsidRPr="00142E5C" w14:paraId="5C9B55A5"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0F284B07" w14:textId="77777777" w:rsidR="00876708" w:rsidRPr="00142E5C" w:rsidRDefault="00876708" w:rsidP="00DF64C7">
            <w:pPr>
              <w:jc w:val="left"/>
              <w:rPr>
                <w:sz w:val="18"/>
              </w:rPr>
            </w:pPr>
          </w:p>
        </w:tc>
        <w:tc>
          <w:tcPr>
            <w:tcW w:w="992" w:type="dxa"/>
          </w:tcPr>
          <w:p w14:paraId="17D31460"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12.3</w:t>
            </w:r>
          </w:p>
        </w:tc>
        <w:tc>
          <w:tcPr>
            <w:tcW w:w="6804" w:type="dxa"/>
          </w:tcPr>
          <w:p w14:paraId="17C16FA2"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Liczba osób odwiedzających Planetarium Śląskie ze zorganizowanych grup uczniowskich i przedszkolnych</w:t>
            </w:r>
          </w:p>
        </w:tc>
        <w:tc>
          <w:tcPr>
            <w:tcW w:w="992" w:type="dxa"/>
          </w:tcPr>
          <w:p w14:paraId="72E45BA3"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156000</w:t>
            </w:r>
          </w:p>
        </w:tc>
        <w:tc>
          <w:tcPr>
            <w:tcW w:w="2268" w:type="dxa"/>
          </w:tcPr>
          <w:p w14:paraId="3D9C687D"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0</w:t>
            </w:r>
          </w:p>
        </w:tc>
        <w:tc>
          <w:tcPr>
            <w:tcW w:w="1418" w:type="dxa"/>
          </w:tcPr>
          <w:p w14:paraId="34614905"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0%</w:t>
            </w:r>
          </w:p>
        </w:tc>
        <w:tc>
          <w:tcPr>
            <w:tcW w:w="1274" w:type="dxa"/>
          </w:tcPr>
          <w:p w14:paraId="133B14D8"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sz w:val="18"/>
                <w:szCs w:val="18"/>
              </w:rPr>
              <w:t>0,00</w:t>
            </w:r>
          </w:p>
        </w:tc>
      </w:tr>
    </w:tbl>
    <w:p w14:paraId="4E31771A" w14:textId="77777777" w:rsidR="00876708" w:rsidRDefault="00876708" w:rsidP="00DF64C7">
      <w:pPr>
        <w:pStyle w:val="podpisrdailustracji"/>
        <w:spacing w:line="271" w:lineRule="auto"/>
        <w:jc w:val="left"/>
      </w:pPr>
      <w:r>
        <w:t xml:space="preserve">Źródło: </w:t>
      </w:r>
      <w:r>
        <w:rPr>
          <w:rFonts w:cs="Arial"/>
        </w:rPr>
        <w:t>Opracowanie wł</w:t>
      </w:r>
      <w:r w:rsidR="000C3BE9">
        <w:rPr>
          <w:rFonts w:cs="Arial"/>
        </w:rPr>
        <w:t>a</w:t>
      </w:r>
      <w:r>
        <w:rPr>
          <w:rFonts w:cs="Arial"/>
        </w:rPr>
        <w:t>sne na podstawie</w:t>
      </w:r>
      <w:r>
        <w:t xml:space="preserve"> Monitoringu wskaźników rzeczowych (data dostępu: 30.09 2019 r.).</w:t>
      </w:r>
    </w:p>
    <w:p w14:paraId="5AB30A51" w14:textId="77777777" w:rsidR="00876708" w:rsidRDefault="00876708" w:rsidP="00DF64C7">
      <w:pPr>
        <w:jc w:val="left"/>
        <w:sectPr w:rsidR="00876708" w:rsidSect="007201DD">
          <w:pgSz w:w="16838" w:h="11906" w:orient="landscape"/>
          <w:pgMar w:top="1418" w:right="1418" w:bottom="1418" w:left="1418" w:header="709" w:footer="709" w:gutter="0"/>
          <w:cols w:space="708"/>
          <w:docGrid w:linePitch="360"/>
        </w:sectPr>
      </w:pPr>
    </w:p>
    <w:p w14:paraId="219FB885" w14:textId="77777777" w:rsidR="00876708" w:rsidRDefault="00876708" w:rsidP="00DF64C7">
      <w:pPr>
        <w:tabs>
          <w:tab w:val="left" w:pos="4962"/>
        </w:tabs>
        <w:jc w:val="left"/>
      </w:pPr>
      <w:r>
        <w:t>W celu określenia szacunkowej efektywności kosztowej analizie poddane zostały również wartości odnoszące się do podpisanych umów. W tym przypadku wartość podpisanych umów</w:t>
      </w:r>
      <w:r w:rsidRPr="00F27250">
        <w:t xml:space="preserve"> </w:t>
      </w:r>
      <w:r>
        <w:t xml:space="preserve">od początku realizacji programu do 1 października 2019 r. (określona na podstawie monitoringu </w:t>
      </w:r>
      <w:r w:rsidR="00DA7110">
        <w:t>wskaźników</w:t>
      </w:r>
      <w:r>
        <w:t xml:space="preserve"> finansowych</w:t>
      </w:r>
      <w:r w:rsidRPr="00F27250">
        <w:t xml:space="preserve"> – stan na dzień 1 października 2019 r.</w:t>
      </w:r>
      <w:r>
        <w:t xml:space="preserve">) wynosi </w:t>
      </w:r>
      <w:r w:rsidRPr="00835BA9">
        <w:t>229 287 231</w:t>
      </w:r>
      <w:r>
        <w:t xml:space="preserve"> EUR (OP XI) oraz </w:t>
      </w:r>
      <w:r w:rsidRPr="00835BA9">
        <w:t>95 412 345</w:t>
      </w:r>
      <w:r w:rsidRPr="00F27250">
        <w:t xml:space="preserve"> </w:t>
      </w:r>
      <w:r>
        <w:t xml:space="preserve">EUR (OP XII). </w:t>
      </w:r>
    </w:p>
    <w:p w14:paraId="077679CC" w14:textId="77777777" w:rsidR="00876708" w:rsidRDefault="00876708" w:rsidP="00DF64C7">
      <w:pPr>
        <w:tabs>
          <w:tab w:val="left" w:pos="4962"/>
        </w:tabs>
        <w:jc w:val="left"/>
      </w:pPr>
      <w:r>
        <w:t>Na podstawie wartości pierwotnej alokacji środków finansowych przeznaczonych na realizację projektów w ramach Regionalnego Programu Operacyjnego Województwa Śląskiego na lata 2014-2020 określony został postęp finansowy dla XI i XII osi priorytetowych bazujący na podpisanych umowach. Postęp finansowy, na podstawie podpisanych umów (na dzień 1.10.2019 r.) kształtuje się na poziomie 74,40% dla OP XI oraz 104,3% dla OP XII.</w:t>
      </w:r>
    </w:p>
    <w:p w14:paraId="672B326A" w14:textId="77777777" w:rsidR="00876708" w:rsidRDefault="00876708" w:rsidP="00DF64C7">
      <w:pPr>
        <w:tabs>
          <w:tab w:val="left" w:pos="4962"/>
        </w:tabs>
        <w:jc w:val="left"/>
      </w:pPr>
    </w:p>
    <w:p w14:paraId="7F3A0C42" w14:textId="77777777" w:rsidR="00876708" w:rsidRDefault="00876708" w:rsidP="00DF64C7">
      <w:pPr>
        <w:pStyle w:val="Legenda"/>
        <w:spacing w:line="271" w:lineRule="auto"/>
        <w:jc w:val="left"/>
      </w:pPr>
      <w:r>
        <w:t>Tabela 25</w:t>
      </w:r>
      <w:r>
        <w:rPr>
          <w:noProof/>
        </w:rPr>
        <w:t>.</w:t>
      </w:r>
      <w:r>
        <w:t xml:space="preserve"> </w:t>
      </w:r>
      <w:r w:rsidRPr="00B477DB">
        <w:t>Kwoty przeznaczone na dofinansowanie projektów w ramach OP XI oraz OP XII</w:t>
      </w:r>
      <w:r>
        <w:t xml:space="preserve"> – na podstawie podpisanych umów</w:t>
      </w:r>
    </w:p>
    <w:tbl>
      <w:tblPr>
        <w:tblStyle w:val="redniasiatka3akcent6"/>
        <w:tblW w:w="0" w:type="auto"/>
        <w:tblLayout w:type="fixed"/>
        <w:tblLook w:val="04A0" w:firstRow="1" w:lastRow="0" w:firstColumn="1" w:lastColumn="0" w:noHBand="0" w:noVBand="1"/>
        <w:tblCaption w:val="Kwoty przeznaczone na dofinansowanie projektów w ramach OP XI oraz OP XII"/>
        <w:tblDescription w:val="Tabela przedstawia kwoty przeznaczone na dofinansowanie projektów w ramach OP XI oraz OP XII, w tym alokację w EUR; wartość wniosków o płatność do KE od początku rralizacji programu do końca 2018 roku; orientacyjną kwotę przeznaczoną na dofinansowanie w ramach konkursu w 2019 roku; sumę dofinansowania."/>
      </w:tblPr>
      <w:tblGrid>
        <w:gridCol w:w="1684"/>
        <w:gridCol w:w="2393"/>
        <w:gridCol w:w="2482"/>
        <w:gridCol w:w="2727"/>
      </w:tblGrid>
      <w:tr w:rsidR="00876708" w:rsidRPr="005D2B87" w14:paraId="5D0439F3" w14:textId="77777777" w:rsidTr="009F10D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84" w:type="dxa"/>
          </w:tcPr>
          <w:p w14:paraId="70F53490" w14:textId="77777777" w:rsidR="00876708" w:rsidRPr="005D2B87" w:rsidRDefault="00876708" w:rsidP="00DF64C7">
            <w:pPr>
              <w:jc w:val="left"/>
              <w:rPr>
                <w:sz w:val="20"/>
              </w:rPr>
            </w:pPr>
            <w:r w:rsidRPr="005D2B87">
              <w:rPr>
                <w:sz w:val="20"/>
              </w:rPr>
              <w:t>Oś priorytetowa</w:t>
            </w:r>
          </w:p>
        </w:tc>
        <w:tc>
          <w:tcPr>
            <w:tcW w:w="2393" w:type="dxa"/>
          </w:tcPr>
          <w:p w14:paraId="09EE6A6F" w14:textId="77777777" w:rsidR="00876708" w:rsidRPr="005D2B87" w:rsidRDefault="00876708" w:rsidP="00DF64C7">
            <w:pPr>
              <w:jc w:val="left"/>
              <w:cnfStyle w:val="100000000000" w:firstRow="1" w:lastRow="0" w:firstColumn="0" w:lastColumn="0" w:oddVBand="0" w:evenVBand="0" w:oddHBand="0" w:evenHBand="0" w:firstRowFirstColumn="0" w:firstRowLastColumn="0" w:lastRowFirstColumn="0" w:lastRowLastColumn="0"/>
              <w:rPr>
                <w:sz w:val="20"/>
              </w:rPr>
            </w:pPr>
            <w:r w:rsidRPr="00835BA9">
              <w:rPr>
                <w:sz w:val="20"/>
              </w:rPr>
              <w:t>Wartość docelowa 2023</w:t>
            </w:r>
            <w:r>
              <w:rPr>
                <w:sz w:val="20"/>
              </w:rPr>
              <w:t xml:space="preserve"> wskaźników finansowych</w:t>
            </w:r>
            <w:r w:rsidRPr="005D2B87">
              <w:rPr>
                <w:sz w:val="20"/>
              </w:rPr>
              <w:t xml:space="preserve"> (</w:t>
            </w:r>
            <w:r>
              <w:rPr>
                <w:sz w:val="20"/>
              </w:rPr>
              <w:t>EUR</w:t>
            </w:r>
            <w:r w:rsidRPr="005D2B87">
              <w:rPr>
                <w:sz w:val="20"/>
              </w:rPr>
              <w:t>)</w:t>
            </w:r>
          </w:p>
        </w:tc>
        <w:tc>
          <w:tcPr>
            <w:tcW w:w="2482" w:type="dxa"/>
          </w:tcPr>
          <w:p w14:paraId="1A75CA04" w14:textId="77777777" w:rsidR="00876708" w:rsidRPr="005D2B87" w:rsidRDefault="00876708" w:rsidP="00DF64C7">
            <w:pPr>
              <w:jc w:val="left"/>
              <w:cnfStyle w:val="100000000000" w:firstRow="1" w:lastRow="0" w:firstColumn="0" w:lastColumn="0" w:oddVBand="0" w:evenVBand="0" w:oddHBand="0" w:evenHBand="0" w:firstRowFirstColumn="0" w:firstRowLastColumn="0" w:lastRowFirstColumn="0" w:lastRowLastColumn="0"/>
              <w:rPr>
                <w:sz w:val="20"/>
              </w:rPr>
            </w:pPr>
            <w:r w:rsidRPr="005D2B87">
              <w:rPr>
                <w:sz w:val="20"/>
              </w:rPr>
              <w:t xml:space="preserve">Wartość </w:t>
            </w:r>
            <w:r>
              <w:rPr>
                <w:sz w:val="20"/>
              </w:rPr>
              <w:t>podpisanych umów (EUR)</w:t>
            </w:r>
          </w:p>
        </w:tc>
        <w:tc>
          <w:tcPr>
            <w:tcW w:w="2727" w:type="dxa"/>
          </w:tcPr>
          <w:p w14:paraId="33D3BCF1" w14:textId="77777777" w:rsidR="00876708" w:rsidRPr="005D2B87" w:rsidRDefault="00876708" w:rsidP="00DF64C7">
            <w:pPr>
              <w:jc w:val="left"/>
              <w:cnfStyle w:val="100000000000" w:firstRow="1" w:lastRow="0" w:firstColumn="0" w:lastColumn="0" w:oddVBand="0" w:evenVBand="0" w:oddHBand="0" w:evenHBand="0" w:firstRowFirstColumn="0" w:firstRowLastColumn="0" w:lastRowFirstColumn="0" w:lastRowLastColumn="0"/>
              <w:rPr>
                <w:sz w:val="20"/>
              </w:rPr>
            </w:pPr>
            <w:r>
              <w:rPr>
                <w:sz w:val="20"/>
              </w:rPr>
              <w:t>Postęp finansowy na podstawie podpisanych umów</w:t>
            </w:r>
          </w:p>
        </w:tc>
      </w:tr>
      <w:tr w:rsidR="00876708" w:rsidRPr="005D2B87" w14:paraId="2B749A1D" w14:textId="77777777" w:rsidTr="009F10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4" w:type="dxa"/>
          </w:tcPr>
          <w:p w14:paraId="062FF54D" w14:textId="77777777" w:rsidR="00876708" w:rsidRPr="005D2B87" w:rsidRDefault="00876708" w:rsidP="00DF64C7">
            <w:pPr>
              <w:jc w:val="left"/>
              <w:rPr>
                <w:sz w:val="20"/>
              </w:rPr>
            </w:pPr>
            <w:r w:rsidRPr="005D2B87">
              <w:rPr>
                <w:sz w:val="20"/>
              </w:rPr>
              <w:t>XI</w:t>
            </w:r>
          </w:p>
        </w:tc>
        <w:tc>
          <w:tcPr>
            <w:tcW w:w="2393" w:type="dxa"/>
          </w:tcPr>
          <w:p w14:paraId="78E22C2A" w14:textId="77777777" w:rsidR="00876708" w:rsidRPr="005D2B87" w:rsidRDefault="00876708" w:rsidP="003E5E36">
            <w:pPr>
              <w:jc w:val="right"/>
              <w:cnfStyle w:val="000000100000" w:firstRow="0" w:lastRow="0" w:firstColumn="0" w:lastColumn="0" w:oddVBand="0" w:evenVBand="0" w:oddHBand="1" w:evenHBand="0" w:firstRowFirstColumn="0" w:firstRowLastColumn="0" w:lastRowFirstColumn="0" w:lastRowLastColumn="0"/>
              <w:rPr>
                <w:sz w:val="20"/>
              </w:rPr>
            </w:pPr>
            <w:r w:rsidRPr="00835BA9">
              <w:rPr>
                <w:sz w:val="20"/>
              </w:rPr>
              <w:t>229</w:t>
            </w:r>
            <w:r>
              <w:rPr>
                <w:sz w:val="20"/>
              </w:rPr>
              <w:t xml:space="preserve"> </w:t>
            </w:r>
            <w:r w:rsidRPr="00835BA9">
              <w:rPr>
                <w:sz w:val="20"/>
              </w:rPr>
              <w:t>287</w:t>
            </w:r>
            <w:r>
              <w:rPr>
                <w:sz w:val="20"/>
              </w:rPr>
              <w:t xml:space="preserve"> </w:t>
            </w:r>
            <w:r w:rsidRPr="00835BA9">
              <w:rPr>
                <w:sz w:val="20"/>
              </w:rPr>
              <w:t>231</w:t>
            </w:r>
            <w:r>
              <w:rPr>
                <w:sz w:val="20"/>
              </w:rPr>
              <w:t xml:space="preserve"> </w:t>
            </w:r>
            <w:r w:rsidRPr="005D2B87">
              <w:rPr>
                <w:sz w:val="20"/>
              </w:rPr>
              <w:t>(EFS)</w:t>
            </w:r>
          </w:p>
        </w:tc>
        <w:tc>
          <w:tcPr>
            <w:tcW w:w="2482" w:type="dxa"/>
            <w:vAlign w:val="bottom"/>
          </w:tcPr>
          <w:p w14:paraId="17C5330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color w:val="000000"/>
                <w:sz w:val="20"/>
              </w:rPr>
              <w:t>170 589 997</w:t>
            </w:r>
          </w:p>
        </w:tc>
        <w:tc>
          <w:tcPr>
            <w:tcW w:w="2727" w:type="dxa"/>
            <w:vAlign w:val="bottom"/>
          </w:tcPr>
          <w:p w14:paraId="03428F00"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E24BD3">
              <w:rPr>
                <w:rFonts w:cs="Arial"/>
                <w:color w:val="000000"/>
                <w:sz w:val="20"/>
              </w:rPr>
              <w:t>7</w:t>
            </w:r>
            <w:r>
              <w:rPr>
                <w:rFonts w:cs="Arial"/>
                <w:color w:val="000000"/>
                <w:sz w:val="20"/>
              </w:rPr>
              <w:t>4,4</w:t>
            </w:r>
            <w:r w:rsidRPr="00E24BD3">
              <w:rPr>
                <w:rFonts w:cs="Arial"/>
                <w:color w:val="000000"/>
                <w:sz w:val="20"/>
              </w:rPr>
              <w:t>%</w:t>
            </w:r>
          </w:p>
        </w:tc>
      </w:tr>
      <w:tr w:rsidR="00876708" w:rsidRPr="005D2B87" w14:paraId="2E22BAA3" w14:textId="77777777" w:rsidTr="009F10DC">
        <w:trPr>
          <w:trHeight w:val="20"/>
        </w:trPr>
        <w:tc>
          <w:tcPr>
            <w:cnfStyle w:val="001000000000" w:firstRow="0" w:lastRow="0" w:firstColumn="1" w:lastColumn="0" w:oddVBand="0" w:evenVBand="0" w:oddHBand="0" w:evenHBand="0" w:firstRowFirstColumn="0" w:firstRowLastColumn="0" w:lastRowFirstColumn="0" w:lastRowLastColumn="0"/>
            <w:tcW w:w="1684" w:type="dxa"/>
          </w:tcPr>
          <w:p w14:paraId="33491D56" w14:textId="77777777" w:rsidR="00876708" w:rsidRPr="005D2B87" w:rsidRDefault="00876708" w:rsidP="00DF64C7">
            <w:pPr>
              <w:jc w:val="left"/>
              <w:rPr>
                <w:sz w:val="20"/>
              </w:rPr>
            </w:pPr>
            <w:r w:rsidRPr="005D2B87">
              <w:rPr>
                <w:sz w:val="20"/>
              </w:rPr>
              <w:t>XII</w:t>
            </w:r>
          </w:p>
        </w:tc>
        <w:tc>
          <w:tcPr>
            <w:tcW w:w="2393" w:type="dxa"/>
          </w:tcPr>
          <w:p w14:paraId="16F72BB6" w14:textId="77777777" w:rsidR="00876708" w:rsidRPr="005D2B87" w:rsidRDefault="00876708" w:rsidP="003E5E36">
            <w:pPr>
              <w:jc w:val="right"/>
              <w:cnfStyle w:val="000000000000" w:firstRow="0" w:lastRow="0" w:firstColumn="0" w:lastColumn="0" w:oddVBand="0" w:evenVBand="0" w:oddHBand="0" w:evenHBand="0" w:firstRowFirstColumn="0" w:firstRowLastColumn="0" w:lastRowFirstColumn="0" w:lastRowLastColumn="0"/>
              <w:rPr>
                <w:sz w:val="20"/>
              </w:rPr>
            </w:pPr>
            <w:r w:rsidRPr="00835BA9">
              <w:rPr>
                <w:sz w:val="20"/>
              </w:rPr>
              <w:t>95</w:t>
            </w:r>
            <w:r>
              <w:rPr>
                <w:sz w:val="20"/>
              </w:rPr>
              <w:t xml:space="preserve"> </w:t>
            </w:r>
            <w:r w:rsidRPr="00835BA9">
              <w:rPr>
                <w:sz w:val="20"/>
              </w:rPr>
              <w:t>412</w:t>
            </w:r>
            <w:r>
              <w:rPr>
                <w:sz w:val="20"/>
              </w:rPr>
              <w:t xml:space="preserve"> </w:t>
            </w:r>
            <w:r w:rsidRPr="00835BA9">
              <w:rPr>
                <w:sz w:val="20"/>
              </w:rPr>
              <w:t>345</w:t>
            </w:r>
            <w:r>
              <w:rPr>
                <w:sz w:val="20"/>
              </w:rPr>
              <w:t xml:space="preserve"> </w:t>
            </w:r>
            <w:r w:rsidRPr="005D2B87">
              <w:rPr>
                <w:sz w:val="20"/>
              </w:rPr>
              <w:t>(EFRR)</w:t>
            </w:r>
          </w:p>
        </w:tc>
        <w:tc>
          <w:tcPr>
            <w:tcW w:w="2482" w:type="dxa"/>
            <w:vAlign w:val="bottom"/>
          </w:tcPr>
          <w:p w14:paraId="235492D3"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color w:val="000000"/>
                <w:sz w:val="20"/>
              </w:rPr>
              <w:t>99 506 220</w:t>
            </w:r>
          </w:p>
        </w:tc>
        <w:tc>
          <w:tcPr>
            <w:tcW w:w="2727" w:type="dxa"/>
            <w:vAlign w:val="bottom"/>
          </w:tcPr>
          <w:p w14:paraId="7E917AD8"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color w:val="000000"/>
                <w:sz w:val="20"/>
              </w:rPr>
              <w:t>104,3</w:t>
            </w:r>
            <w:r w:rsidRPr="00E24BD3">
              <w:rPr>
                <w:rFonts w:cs="Arial"/>
                <w:color w:val="000000"/>
                <w:sz w:val="20"/>
              </w:rPr>
              <w:t>%</w:t>
            </w:r>
          </w:p>
        </w:tc>
      </w:tr>
    </w:tbl>
    <w:p w14:paraId="055ED6F6" w14:textId="77777777" w:rsidR="00876708" w:rsidRDefault="00876708" w:rsidP="00DF64C7">
      <w:pPr>
        <w:pStyle w:val="podpisrdailustracji"/>
        <w:spacing w:line="271" w:lineRule="auto"/>
        <w:jc w:val="left"/>
      </w:pPr>
      <w:r>
        <w:t xml:space="preserve">Źródło: Opracowanie własne na </w:t>
      </w:r>
      <w:r w:rsidR="003E5DB0">
        <w:t>podstawie</w:t>
      </w:r>
      <w:r>
        <w:t xml:space="preserve"> </w:t>
      </w:r>
      <w:r w:rsidR="003E5DB0">
        <w:t>monitoringu</w:t>
      </w:r>
      <w:r>
        <w:t xml:space="preserve"> wskaźników finansowych w EUR</w:t>
      </w:r>
      <w:r w:rsidRPr="001C7E6A">
        <w:t xml:space="preserve"> – stan na dzień </w:t>
      </w:r>
      <w:r>
        <w:t>1</w:t>
      </w:r>
      <w:r w:rsidRPr="001C7E6A">
        <w:t xml:space="preserve"> października 2019 r.</w:t>
      </w:r>
    </w:p>
    <w:p w14:paraId="22694362" w14:textId="77777777" w:rsidR="00876708" w:rsidRDefault="00876708" w:rsidP="00DF64C7">
      <w:pPr>
        <w:jc w:val="left"/>
      </w:pPr>
    </w:p>
    <w:p w14:paraId="3B4AB9EE" w14:textId="77777777" w:rsidR="00876708" w:rsidRDefault="00876708" w:rsidP="00DF64C7">
      <w:pPr>
        <w:jc w:val="left"/>
      </w:pPr>
      <w:r>
        <w:t>W tym przypadku efektywność ekonomiczna została obliczona na podstawie porównania średniej arytmetycznej stopnia</w:t>
      </w:r>
      <w:r w:rsidRPr="00B6467B">
        <w:t xml:space="preserve"> </w:t>
      </w:r>
      <w:r>
        <w:t xml:space="preserve">szacowanej </w:t>
      </w:r>
      <w:r w:rsidRPr="00B6467B">
        <w:t xml:space="preserve">realizacji </w:t>
      </w:r>
      <w:r>
        <w:t xml:space="preserve">wskaźników rzeczowych w 2023 r. (na podstawie popisanych umów) </w:t>
      </w:r>
      <w:r w:rsidRPr="00B6467B">
        <w:t xml:space="preserve">przez </w:t>
      </w:r>
      <w:r>
        <w:t>projekty realizowane w ramach RPO WSL 2014-2020, w </w:t>
      </w:r>
      <w:r w:rsidRPr="00B6467B">
        <w:t xml:space="preserve">odniesieniu do </w:t>
      </w:r>
      <w:r>
        <w:t>poziomu postępu finansowego obliczonego na podstawie podpisanych umów (wg. stanu na dzień 1.10.2019 r.), wyrażonego</w:t>
      </w:r>
      <w:r w:rsidRPr="00B6467B">
        <w:t xml:space="preserve"> jako % </w:t>
      </w:r>
      <w:r>
        <w:t>osiągnięcia wartości docelowej wskaźników finansowych (2023) dla</w:t>
      </w:r>
      <w:r w:rsidRPr="00B6467B">
        <w:t xml:space="preserve"> </w:t>
      </w:r>
      <w:r>
        <w:t>danej osi priorytetowej</w:t>
      </w:r>
      <w:r w:rsidRPr="00B6467B">
        <w:t>,</w:t>
      </w:r>
      <w:r>
        <w:t xml:space="preserve"> który wynika z podpisanych umów,</w:t>
      </w:r>
      <w:r w:rsidRPr="00B6467B">
        <w:t xml:space="preserve"> w podziale na poszczególne typy projektów.</w:t>
      </w:r>
    </w:p>
    <w:p w14:paraId="3CCBA332" w14:textId="77777777" w:rsidR="00876708" w:rsidRDefault="00876708" w:rsidP="00DF64C7">
      <w:pPr>
        <w:jc w:val="left"/>
      </w:pPr>
    </w:p>
    <w:p w14:paraId="6B4096CB" w14:textId="77777777" w:rsidR="00876708" w:rsidRDefault="00876708" w:rsidP="00DF64C7">
      <w:pPr>
        <w:spacing w:after="720"/>
        <w:jc w:val="left"/>
      </w:pPr>
      <m:oMathPara>
        <m:oMath>
          <m:r>
            <w:rPr>
              <w:rFonts w:ascii="Cambria Math" w:hAnsi="Cambria Math"/>
            </w:rPr>
            <m:t xml:space="preserve">Efektywność ekonomiczna= </m:t>
          </m:r>
          <m:f>
            <m:fPr>
              <m:ctrlPr>
                <w:rPr>
                  <w:rFonts w:ascii="Cambria Math" w:hAnsi="Cambria Math"/>
                  <w:i/>
                </w:rPr>
              </m:ctrlPr>
            </m:fPr>
            <m:num>
              <m:eqArr>
                <m:eqArrPr>
                  <m:ctrlPr>
                    <w:rPr>
                      <w:rFonts w:ascii="Cambria Math" w:hAnsi="Cambria Math"/>
                      <w:i/>
                    </w:rPr>
                  </m:ctrlPr>
                </m:eqArrPr>
                <m:e>
                  <m:r>
                    <w:rPr>
                      <w:rFonts w:ascii="Cambria Math" w:hAnsi="Cambria Math"/>
                    </w:rPr>
                    <m:t>% szacowanej realizacji wskaźnika w 2023 r.</m:t>
                  </m:r>
                </m:e>
                <m:e>
                  <m:r>
                    <w:rPr>
                      <w:rFonts w:ascii="Cambria Math" w:hAnsi="Cambria Math"/>
                    </w:rPr>
                    <m:t>(na podstawie podpisanych umów)</m:t>
                  </m:r>
                </m:e>
              </m:eqArr>
            </m:num>
            <m:den>
              <m:eqArr>
                <m:eqArrPr>
                  <m:ctrlPr>
                    <w:rPr>
                      <w:rFonts w:ascii="Cambria Math" w:hAnsi="Cambria Math"/>
                      <w:i/>
                    </w:rPr>
                  </m:ctrlPr>
                </m:eqArrPr>
                <m:e>
                  <m:r>
                    <w:rPr>
                      <w:rFonts w:ascii="Cambria Math" w:hAnsi="Cambria Math"/>
                    </w:rPr>
                    <m:t xml:space="preserve">Poziom postępu finansowego </m:t>
                  </m:r>
                </m:e>
                <m:e>
                  <m:r>
                    <w:rPr>
                      <w:rFonts w:ascii="Cambria Math" w:hAnsi="Cambria Math"/>
                    </w:rPr>
                    <m:t>(na podstawie wpodpisanych umów)</m:t>
                  </m:r>
                </m:e>
              </m:eqArr>
            </m:den>
          </m:f>
        </m:oMath>
      </m:oMathPara>
    </w:p>
    <w:p w14:paraId="27E5DD96" w14:textId="77777777" w:rsidR="00876708" w:rsidRDefault="00876708" w:rsidP="00DF64C7">
      <w:pPr>
        <w:jc w:val="left"/>
      </w:pPr>
      <w:r>
        <w:t xml:space="preserve">Natomiast obliczając efektywność kosztową na podstawie popisanych umów można zauważyć, że w przypadku działania 11.1. nie zidentyfikowano wskaźników, których realizacja szacowana na podstawie podpisanych umów nie osiągnie przyjętych wartości docelowych dla 2023 r.), a szacowany poziom realizacji wskaźników oscyluje pomiędzy 100% (wskaźnik: </w:t>
      </w:r>
      <w:r w:rsidRPr="001C7E6A">
        <w:t>Liczba dzieci objętych w ramach programu dodatkowymi zajęciami zwiększającymi ich szanse edukacyjne w edukacji przedszkolnej</w:t>
      </w:r>
      <w:r>
        <w:t>) a 486% (wskaźnik: liczba szkół i </w:t>
      </w:r>
      <w:r w:rsidRPr="004E3A78">
        <w:t>placówek systemu oświaty wykorzystujących sprzęt TIK do prowadzenia zajęć edukacyjnych</w:t>
      </w:r>
      <w:r>
        <w:t xml:space="preserve">), co przekłada się na osiągnięcie efektywności ekonomicznej na kolejno na poziomie: 1,34 i 6,53. </w:t>
      </w:r>
    </w:p>
    <w:p w14:paraId="38729670" w14:textId="77777777" w:rsidR="00876708" w:rsidRDefault="00876708" w:rsidP="00DF64C7">
      <w:pPr>
        <w:jc w:val="left"/>
      </w:pPr>
      <w:r>
        <w:t>Jak wynika z szacowanej realizacji wskaźników dla działania 11.2. - w przypadku EFS zidentyfikowano dwa wskaźniki, które nie przekraczają 100% szacowanej</w:t>
      </w:r>
      <w:r w:rsidRPr="00B76AF1">
        <w:t xml:space="preserve"> realizacj</w:t>
      </w:r>
      <w:r w:rsidR="003E5DB0">
        <w:t>i</w:t>
      </w:r>
      <w:r w:rsidRPr="00B76AF1">
        <w:t xml:space="preserve"> na podstawie podpisanych umów</w:t>
      </w:r>
      <w:r>
        <w:t xml:space="preserve">, są to: </w:t>
      </w:r>
      <w:r w:rsidRPr="001076CC">
        <w:t>Liczba uczniów objętych wsparciem w zakresie rozwijania kompetencji kluczowych lub umiejętności uniwersalnych niezbędnych na rynku pracy w programie</w:t>
      </w:r>
      <w:r>
        <w:t xml:space="preserve"> (24%) oraz </w:t>
      </w:r>
      <w:r w:rsidRPr="001076CC">
        <w:t>Liczba uczniów, którzy nabyli kompetencje kluczowe lub umiejętności uniwersalne niezbędne na rynku pracy po opuszczeniu programu</w:t>
      </w:r>
      <w:r>
        <w:t xml:space="preserve"> (35%) – wskaźniki te zostały dodane po aktualizacji RPO. Są one przypisane również do innych działań i z perspektywy globalnej ich realizacja nie jest zagrożona. Pozostałe wskaźniki osiągnęły wartość pomiędzy 221% (</w:t>
      </w:r>
      <w:r w:rsidRPr="001076CC">
        <w:t>Liczba szkół i placówek kształ</w:t>
      </w:r>
      <w:r>
        <w:t>cenia zawodowego doposażonych w </w:t>
      </w:r>
      <w:r w:rsidRPr="001076CC">
        <w:t>programie w sprzęt i materiały dydaktyczne niezbędne do realizacji kształcenia zawodowego</w:t>
      </w:r>
      <w:r>
        <w:t>) a 778% (</w:t>
      </w:r>
      <w:r w:rsidRPr="001076CC">
        <w:t>Liczba nauczycieli kształcenia zawodowego oraz instruktorów praktycznej nauki zawodu, którzy uzyskali kwalifikacje lub nabyli kompetencje po opuszczeniu programu</w:t>
      </w:r>
      <w:r>
        <w:t xml:space="preserve">). Powyższe wskaźniki osiągnęły efektywność ekonomiczną na poziomie </w:t>
      </w:r>
      <w:r w:rsidR="003E5DB0">
        <w:t xml:space="preserve">między </w:t>
      </w:r>
      <w:r>
        <w:t>0,32 (najniższa efektywność) a 10,45 (najwyższa efektywność).</w:t>
      </w:r>
    </w:p>
    <w:p w14:paraId="1F022373" w14:textId="77777777" w:rsidR="00876708" w:rsidRDefault="00876708" w:rsidP="00DF64C7">
      <w:pPr>
        <w:jc w:val="left"/>
      </w:pPr>
      <w:r>
        <w:t>Z kolei w ramach działania 11.3 Regionalnego Programu Operacyjnego Województwa Śląskiego zidentyfikowano najwyższy szacowany poziom realizacji wskaźników EFS, który wynosi 4244%, co przekłada się na efektywność ekonomiczną wynoszącą 56,21. W ramach działania 11.3 odnotowano również jeden wskaźnik, któ</w:t>
      </w:r>
      <w:r w:rsidR="003E5DB0">
        <w:t>r</w:t>
      </w:r>
      <w:r>
        <w:t xml:space="preserve">ego realizacja na poziomie docelowym jest zagrożona, tj.: </w:t>
      </w:r>
      <w:r w:rsidRPr="008E308E">
        <w:t>Liczba osób uczestniczących w szkolnych formach kształcenia w programie</w:t>
      </w:r>
      <w:r>
        <w:t xml:space="preserve"> (14% - efektywność na poziomie 0,19).</w:t>
      </w:r>
    </w:p>
    <w:p w14:paraId="3016C7AC" w14:textId="77777777" w:rsidR="00876708" w:rsidRDefault="00876708" w:rsidP="00DF64C7">
      <w:pPr>
        <w:jc w:val="left"/>
      </w:pPr>
      <w:r>
        <w:t xml:space="preserve">Z kolei szacowany poziom realizacji wskaźników EFS dla działania 11.4 kształtuje się na poziomie pomiędzy 105% (wskaźnik: </w:t>
      </w:r>
      <w:r w:rsidRPr="008E308E">
        <w:t>Liczba osób o niskich kwalifikacjach objętych wsparciem w programie</w:t>
      </w:r>
      <w:r>
        <w:t xml:space="preserve">) a 220% (wskaźnik: </w:t>
      </w:r>
      <w:r w:rsidRPr="008E308E">
        <w:t>Liczba osób w wieku 25 lat i więcej, które uzyskały kwalifikacje lub nabyły kompetencje po opuszczeniu</w:t>
      </w:r>
      <w:r>
        <w:t>), co w konsekwencji kształtuje poziom efektywności kosztowej pomiędzy 1,42 i 2,96.</w:t>
      </w:r>
    </w:p>
    <w:p w14:paraId="74F6E39A" w14:textId="77777777" w:rsidR="00876708" w:rsidRDefault="00876708" w:rsidP="00DF64C7">
      <w:pPr>
        <w:jc w:val="left"/>
      </w:pPr>
    </w:p>
    <w:p w14:paraId="3E868E25" w14:textId="77777777" w:rsidR="00876708" w:rsidRDefault="00876708" w:rsidP="00DF64C7">
      <w:pPr>
        <w:jc w:val="left"/>
      </w:pPr>
    </w:p>
    <w:p w14:paraId="4B07FD61" w14:textId="77777777" w:rsidR="00876708" w:rsidRDefault="00876708" w:rsidP="00DF64C7">
      <w:pPr>
        <w:jc w:val="left"/>
        <w:sectPr w:rsidR="00876708" w:rsidSect="00174F8C">
          <w:footerReference w:type="default" r:id="rId31"/>
          <w:pgSz w:w="11906" w:h="16838"/>
          <w:pgMar w:top="1418" w:right="1418" w:bottom="1418" w:left="1418" w:header="709" w:footer="709" w:gutter="0"/>
          <w:cols w:space="708"/>
          <w:docGrid w:linePitch="360"/>
        </w:sectPr>
      </w:pPr>
    </w:p>
    <w:p w14:paraId="0C904736" w14:textId="0883DEE2" w:rsidR="00876708" w:rsidRDefault="00876708" w:rsidP="00DF64C7">
      <w:pPr>
        <w:pStyle w:val="Legenda"/>
        <w:spacing w:line="271" w:lineRule="auto"/>
        <w:jc w:val="left"/>
      </w:pPr>
      <w:r>
        <w:t xml:space="preserve">Tabela </w:t>
      </w:r>
      <w:r>
        <w:rPr>
          <w:noProof/>
        </w:rPr>
        <w:fldChar w:fldCharType="begin"/>
      </w:r>
      <w:r>
        <w:rPr>
          <w:noProof/>
        </w:rPr>
        <w:instrText xml:space="preserve"> SEQ Tabela \* ARABIC </w:instrText>
      </w:r>
      <w:r>
        <w:rPr>
          <w:noProof/>
        </w:rPr>
        <w:fldChar w:fldCharType="separate"/>
      </w:r>
      <w:r w:rsidR="00A8147E">
        <w:rPr>
          <w:noProof/>
        </w:rPr>
        <w:t>26</w:t>
      </w:r>
      <w:r>
        <w:rPr>
          <w:noProof/>
        </w:rPr>
        <w:fldChar w:fldCharType="end"/>
      </w:r>
      <w:r>
        <w:t>. Efektywność kosztowa w ramach poszczególnych wskaźników na podstawie podpisanych umów (kontraktacja)</w:t>
      </w:r>
    </w:p>
    <w:tbl>
      <w:tblPr>
        <w:tblStyle w:val="redniasiatka3akcent6"/>
        <w:tblW w:w="14282" w:type="dxa"/>
        <w:tblLayout w:type="fixed"/>
        <w:tblLook w:val="04A0" w:firstRow="1" w:lastRow="0" w:firstColumn="1" w:lastColumn="0" w:noHBand="0" w:noVBand="1"/>
        <w:tblCaption w:val="Efektywność kosztowa w ramach poszczególnych wskaźników"/>
        <w:tblDescription w:val="Tabela przedstawia efektywność kosztową obliczoną dla poszczególnych wskaźników, w tym: wartość docelową na rok 2023; szacowaną realizację (na podstawie podpisanych umów); procentową wartość szacowanej realizacji; wskaźnik efektywności kosztowej."/>
      </w:tblPr>
      <w:tblGrid>
        <w:gridCol w:w="534"/>
        <w:gridCol w:w="992"/>
        <w:gridCol w:w="6804"/>
        <w:gridCol w:w="992"/>
        <w:gridCol w:w="2268"/>
        <w:gridCol w:w="1418"/>
        <w:gridCol w:w="1274"/>
      </w:tblGrid>
      <w:tr w:rsidR="00876708" w:rsidRPr="00142E5C" w14:paraId="44592425" w14:textId="77777777" w:rsidTr="009F10DC">
        <w:trPr>
          <w:cnfStyle w:val="100000000000" w:firstRow="1" w:lastRow="0" w:firstColumn="0" w:lastColumn="0" w:oddVBand="0" w:evenVBand="0" w:oddHBand="0" w:evenHBand="0" w:firstRowFirstColumn="0" w:firstRowLastColumn="0" w:lastRowFirstColumn="0" w:lastRowLastColumn="0"/>
          <w:trHeight w:val="632"/>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6089559" w14:textId="77777777" w:rsidR="00876708" w:rsidRPr="00142E5C" w:rsidRDefault="00876708" w:rsidP="00DF64C7">
            <w:pPr>
              <w:jc w:val="left"/>
              <w:rPr>
                <w:sz w:val="18"/>
              </w:rPr>
            </w:pPr>
            <w:r w:rsidRPr="00142E5C">
              <w:rPr>
                <w:sz w:val="18"/>
              </w:rPr>
              <w:t>OP</w:t>
            </w:r>
          </w:p>
        </w:tc>
        <w:tc>
          <w:tcPr>
            <w:tcW w:w="992" w:type="dxa"/>
            <w:vAlign w:val="center"/>
          </w:tcPr>
          <w:p w14:paraId="625629AF" w14:textId="77777777" w:rsidR="00876708" w:rsidRPr="00B830C7" w:rsidRDefault="00876708" w:rsidP="00DF64C7">
            <w:pPr>
              <w:jc w:val="left"/>
              <w:cnfStyle w:val="100000000000" w:firstRow="1" w:lastRow="0" w:firstColumn="0" w:lastColumn="0" w:oddVBand="0" w:evenVBand="0" w:oddHBand="0" w:evenHBand="0" w:firstRowFirstColumn="0" w:firstRowLastColumn="0" w:lastRowFirstColumn="0" w:lastRowLastColumn="0"/>
              <w:rPr>
                <w:sz w:val="17"/>
                <w:szCs w:val="17"/>
              </w:rPr>
            </w:pPr>
            <w:r w:rsidRPr="00B830C7">
              <w:rPr>
                <w:sz w:val="17"/>
                <w:szCs w:val="17"/>
              </w:rPr>
              <w:t>Działanie</w:t>
            </w:r>
          </w:p>
        </w:tc>
        <w:tc>
          <w:tcPr>
            <w:tcW w:w="6804" w:type="dxa"/>
            <w:vAlign w:val="center"/>
          </w:tcPr>
          <w:p w14:paraId="1E89FAD0" w14:textId="77777777" w:rsidR="00876708" w:rsidRPr="00142E5C" w:rsidRDefault="00876708" w:rsidP="00DF64C7">
            <w:pPr>
              <w:jc w:val="left"/>
              <w:cnfStyle w:val="100000000000" w:firstRow="1" w:lastRow="0" w:firstColumn="0" w:lastColumn="0" w:oddVBand="0" w:evenVBand="0" w:oddHBand="0" w:evenHBand="0" w:firstRowFirstColumn="0" w:firstRowLastColumn="0" w:lastRowFirstColumn="0" w:lastRowLastColumn="0"/>
              <w:rPr>
                <w:sz w:val="18"/>
              </w:rPr>
            </w:pPr>
            <w:r w:rsidRPr="00142E5C">
              <w:rPr>
                <w:sz w:val="18"/>
              </w:rPr>
              <w:t>Nazwa wskaźnika</w:t>
            </w:r>
          </w:p>
        </w:tc>
        <w:tc>
          <w:tcPr>
            <w:tcW w:w="992" w:type="dxa"/>
            <w:vAlign w:val="center"/>
          </w:tcPr>
          <w:p w14:paraId="2E67C80B" w14:textId="77777777" w:rsidR="00876708" w:rsidRPr="00B830C7" w:rsidRDefault="00876708" w:rsidP="00DF64C7">
            <w:pPr>
              <w:jc w:val="left"/>
              <w:cnfStyle w:val="100000000000" w:firstRow="1" w:lastRow="0" w:firstColumn="0" w:lastColumn="0" w:oddVBand="0" w:evenVBand="0" w:oddHBand="0" w:evenHBand="0" w:firstRowFirstColumn="0" w:firstRowLastColumn="0" w:lastRowFirstColumn="0" w:lastRowLastColumn="0"/>
              <w:rPr>
                <w:sz w:val="17"/>
                <w:szCs w:val="17"/>
              </w:rPr>
            </w:pPr>
            <w:r w:rsidRPr="00B830C7">
              <w:rPr>
                <w:sz w:val="17"/>
                <w:szCs w:val="17"/>
              </w:rPr>
              <w:t>Wartość docelowa 2023 r.</w:t>
            </w:r>
          </w:p>
        </w:tc>
        <w:tc>
          <w:tcPr>
            <w:tcW w:w="2268" w:type="dxa"/>
            <w:vAlign w:val="center"/>
          </w:tcPr>
          <w:p w14:paraId="5E72169A" w14:textId="77777777" w:rsidR="00876708" w:rsidRPr="00142E5C" w:rsidRDefault="00876708" w:rsidP="00DF64C7">
            <w:pPr>
              <w:jc w:val="left"/>
              <w:cnfStyle w:val="100000000000" w:firstRow="1" w:lastRow="0" w:firstColumn="0" w:lastColumn="0" w:oddVBand="0" w:evenVBand="0" w:oddHBand="0" w:evenHBand="0" w:firstRowFirstColumn="0" w:firstRowLastColumn="0" w:lastRowFirstColumn="0" w:lastRowLastColumn="0"/>
              <w:rPr>
                <w:sz w:val="18"/>
              </w:rPr>
            </w:pPr>
            <w:r>
              <w:rPr>
                <w:sz w:val="18"/>
              </w:rPr>
              <w:t xml:space="preserve">Szacowana realizacja </w:t>
            </w:r>
            <w:r>
              <w:rPr>
                <w:sz w:val="18"/>
              </w:rPr>
              <w:br/>
              <w:t>(na podpisanych umów)</w:t>
            </w:r>
          </w:p>
        </w:tc>
        <w:tc>
          <w:tcPr>
            <w:tcW w:w="1418" w:type="dxa"/>
            <w:vAlign w:val="center"/>
          </w:tcPr>
          <w:p w14:paraId="59D9EC28" w14:textId="77777777" w:rsidR="00876708" w:rsidRPr="00142E5C" w:rsidRDefault="00876708" w:rsidP="00DF64C7">
            <w:pPr>
              <w:jc w:val="left"/>
              <w:cnfStyle w:val="100000000000" w:firstRow="1" w:lastRow="0" w:firstColumn="0" w:lastColumn="0" w:oddVBand="0" w:evenVBand="0" w:oddHBand="0" w:evenHBand="0" w:firstRowFirstColumn="0" w:firstRowLastColumn="0" w:lastRowFirstColumn="0" w:lastRowLastColumn="0"/>
              <w:rPr>
                <w:sz w:val="18"/>
              </w:rPr>
            </w:pPr>
            <w:r>
              <w:rPr>
                <w:sz w:val="18"/>
              </w:rPr>
              <w:t>% szacowanej realizacji</w:t>
            </w:r>
          </w:p>
        </w:tc>
        <w:tc>
          <w:tcPr>
            <w:tcW w:w="1274" w:type="dxa"/>
            <w:vAlign w:val="center"/>
          </w:tcPr>
          <w:p w14:paraId="1845AF0C" w14:textId="77777777" w:rsidR="00876708" w:rsidRPr="00B830C7" w:rsidRDefault="00876708" w:rsidP="00DF64C7">
            <w:pPr>
              <w:jc w:val="left"/>
              <w:cnfStyle w:val="100000000000" w:firstRow="1" w:lastRow="0" w:firstColumn="0" w:lastColumn="0" w:oddVBand="0" w:evenVBand="0" w:oddHBand="0" w:evenHBand="0" w:firstRowFirstColumn="0" w:firstRowLastColumn="0" w:lastRowFirstColumn="0" w:lastRowLastColumn="0"/>
              <w:rPr>
                <w:sz w:val="17"/>
                <w:szCs w:val="17"/>
              </w:rPr>
            </w:pPr>
            <w:r w:rsidRPr="00B830C7">
              <w:rPr>
                <w:sz w:val="17"/>
                <w:szCs w:val="17"/>
              </w:rPr>
              <w:t>Efektywność kosztowa (wskaźnik)</w:t>
            </w:r>
          </w:p>
        </w:tc>
      </w:tr>
      <w:tr w:rsidR="00876708" w:rsidRPr="00142E5C" w14:paraId="7FDFE1A3" w14:textId="77777777" w:rsidTr="009F10D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4282" w:type="dxa"/>
            <w:gridSpan w:val="7"/>
          </w:tcPr>
          <w:p w14:paraId="2ACC6F8B" w14:textId="77777777" w:rsidR="00876708" w:rsidRPr="00142E5C" w:rsidRDefault="00876708" w:rsidP="00DF64C7">
            <w:pPr>
              <w:jc w:val="left"/>
              <w:rPr>
                <w:sz w:val="18"/>
              </w:rPr>
            </w:pPr>
            <w:r>
              <w:rPr>
                <w:sz w:val="18"/>
              </w:rPr>
              <w:t>Ramy wykonania</w:t>
            </w:r>
          </w:p>
        </w:tc>
      </w:tr>
      <w:tr w:rsidR="00876708" w:rsidRPr="00142E5C" w14:paraId="7587372E" w14:textId="77777777" w:rsidTr="00DA127E">
        <w:trPr>
          <w:trHeight w:val="202"/>
        </w:trPr>
        <w:tc>
          <w:tcPr>
            <w:cnfStyle w:val="001000000000" w:firstRow="0" w:lastRow="0" w:firstColumn="1" w:lastColumn="0" w:oddVBand="0" w:evenVBand="0" w:oddHBand="0" w:evenHBand="0" w:firstRowFirstColumn="0" w:firstRowLastColumn="0" w:lastRowFirstColumn="0" w:lastRowLastColumn="0"/>
            <w:tcW w:w="534" w:type="dxa"/>
            <w:vMerge w:val="restart"/>
          </w:tcPr>
          <w:p w14:paraId="4AE0289E" w14:textId="77777777" w:rsidR="00876708" w:rsidRPr="00142E5C" w:rsidRDefault="00876708" w:rsidP="00DF64C7">
            <w:pPr>
              <w:jc w:val="left"/>
              <w:rPr>
                <w:sz w:val="18"/>
              </w:rPr>
            </w:pPr>
            <w:r>
              <w:rPr>
                <w:sz w:val="18"/>
              </w:rPr>
              <w:t>XI</w:t>
            </w:r>
          </w:p>
        </w:tc>
        <w:tc>
          <w:tcPr>
            <w:tcW w:w="992" w:type="dxa"/>
            <w:vAlign w:val="bottom"/>
          </w:tcPr>
          <w:p w14:paraId="14831FBA"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sz w:val="18"/>
                <w:szCs w:val="18"/>
              </w:rPr>
            </w:pPr>
            <w:r w:rsidRPr="00E24BD3">
              <w:rPr>
                <w:rFonts w:ascii="Calibri" w:hAnsi="Calibri" w:cs="Calibri"/>
                <w:color w:val="000000"/>
                <w:sz w:val="18"/>
                <w:szCs w:val="18"/>
              </w:rPr>
              <w:t>11.1</w:t>
            </w:r>
          </w:p>
        </w:tc>
        <w:tc>
          <w:tcPr>
            <w:tcW w:w="6804" w:type="dxa"/>
            <w:vAlign w:val="bottom"/>
          </w:tcPr>
          <w:p w14:paraId="0564CC62"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uczniów objętych wsparciem w zakresie rozwijania kompetencji kluczowych lub umiejętności uniwersalnych niezbędnych na rynku pracy w programie</w:t>
            </w:r>
          </w:p>
        </w:tc>
        <w:tc>
          <w:tcPr>
            <w:tcW w:w="992" w:type="dxa"/>
            <w:vAlign w:val="center"/>
          </w:tcPr>
          <w:p w14:paraId="07018CB8"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48263</w:t>
            </w:r>
          </w:p>
        </w:tc>
        <w:tc>
          <w:tcPr>
            <w:tcW w:w="2268" w:type="dxa"/>
            <w:vAlign w:val="center"/>
          </w:tcPr>
          <w:p w14:paraId="61801C66"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85561</w:t>
            </w:r>
          </w:p>
        </w:tc>
        <w:tc>
          <w:tcPr>
            <w:tcW w:w="1418" w:type="dxa"/>
            <w:vAlign w:val="center"/>
          </w:tcPr>
          <w:p w14:paraId="0ACE5FAE"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177%</w:t>
            </w:r>
          </w:p>
        </w:tc>
        <w:tc>
          <w:tcPr>
            <w:tcW w:w="1274" w:type="dxa"/>
            <w:vAlign w:val="center"/>
          </w:tcPr>
          <w:p w14:paraId="2A395BE5" w14:textId="77777777" w:rsidR="00876708" w:rsidRPr="00DA127E"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A127E">
              <w:rPr>
                <w:rFonts w:asciiTheme="minorHAnsi" w:hAnsiTheme="minorHAnsi" w:cstheme="minorHAnsi"/>
                <w:sz w:val="18"/>
                <w:szCs w:val="18"/>
              </w:rPr>
              <w:t>2,38</w:t>
            </w:r>
          </w:p>
        </w:tc>
      </w:tr>
      <w:tr w:rsidR="00876708" w:rsidRPr="00142E5C" w14:paraId="7B573756" w14:textId="77777777" w:rsidTr="00DA127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5F5CDB7E" w14:textId="77777777" w:rsidR="00876708" w:rsidRPr="00142E5C" w:rsidRDefault="00876708" w:rsidP="00DF64C7">
            <w:pPr>
              <w:jc w:val="left"/>
              <w:rPr>
                <w:sz w:val="18"/>
              </w:rPr>
            </w:pPr>
          </w:p>
        </w:tc>
        <w:tc>
          <w:tcPr>
            <w:tcW w:w="992" w:type="dxa"/>
            <w:vAlign w:val="bottom"/>
          </w:tcPr>
          <w:p w14:paraId="085D4D50"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sz w:val="18"/>
                <w:szCs w:val="18"/>
              </w:rPr>
            </w:pPr>
            <w:r w:rsidRPr="00E24BD3">
              <w:rPr>
                <w:rFonts w:ascii="Calibri" w:hAnsi="Calibri" w:cs="Calibri"/>
                <w:color w:val="000000"/>
                <w:sz w:val="18"/>
                <w:szCs w:val="18"/>
              </w:rPr>
              <w:t>11.1</w:t>
            </w:r>
          </w:p>
        </w:tc>
        <w:tc>
          <w:tcPr>
            <w:tcW w:w="6804" w:type="dxa"/>
            <w:vAlign w:val="bottom"/>
          </w:tcPr>
          <w:p w14:paraId="7E6BB60C"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uczniów objętych wsparciem w zakresie rozwijania kompetencji kluczowych lub umiejętności uniwersalnych niezbędnych na rynku pracy w programie - mężczyźni</w:t>
            </w:r>
          </w:p>
        </w:tc>
        <w:tc>
          <w:tcPr>
            <w:tcW w:w="992" w:type="dxa"/>
            <w:vAlign w:val="center"/>
          </w:tcPr>
          <w:p w14:paraId="0533EF36"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22098</w:t>
            </w:r>
          </w:p>
        </w:tc>
        <w:tc>
          <w:tcPr>
            <w:tcW w:w="2268" w:type="dxa"/>
            <w:vAlign w:val="center"/>
          </w:tcPr>
          <w:p w14:paraId="346CA00B"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40287</w:t>
            </w:r>
          </w:p>
        </w:tc>
        <w:tc>
          <w:tcPr>
            <w:tcW w:w="1418" w:type="dxa"/>
            <w:vAlign w:val="center"/>
          </w:tcPr>
          <w:p w14:paraId="46448D07"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182%</w:t>
            </w:r>
          </w:p>
        </w:tc>
        <w:tc>
          <w:tcPr>
            <w:tcW w:w="1274" w:type="dxa"/>
            <w:vAlign w:val="center"/>
          </w:tcPr>
          <w:p w14:paraId="4EE326E0" w14:textId="77777777" w:rsidR="00876708" w:rsidRPr="00DA127E"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A127E">
              <w:rPr>
                <w:rFonts w:asciiTheme="minorHAnsi" w:hAnsiTheme="minorHAnsi" w:cstheme="minorHAnsi"/>
                <w:sz w:val="18"/>
                <w:szCs w:val="18"/>
              </w:rPr>
              <w:t>2,45</w:t>
            </w:r>
          </w:p>
        </w:tc>
      </w:tr>
      <w:tr w:rsidR="00876708" w:rsidRPr="00142E5C" w14:paraId="3F4D7739" w14:textId="77777777" w:rsidTr="00DA127E">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5BF2E7E2" w14:textId="77777777" w:rsidR="00876708" w:rsidRPr="00142E5C" w:rsidRDefault="00876708" w:rsidP="00DF64C7">
            <w:pPr>
              <w:jc w:val="left"/>
              <w:rPr>
                <w:sz w:val="18"/>
              </w:rPr>
            </w:pPr>
          </w:p>
        </w:tc>
        <w:tc>
          <w:tcPr>
            <w:tcW w:w="992" w:type="dxa"/>
            <w:vAlign w:val="bottom"/>
          </w:tcPr>
          <w:p w14:paraId="10B6BCDE"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sz w:val="18"/>
                <w:szCs w:val="18"/>
              </w:rPr>
            </w:pPr>
            <w:r w:rsidRPr="00E24BD3">
              <w:rPr>
                <w:rFonts w:ascii="Calibri" w:hAnsi="Calibri" w:cs="Calibri"/>
                <w:color w:val="000000"/>
                <w:sz w:val="18"/>
                <w:szCs w:val="18"/>
              </w:rPr>
              <w:t>11.1</w:t>
            </w:r>
          </w:p>
        </w:tc>
        <w:tc>
          <w:tcPr>
            <w:tcW w:w="6804" w:type="dxa"/>
            <w:vAlign w:val="bottom"/>
          </w:tcPr>
          <w:p w14:paraId="4D785C7A"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uczniów objętych wsparciem w zakresie rozwijania kompetencji kluczowych lub umiejętności uniwersalnych niezbędnych na rynku pracy w programie - kobiety</w:t>
            </w:r>
          </w:p>
        </w:tc>
        <w:tc>
          <w:tcPr>
            <w:tcW w:w="992" w:type="dxa"/>
            <w:vAlign w:val="center"/>
          </w:tcPr>
          <w:p w14:paraId="1D808745"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26165</w:t>
            </w:r>
          </w:p>
        </w:tc>
        <w:tc>
          <w:tcPr>
            <w:tcW w:w="2268" w:type="dxa"/>
            <w:vAlign w:val="center"/>
          </w:tcPr>
          <w:p w14:paraId="66D21876"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41149</w:t>
            </w:r>
          </w:p>
        </w:tc>
        <w:tc>
          <w:tcPr>
            <w:tcW w:w="1418" w:type="dxa"/>
            <w:vAlign w:val="center"/>
          </w:tcPr>
          <w:p w14:paraId="25016220"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157%</w:t>
            </w:r>
          </w:p>
        </w:tc>
        <w:tc>
          <w:tcPr>
            <w:tcW w:w="1274" w:type="dxa"/>
            <w:vAlign w:val="center"/>
          </w:tcPr>
          <w:p w14:paraId="411E37BF" w14:textId="77777777" w:rsidR="00876708" w:rsidRPr="00DA127E"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A127E">
              <w:rPr>
                <w:rFonts w:asciiTheme="minorHAnsi" w:hAnsiTheme="minorHAnsi" w:cstheme="minorHAnsi"/>
                <w:sz w:val="18"/>
                <w:szCs w:val="18"/>
              </w:rPr>
              <w:t>2,11</w:t>
            </w:r>
          </w:p>
        </w:tc>
      </w:tr>
      <w:tr w:rsidR="00876708" w:rsidRPr="00142E5C" w14:paraId="547FB4D0" w14:textId="77777777" w:rsidTr="00DA127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19E3A192" w14:textId="77777777" w:rsidR="00876708" w:rsidRPr="00142E5C" w:rsidRDefault="00876708" w:rsidP="00DF64C7">
            <w:pPr>
              <w:jc w:val="left"/>
              <w:rPr>
                <w:sz w:val="18"/>
              </w:rPr>
            </w:pPr>
          </w:p>
        </w:tc>
        <w:tc>
          <w:tcPr>
            <w:tcW w:w="992" w:type="dxa"/>
            <w:vAlign w:val="bottom"/>
          </w:tcPr>
          <w:p w14:paraId="4CBA2C0A"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sz w:val="18"/>
                <w:szCs w:val="18"/>
              </w:rPr>
            </w:pPr>
            <w:r w:rsidRPr="00E24BD3">
              <w:rPr>
                <w:rFonts w:ascii="Calibri" w:hAnsi="Calibri" w:cs="Calibri"/>
                <w:color w:val="000000"/>
                <w:sz w:val="18"/>
                <w:szCs w:val="18"/>
              </w:rPr>
              <w:t>11.2</w:t>
            </w:r>
          </w:p>
        </w:tc>
        <w:tc>
          <w:tcPr>
            <w:tcW w:w="6804" w:type="dxa"/>
            <w:vAlign w:val="bottom"/>
          </w:tcPr>
          <w:p w14:paraId="1D3858D9"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uczniów szkół i placówek kształcenia zawodowego uczestniczących w stażach i praktykach u pracodawcy</w:t>
            </w:r>
          </w:p>
        </w:tc>
        <w:tc>
          <w:tcPr>
            <w:tcW w:w="992" w:type="dxa"/>
            <w:vAlign w:val="center"/>
          </w:tcPr>
          <w:p w14:paraId="15B52ED0"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6066</w:t>
            </w:r>
          </w:p>
        </w:tc>
        <w:tc>
          <w:tcPr>
            <w:tcW w:w="2268" w:type="dxa"/>
            <w:vAlign w:val="center"/>
          </w:tcPr>
          <w:p w14:paraId="62D19AF5"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13401</w:t>
            </w:r>
          </w:p>
        </w:tc>
        <w:tc>
          <w:tcPr>
            <w:tcW w:w="1418" w:type="dxa"/>
            <w:vAlign w:val="center"/>
          </w:tcPr>
          <w:p w14:paraId="1E328817"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221%</w:t>
            </w:r>
          </w:p>
        </w:tc>
        <w:tc>
          <w:tcPr>
            <w:tcW w:w="1274" w:type="dxa"/>
            <w:vAlign w:val="center"/>
          </w:tcPr>
          <w:p w14:paraId="139BA117" w14:textId="77777777" w:rsidR="00876708" w:rsidRPr="00DA127E"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A127E">
              <w:rPr>
                <w:rFonts w:asciiTheme="minorHAnsi" w:hAnsiTheme="minorHAnsi" w:cstheme="minorHAnsi"/>
                <w:sz w:val="18"/>
                <w:szCs w:val="18"/>
              </w:rPr>
              <w:t>2,97</w:t>
            </w:r>
          </w:p>
        </w:tc>
      </w:tr>
      <w:tr w:rsidR="00876708" w:rsidRPr="00142E5C" w14:paraId="736DEDD2" w14:textId="77777777" w:rsidTr="00DA127E">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42487803" w14:textId="77777777" w:rsidR="00876708" w:rsidRPr="00142E5C" w:rsidRDefault="00876708" w:rsidP="00DF64C7">
            <w:pPr>
              <w:jc w:val="left"/>
              <w:rPr>
                <w:sz w:val="18"/>
              </w:rPr>
            </w:pPr>
          </w:p>
        </w:tc>
        <w:tc>
          <w:tcPr>
            <w:tcW w:w="992" w:type="dxa"/>
            <w:vAlign w:val="bottom"/>
          </w:tcPr>
          <w:p w14:paraId="7130ECDE"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sz w:val="18"/>
                <w:szCs w:val="18"/>
              </w:rPr>
            </w:pPr>
            <w:r w:rsidRPr="00E24BD3">
              <w:rPr>
                <w:rFonts w:ascii="Calibri" w:hAnsi="Calibri" w:cs="Calibri"/>
                <w:color w:val="000000"/>
                <w:sz w:val="18"/>
                <w:szCs w:val="18"/>
              </w:rPr>
              <w:t>11.2</w:t>
            </w:r>
          </w:p>
        </w:tc>
        <w:tc>
          <w:tcPr>
            <w:tcW w:w="6804" w:type="dxa"/>
            <w:vAlign w:val="bottom"/>
          </w:tcPr>
          <w:p w14:paraId="7CFC026C"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uczniów szkół i placówek kształcenia zawodowego uczestniczących w stażach i praktykach u pracodawcy - mężczyźni</w:t>
            </w:r>
          </w:p>
        </w:tc>
        <w:tc>
          <w:tcPr>
            <w:tcW w:w="992" w:type="dxa"/>
            <w:vAlign w:val="center"/>
          </w:tcPr>
          <w:p w14:paraId="6AF5DA26"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3943</w:t>
            </w:r>
          </w:p>
        </w:tc>
        <w:tc>
          <w:tcPr>
            <w:tcW w:w="2268" w:type="dxa"/>
            <w:vAlign w:val="center"/>
          </w:tcPr>
          <w:p w14:paraId="74BED9D0"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7932</w:t>
            </w:r>
          </w:p>
        </w:tc>
        <w:tc>
          <w:tcPr>
            <w:tcW w:w="1418" w:type="dxa"/>
            <w:vAlign w:val="center"/>
          </w:tcPr>
          <w:p w14:paraId="58B7040F"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201%</w:t>
            </w:r>
          </w:p>
        </w:tc>
        <w:tc>
          <w:tcPr>
            <w:tcW w:w="1274" w:type="dxa"/>
            <w:vAlign w:val="center"/>
          </w:tcPr>
          <w:p w14:paraId="0023AB44" w14:textId="77777777" w:rsidR="00876708" w:rsidRPr="00DA127E"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A127E">
              <w:rPr>
                <w:rFonts w:asciiTheme="minorHAnsi" w:hAnsiTheme="minorHAnsi" w:cstheme="minorHAnsi"/>
                <w:sz w:val="18"/>
                <w:szCs w:val="18"/>
              </w:rPr>
              <w:t>2,70</w:t>
            </w:r>
          </w:p>
        </w:tc>
      </w:tr>
      <w:tr w:rsidR="00876708" w:rsidRPr="00142E5C" w14:paraId="31209DC9" w14:textId="77777777" w:rsidTr="00DA127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5B49923E" w14:textId="77777777" w:rsidR="00876708" w:rsidRPr="00142E5C" w:rsidRDefault="00876708" w:rsidP="00DF64C7">
            <w:pPr>
              <w:jc w:val="left"/>
              <w:rPr>
                <w:sz w:val="18"/>
              </w:rPr>
            </w:pPr>
          </w:p>
        </w:tc>
        <w:tc>
          <w:tcPr>
            <w:tcW w:w="992" w:type="dxa"/>
            <w:vAlign w:val="bottom"/>
          </w:tcPr>
          <w:p w14:paraId="307C2D9D"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sz w:val="18"/>
                <w:szCs w:val="18"/>
              </w:rPr>
            </w:pPr>
            <w:r w:rsidRPr="00E24BD3">
              <w:rPr>
                <w:rFonts w:ascii="Calibri" w:hAnsi="Calibri" w:cs="Calibri"/>
                <w:color w:val="000000"/>
                <w:sz w:val="18"/>
                <w:szCs w:val="18"/>
              </w:rPr>
              <w:t>11.2</w:t>
            </w:r>
          </w:p>
        </w:tc>
        <w:tc>
          <w:tcPr>
            <w:tcW w:w="6804" w:type="dxa"/>
            <w:vAlign w:val="bottom"/>
          </w:tcPr>
          <w:p w14:paraId="26EEB8C1"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uczniów szkół i placówek kształcenia zawodowego uczestniczących w stażach i praktykach u pracodawcy - kobiety</w:t>
            </w:r>
          </w:p>
        </w:tc>
        <w:tc>
          <w:tcPr>
            <w:tcW w:w="992" w:type="dxa"/>
            <w:vAlign w:val="center"/>
          </w:tcPr>
          <w:p w14:paraId="2F3279FD"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2123</w:t>
            </w:r>
          </w:p>
        </w:tc>
        <w:tc>
          <w:tcPr>
            <w:tcW w:w="2268" w:type="dxa"/>
            <w:vAlign w:val="center"/>
          </w:tcPr>
          <w:p w14:paraId="3E7EA964"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4155</w:t>
            </w:r>
          </w:p>
        </w:tc>
        <w:tc>
          <w:tcPr>
            <w:tcW w:w="1418" w:type="dxa"/>
            <w:vAlign w:val="center"/>
          </w:tcPr>
          <w:p w14:paraId="1C3529F0"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196%</w:t>
            </w:r>
          </w:p>
        </w:tc>
        <w:tc>
          <w:tcPr>
            <w:tcW w:w="1274" w:type="dxa"/>
            <w:vAlign w:val="center"/>
          </w:tcPr>
          <w:p w14:paraId="3E96900A" w14:textId="77777777" w:rsidR="00876708" w:rsidRPr="00DA127E"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A127E">
              <w:rPr>
                <w:rFonts w:asciiTheme="minorHAnsi" w:hAnsiTheme="minorHAnsi" w:cstheme="minorHAnsi"/>
                <w:sz w:val="18"/>
                <w:szCs w:val="18"/>
              </w:rPr>
              <w:t>2,63</w:t>
            </w:r>
          </w:p>
        </w:tc>
      </w:tr>
      <w:tr w:rsidR="00876708" w:rsidRPr="00142E5C" w14:paraId="1C086910" w14:textId="77777777" w:rsidTr="00DA127E">
        <w:trPr>
          <w:trHeight w:val="215"/>
        </w:trPr>
        <w:tc>
          <w:tcPr>
            <w:cnfStyle w:val="001000000000" w:firstRow="0" w:lastRow="0" w:firstColumn="1" w:lastColumn="0" w:oddVBand="0" w:evenVBand="0" w:oddHBand="0" w:evenHBand="0" w:firstRowFirstColumn="0" w:firstRowLastColumn="0" w:lastRowFirstColumn="0" w:lastRowLastColumn="0"/>
            <w:tcW w:w="534" w:type="dxa"/>
            <w:vMerge w:val="restart"/>
          </w:tcPr>
          <w:p w14:paraId="4B51ECCE" w14:textId="77777777" w:rsidR="00876708" w:rsidRPr="00142E5C" w:rsidRDefault="00876708" w:rsidP="00DF64C7">
            <w:pPr>
              <w:jc w:val="left"/>
              <w:rPr>
                <w:sz w:val="18"/>
              </w:rPr>
            </w:pPr>
            <w:r>
              <w:rPr>
                <w:sz w:val="18"/>
              </w:rPr>
              <w:t>XII</w:t>
            </w:r>
          </w:p>
        </w:tc>
        <w:tc>
          <w:tcPr>
            <w:tcW w:w="992" w:type="dxa"/>
            <w:vAlign w:val="bottom"/>
          </w:tcPr>
          <w:p w14:paraId="20F66AF0"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sz w:val="18"/>
                <w:szCs w:val="18"/>
              </w:rPr>
            </w:pPr>
            <w:r w:rsidRPr="00E24BD3">
              <w:rPr>
                <w:rFonts w:ascii="Calibri" w:hAnsi="Calibri" w:cs="Calibri"/>
                <w:color w:val="000000"/>
                <w:sz w:val="18"/>
                <w:szCs w:val="18"/>
              </w:rPr>
              <w:t>12.1, 12.2</w:t>
            </w:r>
          </w:p>
        </w:tc>
        <w:tc>
          <w:tcPr>
            <w:tcW w:w="6804" w:type="dxa"/>
            <w:vAlign w:val="bottom"/>
          </w:tcPr>
          <w:p w14:paraId="28713355"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Potencjał objętej wsparciem infrastruktury w zakresie opieki nad dziećmi lub infrastruktury edukacyjnej</w:t>
            </w:r>
          </w:p>
        </w:tc>
        <w:tc>
          <w:tcPr>
            <w:tcW w:w="992" w:type="dxa"/>
            <w:vAlign w:val="center"/>
          </w:tcPr>
          <w:p w14:paraId="19CB1BEC"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32329</w:t>
            </w:r>
          </w:p>
        </w:tc>
        <w:tc>
          <w:tcPr>
            <w:tcW w:w="2268" w:type="dxa"/>
            <w:vAlign w:val="center"/>
          </w:tcPr>
          <w:p w14:paraId="1FFAF09F"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40940</w:t>
            </w:r>
          </w:p>
        </w:tc>
        <w:tc>
          <w:tcPr>
            <w:tcW w:w="1418" w:type="dxa"/>
            <w:vAlign w:val="center"/>
          </w:tcPr>
          <w:p w14:paraId="78EDCCF7"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127%</w:t>
            </w:r>
          </w:p>
        </w:tc>
        <w:tc>
          <w:tcPr>
            <w:tcW w:w="1274" w:type="dxa"/>
            <w:vAlign w:val="center"/>
          </w:tcPr>
          <w:p w14:paraId="55DD0B54" w14:textId="77777777" w:rsidR="00876708" w:rsidRPr="00DA127E"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A127E">
              <w:rPr>
                <w:rFonts w:asciiTheme="minorHAnsi" w:hAnsiTheme="minorHAnsi" w:cstheme="minorHAnsi"/>
                <w:sz w:val="18"/>
                <w:szCs w:val="18"/>
              </w:rPr>
              <w:t>1,21</w:t>
            </w:r>
          </w:p>
        </w:tc>
      </w:tr>
      <w:tr w:rsidR="00876708" w:rsidRPr="00142E5C" w14:paraId="6DC17DD6" w14:textId="77777777" w:rsidTr="00DA127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09B35299" w14:textId="77777777" w:rsidR="00876708" w:rsidRPr="00142E5C" w:rsidRDefault="00876708" w:rsidP="00DF64C7">
            <w:pPr>
              <w:jc w:val="left"/>
              <w:rPr>
                <w:sz w:val="18"/>
              </w:rPr>
            </w:pPr>
          </w:p>
        </w:tc>
        <w:tc>
          <w:tcPr>
            <w:tcW w:w="992" w:type="dxa"/>
            <w:vAlign w:val="bottom"/>
          </w:tcPr>
          <w:p w14:paraId="3F746B82"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sz w:val="18"/>
                <w:szCs w:val="18"/>
              </w:rPr>
            </w:pPr>
            <w:r w:rsidRPr="00E24BD3">
              <w:rPr>
                <w:rFonts w:ascii="Calibri" w:hAnsi="Calibri" w:cs="Calibri"/>
                <w:color w:val="000000"/>
                <w:sz w:val="18"/>
                <w:szCs w:val="18"/>
              </w:rPr>
              <w:t>12.2</w:t>
            </w:r>
          </w:p>
        </w:tc>
        <w:tc>
          <w:tcPr>
            <w:tcW w:w="6804" w:type="dxa"/>
            <w:vAlign w:val="bottom"/>
          </w:tcPr>
          <w:p w14:paraId="704D2F58"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wspartych obiektów infrastruktury kształcenia zawodowego</w:t>
            </w:r>
          </w:p>
        </w:tc>
        <w:tc>
          <w:tcPr>
            <w:tcW w:w="992" w:type="dxa"/>
            <w:vAlign w:val="center"/>
          </w:tcPr>
          <w:p w14:paraId="5C1E29FE"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52</w:t>
            </w:r>
          </w:p>
        </w:tc>
        <w:tc>
          <w:tcPr>
            <w:tcW w:w="2268" w:type="dxa"/>
            <w:vAlign w:val="center"/>
          </w:tcPr>
          <w:p w14:paraId="0C3DEC30"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136</w:t>
            </w:r>
          </w:p>
        </w:tc>
        <w:tc>
          <w:tcPr>
            <w:tcW w:w="1418" w:type="dxa"/>
            <w:vAlign w:val="center"/>
          </w:tcPr>
          <w:p w14:paraId="3E9AAB07"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262%</w:t>
            </w:r>
          </w:p>
        </w:tc>
        <w:tc>
          <w:tcPr>
            <w:tcW w:w="1274" w:type="dxa"/>
            <w:vAlign w:val="center"/>
          </w:tcPr>
          <w:p w14:paraId="4EA01138" w14:textId="77777777" w:rsidR="00876708" w:rsidRPr="00DA127E"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A127E">
              <w:rPr>
                <w:rFonts w:asciiTheme="minorHAnsi" w:hAnsiTheme="minorHAnsi" w:cstheme="minorHAnsi"/>
                <w:sz w:val="18"/>
                <w:szCs w:val="18"/>
              </w:rPr>
              <w:t>2,51</w:t>
            </w:r>
          </w:p>
        </w:tc>
      </w:tr>
      <w:tr w:rsidR="00876708" w:rsidRPr="00142E5C" w14:paraId="746166A0"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14282" w:type="dxa"/>
            <w:gridSpan w:val="7"/>
          </w:tcPr>
          <w:p w14:paraId="33057B8C" w14:textId="77777777" w:rsidR="00876708" w:rsidRPr="00142E5C" w:rsidRDefault="00876708" w:rsidP="003E5E36">
            <w:pPr>
              <w:jc w:val="right"/>
              <w:rPr>
                <w:sz w:val="18"/>
              </w:rPr>
            </w:pPr>
            <w:r>
              <w:rPr>
                <w:sz w:val="18"/>
              </w:rPr>
              <w:t>EFS</w:t>
            </w:r>
          </w:p>
        </w:tc>
      </w:tr>
      <w:tr w:rsidR="00876708" w:rsidRPr="00142E5C" w14:paraId="6618B69E"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val="restart"/>
          </w:tcPr>
          <w:p w14:paraId="57AAEDE0" w14:textId="77777777" w:rsidR="00876708" w:rsidRPr="00142E5C" w:rsidRDefault="00876708" w:rsidP="00DF64C7">
            <w:pPr>
              <w:jc w:val="left"/>
              <w:rPr>
                <w:sz w:val="18"/>
              </w:rPr>
            </w:pPr>
            <w:r>
              <w:rPr>
                <w:sz w:val="18"/>
              </w:rPr>
              <w:t>XI</w:t>
            </w:r>
          </w:p>
        </w:tc>
        <w:tc>
          <w:tcPr>
            <w:tcW w:w="992" w:type="dxa"/>
            <w:vAlign w:val="bottom"/>
          </w:tcPr>
          <w:p w14:paraId="53749DFD"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11.1</w:t>
            </w:r>
          </w:p>
        </w:tc>
        <w:tc>
          <w:tcPr>
            <w:tcW w:w="6804" w:type="dxa"/>
            <w:vAlign w:val="bottom"/>
          </w:tcPr>
          <w:p w14:paraId="3BDDD72A"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miejsc wychowania przedszkolnego dofinansowanych w programie</w:t>
            </w:r>
          </w:p>
        </w:tc>
        <w:tc>
          <w:tcPr>
            <w:tcW w:w="992" w:type="dxa"/>
            <w:vAlign w:val="bottom"/>
          </w:tcPr>
          <w:p w14:paraId="4894417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3081</w:t>
            </w:r>
          </w:p>
        </w:tc>
        <w:tc>
          <w:tcPr>
            <w:tcW w:w="2268" w:type="dxa"/>
            <w:vAlign w:val="bottom"/>
          </w:tcPr>
          <w:p w14:paraId="7A9F8E6C"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5768</w:t>
            </w:r>
          </w:p>
        </w:tc>
        <w:tc>
          <w:tcPr>
            <w:tcW w:w="1418" w:type="dxa"/>
            <w:vAlign w:val="bottom"/>
          </w:tcPr>
          <w:p w14:paraId="5627C789"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187%</w:t>
            </w:r>
          </w:p>
        </w:tc>
        <w:tc>
          <w:tcPr>
            <w:tcW w:w="1274" w:type="dxa"/>
            <w:vAlign w:val="bottom"/>
          </w:tcPr>
          <w:p w14:paraId="4F1EA7D0"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2,52</w:t>
            </w:r>
          </w:p>
        </w:tc>
      </w:tr>
      <w:tr w:rsidR="00876708" w:rsidRPr="00142E5C" w14:paraId="199C8851"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5D22C65B" w14:textId="77777777" w:rsidR="00876708" w:rsidRPr="00142E5C" w:rsidRDefault="00876708" w:rsidP="00DF64C7">
            <w:pPr>
              <w:jc w:val="left"/>
              <w:rPr>
                <w:sz w:val="18"/>
              </w:rPr>
            </w:pPr>
          </w:p>
        </w:tc>
        <w:tc>
          <w:tcPr>
            <w:tcW w:w="992" w:type="dxa"/>
            <w:vAlign w:val="bottom"/>
          </w:tcPr>
          <w:p w14:paraId="1A206DAC"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11.1</w:t>
            </w:r>
          </w:p>
        </w:tc>
        <w:tc>
          <w:tcPr>
            <w:tcW w:w="6804" w:type="dxa"/>
            <w:vAlign w:val="bottom"/>
          </w:tcPr>
          <w:p w14:paraId="691C2670"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dzieci objętych w ramach programu dodatkowymi zajęciami zwiększającymi ich szanse edukacyjne w edukacji przedszkolnej</w:t>
            </w:r>
          </w:p>
        </w:tc>
        <w:tc>
          <w:tcPr>
            <w:tcW w:w="992" w:type="dxa"/>
            <w:vAlign w:val="bottom"/>
          </w:tcPr>
          <w:p w14:paraId="77FB9769"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13984</w:t>
            </w:r>
          </w:p>
        </w:tc>
        <w:tc>
          <w:tcPr>
            <w:tcW w:w="2268" w:type="dxa"/>
            <w:vAlign w:val="bottom"/>
          </w:tcPr>
          <w:p w14:paraId="09EC9999"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13944</w:t>
            </w:r>
          </w:p>
        </w:tc>
        <w:tc>
          <w:tcPr>
            <w:tcW w:w="1418" w:type="dxa"/>
            <w:vAlign w:val="bottom"/>
          </w:tcPr>
          <w:p w14:paraId="54CD3F33"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100%</w:t>
            </w:r>
          </w:p>
        </w:tc>
        <w:tc>
          <w:tcPr>
            <w:tcW w:w="1274" w:type="dxa"/>
            <w:vAlign w:val="bottom"/>
          </w:tcPr>
          <w:p w14:paraId="60FE5F57"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1,34</w:t>
            </w:r>
          </w:p>
        </w:tc>
      </w:tr>
      <w:tr w:rsidR="00876708" w:rsidRPr="00142E5C" w14:paraId="6F7F1EBC"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25263AA2" w14:textId="77777777" w:rsidR="00876708" w:rsidRPr="00142E5C" w:rsidRDefault="00876708" w:rsidP="00DF64C7">
            <w:pPr>
              <w:jc w:val="left"/>
              <w:rPr>
                <w:sz w:val="18"/>
              </w:rPr>
            </w:pPr>
          </w:p>
        </w:tc>
        <w:tc>
          <w:tcPr>
            <w:tcW w:w="992" w:type="dxa"/>
            <w:vAlign w:val="bottom"/>
          </w:tcPr>
          <w:p w14:paraId="46A41CF6"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11.1</w:t>
            </w:r>
          </w:p>
        </w:tc>
        <w:tc>
          <w:tcPr>
            <w:tcW w:w="6804" w:type="dxa"/>
            <w:vAlign w:val="bottom"/>
          </w:tcPr>
          <w:p w14:paraId="20F7E77B"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uczniów objętych wsparciem w zakresie rozwijania kompetencji kluczowych lub umiejętności uniwersalnych niezbędnych na rynku pracy w programie</w:t>
            </w:r>
          </w:p>
        </w:tc>
        <w:tc>
          <w:tcPr>
            <w:tcW w:w="992" w:type="dxa"/>
            <w:vAlign w:val="bottom"/>
          </w:tcPr>
          <w:p w14:paraId="6178128D"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46366</w:t>
            </w:r>
          </w:p>
        </w:tc>
        <w:tc>
          <w:tcPr>
            <w:tcW w:w="2268" w:type="dxa"/>
            <w:vAlign w:val="bottom"/>
          </w:tcPr>
          <w:p w14:paraId="566CA641"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85561</w:t>
            </w:r>
          </w:p>
        </w:tc>
        <w:tc>
          <w:tcPr>
            <w:tcW w:w="1418" w:type="dxa"/>
            <w:vAlign w:val="bottom"/>
          </w:tcPr>
          <w:p w14:paraId="2132EF3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185%</w:t>
            </w:r>
          </w:p>
        </w:tc>
        <w:tc>
          <w:tcPr>
            <w:tcW w:w="1274" w:type="dxa"/>
            <w:vAlign w:val="bottom"/>
          </w:tcPr>
          <w:p w14:paraId="3A0F1400"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2,48</w:t>
            </w:r>
          </w:p>
        </w:tc>
      </w:tr>
      <w:tr w:rsidR="00876708" w:rsidRPr="00142E5C" w14:paraId="19D3796F"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7ACB1139" w14:textId="77777777" w:rsidR="00876708" w:rsidRPr="00142E5C" w:rsidRDefault="00876708" w:rsidP="00DF64C7">
            <w:pPr>
              <w:jc w:val="left"/>
              <w:rPr>
                <w:sz w:val="18"/>
              </w:rPr>
            </w:pPr>
          </w:p>
        </w:tc>
        <w:tc>
          <w:tcPr>
            <w:tcW w:w="992" w:type="dxa"/>
            <w:vAlign w:val="bottom"/>
          </w:tcPr>
          <w:p w14:paraId="5B60AC85"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11.1</w:t>
            </w:r>
          </w:p>
        </w:tc>
        <w:tc>
          <w:tcPr>
            <w:tcW w:w="6804" w:type="dxa"/>
            <w:vAlign w:val="bottom"/>
          </w:tcPr>
          <w:p w14:paraId="26C74B0D"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szkół, których pracownie przedmiotowe zostały doposażone w programie</w:t>
            </w:r>
          </w:p>
        </w:tc>
        <w:tc>
          <w:tcPr>
            <w:tcW w:w="992" w:type="dxa"/>
            <w:vAlign w:val="bottom"/>
          </w:tcPr>
          <w:p w14:paraId="4696F84E"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148</w:t>
            </w:r>
          </w:p>
        </w:tc>
        <w:tc>
          <w:tcPr>
            <w:tcW w:w="2268" w:type="dxa"/>
            <w:vAlign w:val="bottom"/>
          </w:tcPr>
          <w:p w14:paraId="28C0A639"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657</w:t>
            </w:r>
          </w:p>
        </w:tc>
        <w:tc>
          <w:tcPr>
            <w:tcW w:w="1418" w:type="dxa"/>
            <w:vAlign w:val="bottom"/>
          </w:tcPr>
          <w:p w14:paraId="01B5A30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444%</w:t>
            </w:r>
          </w:p>
        </w:tc>
        <w:tc>
          <w:tcPr>
            <w:tcW w:w="1274" w:type="dxa"/>
            <w:vAlign w:val="bottom"/>
          </w:tcPr>
          <w:p w14:paraId="303C714E"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5,97</w:t>
            </w:r>
          </w:p>
        </w:tc>
      </w:tr>
      <w:tr w:rsidR="00876708" w:rsidRPr="00142E5C" w14:paraId="0199E754"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60E6555D" w14:textId="77777777" w:rsidR="00876708" w:rsidRPr="00142E5C" w:rsidRDefault="00876708" w:rsidP="00DF64C7">
            <w:pPr>
              <w:jc w:val="left"/>
              <w:rPr>
                <w:sz w:val="18"/>
              </w:rPr>
            </w:pPr>
          </w:p>
        </w:tc>
        <w:tc>
          <w:tcPr>
            <w:tcW w:w="992" w:type="dxa"/>
            <w:vAlign w:val="bottom"/>
          </w:tcPr>
          <w:p w14:paraId="7F65B9E8"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11.1</w:t>
            </w:r>
          </w:p>
        </w:tc>
        <w:tc>
          <w:tcPr>
            <w:tcW w:w="6804" w:type="dxa"/>
            <w:vAlign w:val="bottom"/>
          </w:tcPr>
          <w:p w14:paraId="7C99F369"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szkół i placówek systemu oświaty wyposażonych w ramach programu w sprzęt TIK do prowadzenia zajęć edukacyjnych</w:t>
            </w:r>
          </w:p>
        </w:tc>
        <w:tc>
          <w:tcPr>
            <w:tcW w:w="992" w:type="dxa"/>
            <w:vAlign w:val="bottom"/>
          </w:tcPr>
          <w:p w14:paraId="391C0658"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155</w:t>
            </w:r>
          </w:p>
        </w:tc>
        <w:tc>
          <w:tcPr>
            <w:tcW w:w="2268" w:type="dxa"/>
            <w:vAlign w:val="bottom"/>
          </w:tcPr>
          <w:p w14:paraId="032C39E9"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749</w:t>
            </w:r>
          </w:p>
        </w:tc>
        <w:tc>
          <w:tcPr>
            <w:tcW w:w="1418" w:type="dxa"/>
            <w:vAlign w:val="bottom"/>
          </w:tcPr>
          <w:p w14:paraId="52B64E40"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483%</w:t>
            </w:r>
          </w:p>
        </w:tc>
        <w:tc>
          <w:tcPr>
            <w:tcW w:w="1274" w:type="dxa"/>
            <w:vAlign w:val="bottom"/>
          </w:tcPr>
          <w:p w14:paraId="36E4C658"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6,49</w:t>
            </w:r>
          </w:p>
        </w:tc>
      </w:tr>
      <w:tr w:rsidR="00876708" w:rsidRPr="00142E5C" w14:paraId="6A4627B0"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084C2E54" w14:textId="77777777" w:rsidR="00876708" w:rsidRPr="00142E5C" w:rsidRDefault="00876708" w:rsidP="00DF64C7">
            <w:pPr>
              <w:jc w:val="left"/>
              <w:rPr>
                <w:sz w:val="18"/>
              </w:rPr>
            </w:pPr>
          </w:p>
        </w:tc>
        <w:tc>
          <w:tcPr>
            <w:tcW w:w="992" w:type="dxa"/>
            <w:vAlign w:val="bottom"/>
          </w:tcPr>
          <w:p w14:paraId="6D99F174"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11.1</w:t>
            </w:r>
          </w:p>
        </w:tc>
        <w:tc>
          <w:tcPr>
            <w:tcW w:w="6804" w:type="dxa"/>
            <w:vAlign w:val="bottom"/>
          </w:tcPr>
          <w:p w14:paraId="45D0E989"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uczniów, którzy nabyli kompetencje kluczowe lub umiejętności uniwersalne niezbędne na rynku pracy po opuszczeniu programu</w:t>
            </w:r>
          </w:p>
        </w:tc>
        <w:tc>
          <w:tcPr>
            <w:tcW w:w="992" w:type="dxa"/>
            <w:vAlign w:val="bottom"/>
          </w:tcPr>
          <w:p w14:paraId="7A9C0EB3"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27819</w:t>
            </w:r>
          </w:p>
        </w:tc>
        <w:tc>
          <w:tcPr>
            <w:tcW w:w="2268" w:type="dxa"/>
            <w:vAlign w:val="bottom"/>
          </w:tcPr>
          <w:p w14:paraId="4FECD260"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71815</w:t>
            </w:r>
          </w:p>
        </w:tc>
        <w:tc>
          <w:tcPr>
            <w:tcW w:w="1418" w:type="dxa"/>
            <w:vAlign w:val="bottom"/>
          </w:tcPr>
          <w:p w14:paraId="4B4F95B3"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258%</w:t>
            </w:r>
          </w:p>
        </w:tc>
        <w:tc>
          <w:tcPr>
            <w:tcW w:w="1274" w:type="dxa"/>
            <w:vAlign w:val="bottom"/>
          </w:tcPr>
          <w:p w14:paraId="472ED249"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3,47</w:t>
            </w:r>
          </w:p>
        </w:tc>
      </w:tr>
      <w:tr w:rsidR="00876708" w:rsidRPr="00142E5C" w14:paraId="2AE6CA46"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206D7DBB" w14:textId="77777777" w:rsidR="00876708" w:rsidRPr="00142E5C" w:rsidRDefault="00876708" w:rsidP="00DF64C7">
            <w:pPr>
              <w:jc w:val="left"/>
              <w:rPr>
                <w:sz w:val="18"/>
              </w:rPr>
            </w:pPr>
          </w:p>
        </w:tc>
        <w:tc>
          <w:tcPr>
            <w:tcW w:w="992" w:type="dxa"/>
            <w:vAlign w:val="bottom"/>
          </w:tcPr>
          <w:p w14:paraId="237D2CE7"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11.1</w:t>
            </w:r>
          </w:p>
        </w:tc>
        <w:tc>
          <w:tcPr>
            <w:tcW w:w="6804" w:type="dxa"/>
            <w:vAlign w:val="bottom"/>
          </w:tcPr>
          <w:p w14:paraId="143055B7"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szkół, w których pracowanie przedmiotowe wykorzystują doposażenie do prowadzenia zajęć edukacyjnych</w:t>
            </w:r>
          </w:p>
        </w:tc>
        <w:tc>
          <w:tcPr>
            <w:tcW w:w="992" w:type="dxa"/>
            <w:vAlign w:val="bottom"/>
          </w:tcPr>
          <w:p w14:paraId="1D54FF03"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148</w:t>
            </w:r>
          </w:p>
        </w:tc>
        <w:tc>
          <w:tcPr>
            <w:tcW w:w="2268" w:type="dxa"/>
            <w:vAlign w:val="bottom"/>
          </w:tcPr>
          <w:p w14:paraId="60C7CC09"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662</w:t>
            </w:r>
          </w:p>
        </w:tc>
        <w:tc>
          <w:tcPr>
            <w:tcW w:w="1418" w:type="dxa"/>
            <w:vAlign w:val="bottom"/>
          </w:tcPr>
          <w:p w14:paraId="6BEB6D14"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447%</w:t>
            </w:r>
          </w:p>
        </w:tc>
        <w:tc>
          <w:tcPr>
            <w:tcW w:w="1274" w:type="dxa"/>
            <w:vAlign w:val="bottom"/>
          </w:tcPr>
          <w:p w14:paraId="41C4831D"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6,01</w:t>
            </w:r>
          </w:p>
        </w:tc>
      </w:tr>
      <w:tr w:rsidR="00876708" w:rsidRPr="00142E5C" w14:paraId="32397248"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72EAB7FE" w14:textId="77777777" w:rsidR="00876708" w:rsidRPr="00142E5C" w:rsidRDefault="00876708" w:rsidP="00DF64C7">
            <w:pPr>
              <w:jc w:val="left"/>
              <w:rPr>
                <w:sz w:val="18"/>
              </w:rPr>
            </w:pPr>
          </w:p>
        </w:tc>
        <w:tc>
          <w:tcPr>
            <w:tcW w:w="992" w:type="dxa"/>
            <w:vAlign w:val="bottom"/>
          </w:tcPr>
          <w:p w14:paraId="31A17FF0"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11.1</w:t>
            </w:r>
          </w:p>
        </w:tc>
        <w:tc>
          <w:tcPr>
            <w:tcW w:w="6804" w:type="dxa"/>
            <w:vAlign w:val="bottom"/>
          </w:tcPr>
          <w:p w14:paraId="1BB5ECFC"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szkół i placówek systemu oświaty wykorzystujących sprzęt TIK do prowadzenia zajęć edukacyjnych</w:t>
            </w:r>
          </w:p>
        </w:tc>
        <w:tc>
          <w:tcPr>
            <w:tcW w:w="992" w:type="dxa"/>
            <w:vAlign w:val="bottom"/>
          </w:tcPr>
          <w:p w14:paraId="2D514E5F"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155</w:t>
            </w:r>
          </w:p>
        </w:tc>
        <w:tc>
          <w:tcPr>
            <w:tcW w:w="2268" w:type="dxa"/>
            <w:vAlign w:val="bottom"/>
          </w:tcPr>
          <w:p w14:paraId="23386FA6"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753</w:t>
            </w:r>
          </w:p>
        </w:tc>
        <w:tc>
          <w:tcPr>
            <w:tcW w:w="1418" w:type="dxa"/>
            <w:vAlign w:val="bottom"/>
          </w:tcPr>
          <w:p w14:paraId="472004AD"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486%</w:t>
            </w:r>
          </w:p>
        </w:tc>
        <w:tc>
          <w:tcPr>
            <w:tcW w:w="1274" w:type="dxa"/>
            <w:vAlign w:val="bottom"/>
          </w:tcPr>
          <w:p w14:paraId="326044BA"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6,53</w:t>
            </w:r>
          </w:p>
        </w:tc>
      </w:tr>
      <w:tr w:rsidR="00876708" w:rsidRPr="00142E5C" w14:paraId="6896440F"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60E1FE69" w14:textId="77777777" w:rsidR="00876708" w:rsidRPr="00142E5C" w:rsidRDefault="00876708" w:rsidP="00DF64C7">
            <w:pPr>
              <w:jc w:val="left"/>
              <w:rPr>
                <w:sz w:val="18"/>
              </w:rPr>
            </w:pPr>
          </w:p>
        </w:tc>
        <w:tc>
          <w:tcPr>
            <w:tcW w:w="992" w:type="dxa"/>
            <w:vAlign w:val="bottom"/>
          </w:tcPr>
          <w:p w14:paraId="58E9DC35"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11.4</w:t>
            </w:r>
          </w:p>
        </w:tc>
        <w:tc>
          <w:tcPr>
            <w:tcW w:w="6804" w:type="dxa"/>
            <w:vAlign w:val="bottom"/>
          </w:tcPr>
          <w:p w14:paraId="1EB1C3D5"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osób o niskich kwalifikacjach objętych wsparciem w programie</w:t>
            </w:r>
          </w:p>
        </w:tc>
        <w:tc>
          <w:tcPr>
            <w:tcW w:w="992" w:type="dxa"/>
            <w:vAlign w:val="bottom"/>
          </w:tcPr>
          <w:p w14:paraId="24B28F68"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15412</w:t>
            </w:r>
          </w:p>
        </w:tc>
        <w:tc>
          <w:tcPr>
            <w:tcW w:w="2268" w:type="dxa"/>
            <w:vAlign w:val="bottom"/>
          </w:tcPr>
          <w:p w14:paraId="71345821"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16241</w:t>
            </w:r>
          </w:p>
        </w:tc>
        <w:tc>
          <w:tcPr>
            <w:tcW w:w="1418" w:type="dxa"/>
            <w:vAlign w:val="bottom"/>
          </w:tcPr>
          <w:p w14:paraId="0025D18B"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105%</w:t>
            </w:r>
          </w:p>
        </w:tc>
        <w:tc>
          <w:tcPr>
            <w:tcW w:w="1274" w:type="dxa"/>
            <w:vAlign w:val="bottom"/>
          </w:tcPr>
          <w:p w14:paraId="45E4762C"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1,42</w:t>
            </w:r>
          </w:p>
        </w:tc>
      </w:tr>
      <w:tr w:rsidR="00876708" w:rsidRPr="00142E5C" w14:paraId="36B47A57"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67BDE603" w14:textId="77777777" w:rsidR="00876708" w:rsidRPr="00142E5C" w:rsidRDefault="00876708" w:rsidP="00DF64C7">
            <w:pPr>
              <w:jc w:val="left"/>
              <w:rPr>
                <w:sz w:val="18"/>
              </w:rPr>
            </w:pPr>
          </w:p>
        </w:tc>
        <w:tc>
          <w:tcPr>
            <w:tcW w:w="992" w:type="dxa"/>
            <w:vAlign w:val="bottom"/>
          </w:tcPr>
          <w:p w14:paraId="7B2DF6E0"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11.4</w:t>
            </w:r>
          </w:p>
        </w:tc>
        <w:tc>
          <w:tcPr>
            <w:tcW w:w="6804" w:type="dxa"/>
            <w:vAlign w:val="bottom"/>
          </w:tcPr>
          <w:p w14:paraId="2D64DDE5"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osób w wieku 50 lat i więcej objętych wsparciem w programie</w:t>
            </w:r>
          </w:p>
        </w:tc>
        <w:tc>
          <w:tcPr>
            <w:tcW w:w="992" w:type="dxa"/>
            <w:vAlign w:val="bottom"/>
          </w:tcPr>
          <w:p w14:paraId="11A17109"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3626</w:t>
            </w:r>
          </w:p>
        </w:tc>
        <w:tc>
          <w:tcPr>
            <w:tcW w:w="2268" w:type="dxa"/>
            <w:vAlign w:val="bottom"/>
          </w:tcPr>
          <w:p w14:paraId="797A2DBF"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5879</w:t>
            </w:r>
          </w:p>
        </w:tc>
        <w:tc>
          <w:tcPr>
            <w:tcW w:w="1418" w:type="dxa"/>
            <w:vAlign w:val="bottom"/>
          </w:tcPr>
          <w:p w14:paraId="5F3A0387"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162%</w:t>
            </w:r>
          </w:p>
        </w:tc>
        <w:tc>
          <w:tcPr>
            <w:tcW w:w="1274" w:type="dxa"/>
            <w:vAlign w:val="bottom"/>
          </w:tcPr>
          <w:p w14:paraId="4FA637B8"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2,18</w:t>
            </w:r>
          </w:p>
        </w:tc>
      </w:tr>
      <w:tr w:rsidR="00876708" w:rsidRPr="00142E5C" w14:paraId="70B25364"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44C6360B" w14:textId="77777777" w:rsidR="00876708" w:rsidRPr="00142E5C" w:rsidRDefault="00876708" w:rsidP="00DF64C7">
            <w:pPr>
              <w:jc w:val="left"/>
              <w:rPr>
                <w:sz w:val="18"/>
              </w:rPr>
            </w:pPr>
          </w:p>
        </w:tc>
        <w:tc>
          <w:tcPr>
            <w:tcW w:w="992" w:type="dxa"/>
            <w:vAlign w:val="bottom"/>
          </w:tcPr>
          <w:p w14:paraId="0314270E"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11.4</w:t>
            </w:r>
          </w:p>
        </w:tc>
        <w:tc>
          <w:tcPr>
            <w:tcW w:w="6804" w:type="dxa"/>
            <w:vAlign w:val="bottom"/>
          </w:tcPr>
          <w:p w14:paraId="372AFC82"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osób w wieku 25 lat i więcej objętych wsparciem w programie</w:t>
            </w:r>
          </w:p>
        </w:tc>
        <w:tc>
          <w:tcPr>
            <w:tcW w:w="992" w:type="dxa"/>
            <w:vAlign w:val="bottom"/>
          </w:tcPr>
          <w:p w14:paraId="0725D874"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14506</w:t>
            </w:r>
          </w:p>
        </w:tc>
        <w:tc>
          <w:tcPr>
            <w:tcW w:w="2268" w:type="dxa"/>
            <w:vAlign w:val="bottom"/>
          </w:tcPr>
          <w:p w14:paraId="51EDA0B9"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26435</w:t>
            </w:r>
          </w:p>
        </w:tc>
        <w:tc>
          <w:tcPr>
            <w:tcW w:w="1418" w:type="dxa"/>
            <w:vAlign w:val="bottom"/>
          </w:tcPr>
          <w:p w14:paraId="243BB718"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182%</w:t>
            </w:r>
          </w:p>
        </w:tc>
        <w:tc>
          <w:tcPr>
            <w:tcW w:w="1274" w:type="dxa"/>
            <w:vAlign w:val="bottom"/>
          </w:tcPr>
          <w:p w14:paraId="21EBDE0D"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2,45</w:t>
            </w:r>
          </w:p>
        </w:tc>
      </w:tr>
      <w:tr w:rsidR="00876708" w:rsidRPr="00142E5C" w14:paraId="0232658E"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043605CA" w14:textId="77777777" w:rsidR="00876708" w:rsidRPr="00142E5C" w:rsidRDefault="00876708" w:rsidP="00DF64C7">
            <w:pPr>
              <w:jc w:val="left"/>
              <w:rPr>
                <w:sz w:val="18"/>
              </w:rPr>
            </w:pPr>
          </w:p>
        </w:tc>
        <w:tc>
          <w:tcPr>
            <w:tcW w:w="992" w:type="dxa"/>
            <w:vAlign w:val="bottom"/>
          </w:tcPr>
          <w:p w14:paraId="2788BD92"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11.4</w:t>
            </w:r>
          </w:p>
        </w:tc>
        <w:tc>
          <w:tcPr>
            <w:tcW w:w="6804" w:type="dxa"/>
            <w:vAlign w:val="bottom"/>
          </w:tcPr>
          <w:p w14:paraId="43DD63CE"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osób o niskich kwalifikacjach, które uzyskały lub nabyły kompetencje po opuszczeniu programu</w:t>
            </w:r>
          </w:p>
        </w:tc>
        <w:tc>
          <w:tcPr>
            <w:tcW w:w="992" w:type="dxa"/>
            <w:vAlign w:val="bottom"/>
          </w:tcPr>
          <w:p w14:paraId="1F4AA08B"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9247</w:t>
            </w:r>
          </w:p>
        </w:tc>
        <w:tc>
          <w:tcPr>
            <w:tcW w:w="2268" w:type="dxa"/>
            <w:vAlign w:val="bottom"/>
          </w:tcPr>
          <w:p w14:paraId="0CFDABA6"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11750</w:t>
            </w:r>
          </w:p>
        </w:tc>
        <w:tc>
          <w:tcPr>
            <w:tcW w:w="1418" w:type="dxa"/>
            <w:vAlign w:val="bottom"/>
          </w:tcPr>
          <w:p w14:paraId="7AAEA6CA"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127%</w:t>
            </w:r>
          </w:p>
        </w:tc>
        <w:tc>
          <w:tcPr>
            <w:tcW w:w="1274" w:type="dxa"/>
            <w:vAlign w:val="bottom"/>
          </w:tcPr>
          <w:p w14:paraId="19418906"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A127E">
              <w:rPr>
                <w:rFonts w:ascii="Calibri" w:hAnsi="Calibri" w:cs="Calibri"/>
                <w:color w:val="000000"/>
                <w:sz w:val="18"/>
                <w:szCs w:val="18"/>
              </w:rPr>
              <w:t>1,71</w:t>
            </w:r>
          </w:p>
        </w:tc>
      </w:tr>
      <w:tr w:rsidR="00876708" w:rsidRPr="00142E5C" w14:paraId="124947A7"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626E98CE" w14:textId="77777777" w:rsidR="00876708" w:rsidRPr="00142E5C" w:rsidRDefault="00876708" w:rsidP="00DF64C7">
            <w:pPr>
              <w:jc w:val="left"/>
              <w:rPr>
                <w:sz w:val="18"/>
              </w:rPr>
            </w:pPr>
          </w:p>
        </w:tc>
        <w:tc>
          <w:tcPr>
            <w:tcW w:w="992" w:type="dxa"/>
            <w:vAlign w:val="bottom"/>
          </w:tcPr>
          <w:p w14:paraId="47E8F4B9"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11.4</w:t>
            </w:r>
          </w:p>
        </w:tc>
        <w:tc>
          <w:tcPr>
            <w:tcW w:w="6804" w:type="dxa"/>
            <w:vAlign w:val="bottom"/>
          </w:tcPr>
          <w:p w14:paraId="4F013E8A"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osób w wieku 50 lat i więcej, które uzyskały kwalifikacje lub nabyły kompetencje po opuszczeniu programu</w:t>
            </w:r>
          </w:p>
        </w:tc>
        <w:tc>
          <w:tcPr>
            <w:tcW w:w="992" w:type="dxa"/>
            <w:vAlign w:val="bottom"/>
          </w:tcPr>
          <w:p w14:paraId="7DC90C18"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2176</w:t>
            </w:r>
          </w:p>
        </w:tc>
        <w:tc>
          <w:tcPr>
            <w:tcW w:w="2268" w:type="dxa"/>
            <w:vAlign w:val="bottom"/>
          </w:tcPr>
          <w:p w14:paraId="24E1FE5D"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4266</w:t>
            </w:r>
          </w:p>
        </w:tc>
        <w:tc>
          <w:tcPr>
            <w:tcW w:w="1418" w:type="dxa"/>
            <w:vAlign w:val="bottom"/>
          </w:tcPr>
          <w:p w14:paraId="0CE80331"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196%</w:t>
            </w:r>
          </w:p>
        </w:tc>
        <w:tc>
          <w:tcPr>
            <w:tcW w:w="1274" w:type="dxa"/>
            <w:vAlign w:val="bottom"/>
          </w:tcPr>
          <w:p w14:paraId="3BCF1444"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A127E">
              <w:rPr>
                <w:rFonts w:ascii="Calibri" w:hAnsi="Calibri" w:cs="Calibri"/>
                <w:color w:val="000000"/>
                <w:sz w:val="18"/>
                <w:szCs w:val="18"/>
              </w:rPr>
              <w:t>2,64</w:t>
            </w:r>
          </w:p>
        </w:tc>
      </w:tr>
      <w:tr w:rsidR="00876708" w:rsidRPr="00142E5C" w14:paraId="2A5ADC72"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204E8811" w14:textId="77777777" w:rsidR="00876708" w:rsidRPr="00142E5C" w:rsidRDefault="00876708" w:rsidP="00DF64C7">
            <w:pPr>
              <w:jc w:val="left"/>
              <w:rPr>
                <w:sz w:val="18"/>
              </w:rPr>
            </w:pPr>
          </w:p>
        </w:tc>
        <w:tc>
          <w:tcPr>
            <w:tcW w:w="992" w:type="dxa"/>
            <w:vAlign w:val="bottom"/>
          </w:tcPr>
          <w:p w14:paraId="7FC6C911"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11.4</w:t>
            </w:r>
          </w:p>
        </w:tc>
        <w:tc>
          <w:tcPr>
            <w:tcW w:w="6804" w:type="dxa"/>
            <w:vAlign w:val="bottom"/>
          </w:tcPr>
          <w:p w14:paraId="081C89AA"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 xml:space="preserve">Liczba osób w wieku 25 lat i więcej, które uzyskały kwalifikacje lub nabyły kompetencje po opuszczeniu </w:t>
            </w:r>
          </w:p>
        </w:tc>
        <w:tc>
          <w:tcPr>
            <w:tcW w:w="992" w:type="dxa"/>
            <w:vAlign w:val="bottom"/>
          </w:tcPr>
          <w:p w14:paraId="49D9F53B"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8704</w:t>
            </w:r>
          </w:p>
        </w:tc>
        <w:tc>
          <w:tcPr>
            <w:tcW w:w="2268" w:type="dxa"/>
            <w:vAlign w:val="bottom"/>
          </w:tcPr>
          <w:p w14:paraId="49A1B44C"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19154</w:t>
            </w:r>
          </w:p>
        </w:tc>
        <w:tc>
          <w:tcPr>
            <w:tcW w:w="1418" w:type="dxa"/>
            <w:vAlign w:val="bottom"/>
          </w:tcPr>
          <w:p w14:paraId="5B8E959C"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220%</w:t>
            </w:r>
          </w:p>
        </w:tc>
        <w:tc>
          <w:tcPr>
            <w:tcW w:w="1274" w:type="dxa"/>
            <w:vAlign w:val="bottom"/>
          </w:tcPr>
          <w:p w14:paraId="080E5EE3"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A127E">
              <w:rPr>
                <w:rFonts w:ascii="Calibri" w:hAnsi="Calibri" w:cs="Calibri"/>
                <w:color w:val="000000"/>
                <w:sz w:val="18"/>
                <w:szCs w:val="18"/>
              </w:rPr>
              <w:t>2,96</w:t>
            </w:r>
          </w:p>
        </w:tc>
      </w:tr>
      <w:tr w:rsidR="00876708" w:rsidRPr="00142E5C" w14:paraId="7560FFF0"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7AC7BACE" w14:textId="77777777" w:rsidR="00876708" w:rsidRPr="003E225D" w:rsidRDefault="00876708" w:rsidP="00DF64C7">
            <w:pPr>
              <w:jc w:val="left"/>
              <w:rPr>
                <w:sz w:val="18"/>
              </w:rPr>
            </w:pPr>
          </w:p>
        </w:tc>
        <w:tc>
          <w:tcPr>
            <w:tcW w:w="992" w:type="dxa"/>
            <w:vAlign w:val="bottom"/>
          </w:tcPr>
          <w:p w14:paraId="5B567648"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11.2</w:t>
            </w:r>
          </w:p>
        </w:tc>
        <w:tc>
          <w:tcPr>
            <w:tcW w:w="6804" w:type="dxa"/>
            <w:vAlign w:val="bottom"/>
          </w:tcPr>
          <w:p w14:paraId="1F049554"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uczniów szkół i placówek kształcenia zawodowego uczestniczących w stażach i praktykach u pracodawcy</w:t>
            </w:r>
          </w:p>
        </w:tc>
        <w:tc>
          <w:tcPr>
            <w:tcW w:w="992" w:type="dxa"/>
            <w:vAlign w:val="bottom"/>
          </w:tcPr>
          <w:p w14:paraId="0DE183F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6066</w:t>
            </w:r>
          </w:p>
        </w:tc>
        <w:tc>
          <w:tcPr>
            <w:tcW w:w="2268" w:type="dxa"/>
            <w:vAlign w:val="bottom"/>
          </w:tcPr>
          <w:p w14:paraId="1F8F98E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13401</w:t>
            </w:r>
          </w:p>
        </w:tc>
        <w:tc>
          <w:tcPr>
            <w:tcW w:w="1418" w:type="dxa"/>
            <w:vAlign w:val="bottom"/>
          </w:tcPr>
          <w:p w14:paraId="62E8D1E4"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221%</w:t>
            </w:r>
          </w:p>
        </w:tc>
        <w:tc>
          <w:tcPr>
            <w:tcW w:w="1274" w:type="dxa"/>
            <w:vAlign w:val="bottom"/>
          </w:tcPr>
          <w:p w14:paraId="18C91616"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A127E">
              <w:rPr>
                <w:rFonts w:ascii="Calibri" w:hAnsi="Calibri" w:cs="Calibri"/>
                <w:color w:val="000000"/>
                <w:sz w:val="18"/>
                <w:szCs w:val="18"/>
              </w:rPr>
              <w:t>2,97</w:t>
            </w:r>
          </w:p>
        </w:tc>
      </w:tr>
      <w:tr w:rsidR="00876708" w:rsidRPr="00142E5C" w14:paraId="5BADCC60"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25479200" w14:textId="77777777" w:rsidR="00876708" w:rsidRPr="003E225D" w:rsidRDefault="00876708" w:rsidP="00DF64C7">
            <w:pPr>
              <w:jc w:val="left"/>
              <w:rPr>
                <w:sz w:val="18"/>
              </w:rPr>
            </w:pPr>
          </w:p>
        </w:tc>
        <w:tc>
          <w:tcPr>
            <w:tcW w:w="992" w:type="dxa"/>
            <w:vAlign w:val="bottom"/>
          </w:tcPr>
          <w:p w14:paraId="45B8CE8F"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11.3</w:t>
            </w:r>
          </w:p>
        </w:tc>
        <w:tc>
          <w:tcPr>
            <w:tcW w:w="6804" w:type="dxa"/>
            <w:vAlign w:val="bottom"/>
          </w:tcPr>
          <w:p w14:paraId="5DD92581"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osób uczestniczących w pozaszkolnych formach kształcenia w programie</w:t>
            </w:r>
          </w:p>
        </w:tc>
        <w:tc>
          <w:tcPr>
            <w:tcW w:w="992" w:type="dxa"/>
            <w:vAlign w:val="bottom"/>
          </w:tcPr>
          <w:p w14:paraId="6E80B2BB"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4729</w:t>
            </w:r>
          </w:p>
        </w:tc>
        <w:tc>
          <w:tcPr>
            <w:tcW w:w="2268" w:type="dxa"/>
            <w:vAlign w:val="bottom"/>
          </w:tcPr>
          <w:p w14:paraId="5A55AD36"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37597</w:t>
            </w:r>
          </w:p>
        </w:tc>
        <w:tc>
          <w:tcPr>
            <w:tcW w:w="1418" w:type="dxa"/>
            <w:vAlign w:val="bottom"/>
          </w:tcPr>
          <w:p w14:paraId="23E2E56F"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795%</w:t>
            </w:r>
          </w:p>
        </w:tc>
        <w:tc>
          <w:tcPr>
            <w:tcW w:w="1274" w:type="dxa"/>
            <w:vAlign w:val="bottom"/>
          </w:tcPr>
          <w:p w14:paraId="52888D9E"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18"/>
                <w:szCs w:val="18"/>
              </w:rPr>
            </w:pPr>
            <w:r w:rsidRPr="00DA127E">
              <w:rPr>
                <w:rFonts w:ascii="Calibri" w:hAnsi="Calibri" w:cs="Calibri"/>
                <w:color w:val="000000"/>
                <w:sz w:val="18"/>
                <w:szCs w:val="18"/>
              </w:rPr>
              <w:t>10,69</w:t>
            </w:r>
          </w:p>
        </w:tc>
      </w:tr>
      <w:tr w:rsidR="00876708" w:rsidRPr="00142E5C" w14:paraId="3D51108E"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358660E2" w14:textId="77777777" w:rsidR="00876708" w:rsidRPr="003E225D" w:rsidRDefault="00876708" w:rsidP="00DF64C7">
            <w:pPr>
              <w:jc w:val="left"/>
              <w:rPr>
                <w:sz w:val="18"/>
              </w:rPr>
            </w:pPr>
          </w:p>
        </w:tc>
        <w:tc>
          <w:tcPr>
            <w:tcW w:w="992" w:type="dxa"/>
            <w:vAlign w:val="bottom"/>
          </w:tcPr>
          <w:p w14:paraId="7F3F880D"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11.3</w:t>
            </w:r>
          </w:p>
        </w:tc>
        <w:tc>
          <w:tcPr>
            <w:tcW w:w="6804" w:type="dxa"/>
            <w:vAlign w:val="bottom"/>
          </w:tcPr>
          <w:p w14:paraId="435365A4"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podmiotów realizujących zadania centrum kształcenia zawodowego i ustawicznego objętych wsparciem w programie</w:t>
            </w:r>
          </w:p>
        </w:tc>
        <w:tc>
          <w:tcPr>
            <w:tcW w:w="992" w:type="dxa"/>
            <w:vAlign w:val="bottom"/>
          </w:tcPr>
          <w:p w14:paraId="716F156C"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w:t>
            </w:r>
          </w:p>
        </w:tc>
        <w:tc>
          <w:tcPr>
            <w:tcW w:w="2268" w:type="dxa"/>
            <w:vAlign w:val="bottom"/>
          </w:tcPr>
          <w:p w14:paraId="4D95D010"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w:t>
            </w:r>
          </w:p>
        </w:tc>
        <w:tc>
          <w:tcPr>
            <w:tcW w:w="1418" w:type="dxa"/>
            <w:vAlign w:val="bottom"/>
          </w:tcPr>
          <w:p w14:paraId="075BCB29"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100%</w:t>
            </w:r>
          </w:p>
        </w:tc>
        <w:tc>
          <w:tcPr>
            <w:tcW w:w="1274" w:type="dxa"/>
            <w:vAlign w:val="bottom"/>
          </w:tcPr>
          <w:p w14:paraId="678D9319"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A127E">
              <w:rPr>
                <w:rFonts w:ascii="Calibri" w:hAnsi="Calibri" w:cs="Calibri"/>
                <w:color w:val="000000"/>
                <w:sz w:val="18"/>
                <w:szCs w:val="18"/>
              </w:rPr>
              <w:t>1,34</w:t>
            </w:r>
          </w:p>
        </w:tc>
      </w:tr>
      <w:tr w:rsidR="00876708" w:rsidRPr="00142E5C" w14:paraId="10C7CDB5"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69F4F5B2" w14:textId="77777777" w:rsidR="00876708" w:rsidRPr="003E225D" w:rsidRDefault="00876708" w:rsidP="00DF64C7">
            <w:pPr>
              <w:jc w:val="left"/>
              <w:rPr>
                <w:sz w:val="18"/>
              </w:rPr>
            </w:pPr>
          </w:p>
        </w:tc>
        <w:tc>
          <w:tcPr>
            <w:tcW w:w="992" w:type="dxa"/>
            <w:vAlign w:val="bottom"/>
          </w:tcPr>
          <w:p w14:paraId="75828CE5"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11.3</w:t>
            </w:r>
          </w:p>
        </w:tc>
        <w:tc>
          <w:tcPr>
            <w:tcW w:w="6804" w:type="dxa"/>
            <w:vAlign w:val="bottom"/>
          </w:tcPr>
          <w:p w14:paraId="2C64283A"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osób uczestniczących w szkolnych formach kształcenia w programie</w:t>
            </w:r>
          </w:p>
        </w:tc>
        <w:tc>
          <w:tcPr>
            <w:tcW w:w="992" w:type="dxa"/>
            <w:vAlign w:val="bottom"/>
          </w:tcPr>
          <w:p w14:paraId="1967F670"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1804</w:t>
            </w:r>
          </w:p>
        </w:tc>
        <w:tc>
          <w:tcPr>
            <w:tcW w:w="2268" w:type="dxa"/>
            <w:vAlign w:val="bottom"/>
          </w:tcPr>
          <w:p w14:paraId="4465F776"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250</w:t>
            </w:r>
          </w:p>
        </w:tc>
        <w:tc>
          <w:tcPr>
            <w:tcW w:w="1418" w:type="dxa"/>
            <w:vAlign w:val="bottom"/>
          </w:tcPr>
          <w:p w14:paraId="16D33C5E"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14%</w:t>
            </w:r>
          </w:p>
        </w:tc>
        <w:tc>
          <w:tcPr>
            <w:tcW w:w="1274" w:type="dxa"/>
            <w:vAlign w:val="bottom"/>
          </w:tcPr>
          <w:p w14:paraId="40BF951A"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0,19</w:t>
            </w:r>
          </w:p>
        </w:tc>
      </w:tr>
      <w:tr w:rsidR="00876708" w:rsidRPr="00142E5C" w14:paraId="4BE2FAB9"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5C2B4243" w14:textId="77777777" w:rsidR="00876708" w:rsidRPr="00142E5C" w:rsidRDefault="00876708" w:rsidP="00DF64C7">
            <w:pPr>
              <w:jc w:val="left"/>
              <w:rPr>
                <w:sz w:val="18"/>
              </w:rPr>
            </w:pPr>
          </w:p>
        </w:tc>
        <w:tc>
          <w:tcPr>
            <w:tcW w:w="992" w:type="dxa"/>
            <w:vAlign w:val="bottom"/>
          </w:tcPr>
          <w:p w14:paraId="0299F64F"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11.2</w:t>
            </w:r>
          </w:p>
        </w:tc>
        <w:tc>
          <w:tcPr>
            <w:tcW w:w="6804" w:type="dxa"/>
            <w:vAlign w:val="bottom"/>
          </w:tcPr>
          <w:p w14:paraId="678AF2BD"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nauczycieli kształcenia zawodowego oraz instruktorów praktycznej nauki zawodu objętych wsparciem w programie</w:t>
            </w:r>
          </w:p>
        </w:tc>
        <w:tc>
          <w:tcPr>
            <w:tcW w:w="992" w:type="dxa"/>
            <w:vAlign w:val="bottom"/>
          </w:tcPr>
          <w:p w14:paraId="588F25C9"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269</w:t>
            </w:r>
          </w:p>
        </w:tc>
        <w:tc>
          <w:tcPr>
            <w:tcW w:w="2268" w:type="dxa"/>
            <w:vAlign w:val="bottom"/>
          </w:tcPr>
          <w:p w14:paraId="06A97ACC"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1766</w:t>
            </w:r>
          </w:p>
        </w:tc>
        <w:tc>
          <w:tcPr>
            <w:tcW w:w="1418" w:type="dxa"/>
            <w:vAlign w:val="bottom"/>
          </w:tcPr>
          <w:p w14:paraId="2ED8915E"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657%</w:t>
            </w:r>
          </w:p>
        </w:tc>
        <w:tc>
          <w:tcPr>
            <w:tcW w:w="1274" w:type="dxa"/>
            <w:vAlign w:val="bottom"/>
          </w:tcPr>
          <w:p w14:paraId="454D91E6"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8,82</w:t>
            </w:r>
          </w:p>
        </w:tc>
      </w:tr>
      <w:tr w:rsidR="00876708" w:rsidRPr="00142E5C" w14:paraId="375F9E42"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5DB960B3" w14:textId="77777777" w:rsidR="00876708" w:rsidRPr="00142E5C" w:rsidRDefault="00876708" w:rsidP="00DF64C7">
            <w:pPr>
              <w:jc w:val="left"/>
              <w:rPr>
                <w:sz w:val="18"/>
              </w:rPr>
            </w:pPr>
          </w:p>
        </w:tc>
        <w:tc>
          <w:tcPr>
            <w:tcW w:w="992" w:type="dxa"/>
            <w:vAlign w:val="bottom"/>
          </w:tcPr>
          <w:p w14:paraId="2BBF9689"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11.2</w:t>
            </w:r>
          </w:p>
        </w:tc>
        <w:tc>
          <w:tcPr>
            <w:tcW w:w="6804" w:type="dxa"/>
            <w:vAlign w:val="bottom"/>
          </w:tcPr>
          <w:p w14:paraId="6FFEC1A2"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szkół i placówek kształcenia zawodowego doposażonych w programie w sprzęt i materiały dydaktyczne niezbędne do realizacji kształcenia zawodowego</w:t>
            </w:r>
          </w:p>
        </w:tc>
        <w:tc>
          <w:tcPr>
            <w:tcW w:w="992" w:type="dxa"/>
            <w:vAlign w:val="bottom"/>
          </w:tcPr>
          <w:p w14:paraId="1B576914"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67</w:t>
            </w:r>
          </w:p>
        </w:tc>
        <w:tc>
          <w:tcPr>
            <w:tcW w:w="2268" w:type="dxa"/>
            <w:vAlign w:val="bottom"/>
          </w:tcPr>
          <w:p w14:paraId="0366D63F"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296</w:t>
            </w:r>
          </w:p>
        </w:tc>
        <w:tc>
          <w:tcPr>
            <w:tcW w:w="1418" w:type="dxa"/>
            <w:vAlign w:val="bottom"/>
          </w:tcPr>
          <w:p w14:paraId="1B35E849"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442%</w:t>
            </w:r>
          </w:p>
        </w:tc>
        <w:tc>
          <w:tcPr>
            <w:tcW w:w="1274" w:type="dxa"/>
            <w:vAlign w:val="bottom"/>
          </w:tcPr>
          <w:p w14:paraId="7E1CF13D"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5,94</w:t>
            </w:r>
          </w:p>
        </w:tc>
      </w:tr>
      <w:tr w:rsidR="00876708" w:rsidRPr="00142E5C" w14:paraId="26B1A149"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6A470F6F" w14:textId="77777777" w:rsidR="00876708" w:rsidRPr="00142E5C" w:rsidRDefault="00876708" w:rsidP="00DF64C7">
            <w:pPr>
              <w:jc w:val="left"/>
              <w:rPr>
                <w:sz w:val="18"/>
              </w:rPr>
            </w:pPr>
          </w:p>
        </w:tc>
        <w:tc>
          <w:tcPr>
            <w:tcW w:w="992" w:type="dxa"/>
            <w:vAlign w:val="bottom"/>
          </w:tcPr>
          <w:p w14:paraId="4327FDC6"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11.2</w:t>
            </w:r>
          </w:p>
        </w:tc>
        <w:tc>
          <w:tcPr>
            <w:tcW w:w="6804" w:type="dxa"/>
            <w:vAlign w:val="bottom"/>
          </w:tcPr>
          <w:p w14:paraId="703F76B5"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uczniów objętych wsparciem w zakresie rozwijania kompetencji kluczowych lub umiejętności uniwersalnych niezbędnych na rynku pracy w programie</w:t>
            </w:r>
          </w:p>
        </w:tc>
        <w:tc>
          <w:tcPr>
            <w:tcW w:w="992" w:type="dxa"/>
            <w:vAlign w:val="bottom"/>
          </w:tcPr>
          <w:p w14:paraId="4DB9FF87"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1897</w:t>
            </w:r>
          </w:p>
        </w:tc>
        <w:tc>
          <w:tcPr>
            <w:tcW w:w="2268" w:type="dxa"/>
            <w:vAlign w:val="bottom"/>
          </w:tcPr>
          <w:p w14:paraId="738CCEF5"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455</w:t>
            </w:r>
          </w:p>
        </w:tc>
        <w:tc>
          <w:tcPr>
            <w:tcW w:w="1418" w:type="dxa"/>
            <w:vAlign w:val="bottom"/>
          </w:tcPr>
          <w:p w14:paraId="7BEC82F0"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24%</w:t>
            </w:r>
          </w:p>
        </w:tc>
        <w:tc>
          <w:tcPr>
            <w:tcW w:w="1274" w:type="dxa"/>
            <w:vAlign w:val="bottom"/>
          </w:tcPr>
          <w:p w14:paraId="3B682DCB"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0,32</w:t>
            </w:r>
          </w:p>
        </w:tc>
      </w:tr>
      <w:tr w:rsidR="00876708" w:rsidRPr="00142E5C" w14:paraId="5AC4617B"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07852D83" w14:textId="77777777" w:rsidR="00876708" w:rsidRPr="00142E5C" w:rsidRDefault="00876708" w:rsidP="00DF64C7">
            <w:pPr>
              <w:jc w:val="left"/>
              <w:rPr>
                <w:sz w:val="18"/>
              </w:rPr>
            </w:pPr>
          </w:p>
        </w:tc>
        <w:tc>
          <w:tcPr>
            <w:tcW w:w="992" w:type="dxa"/>
            <w:vAlign w:val="bottom"/>
          </w:tcPr>
          <w:p w14:paraId="1B2FB2B7"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11.2</w:t>
            </w:r>
          </w:p>
        </w:tc>
        <w:tc>
          <w:tcPr>
            <w:tcW w:w="6804" w:type="dxa"/>
            <w:vAlign w:val="bottom"/>
          </w:tcPr>
          <w:p w14:paraId="0FE7CBD5"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uczniów, którzy nabyli kompetencje kluczowe lub umiejętności uniwersalne niezbędne na rynku pracy po opuszczeniu programu</w:t>
            </w:r>
          </w:p>
        </w:tc>
        <w:tc>
          <w:tcPr>
            <w:tcW w:w="992" w:type="dxa"/>
            <w:vAlign w:val="bottom"/>
          </w:tcPr>
          <w:p w14:paraId="4A836A71"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1043</w:t>
            </w:r>
          </w:p>
        </w:tc>
        <w:tc>
          <w:tcPr>
            <w:tcW w:w="2268" w:type="dxa"/>
            <w:vAlign w:val="bottom"/>
          </w:tcPr>
          <w:p w14:paraId="2E975681"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364</w:t>
            </w:r>
          </w:p>
        </w:tc>
        <w:tc>
          <w:tcPr>
            <w:tcW w:w="1418" w:type="dxa"/>
            <w:vAlign w:val="bottom"/>
          </w:tcPr>
          <w:p w14:paraId="7EDE6A73"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35%</w:t>
            </w:r>
          </w:p>
        </w:tc>
        <w:tc>
          <w:tcPr>
            <w:tcW w:w="1274" w:type="dxa"/>
            <w:vAlign w:val="bottom"/>
          </w:tcPr>
          <w:p w14:paraId="35A6CAF1"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0,47</w:t>
            </w:r>
          </w:p>
        </w:tc>
      </w:tr>
      <w:tr w:rsidR="00876708" w:rsidRPr="00142E5C" w14:paraId="25E84E7B"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3ADC9509" w14:textId="77777777" w:rsidR="00876708" w:rsidRPr="00142E5C" w:rsidRDefault="00876708" w:rsidP="00DF64C7">
            <w:pPr>
              <w:jc w:val="left"/>
              <w:rPr>
                <w:sz w:val="18"/>
              </w:rPr>
            </w:pPr>
          </w:p>
        </w:tc>
        <w:tc>
          <w:tcPr>
            <w:tcW w:w="992" w:type="dxa"/>
            <w:vAlign w:val="bottom"/>
          </w:tcPr>
          <w:p w14:paraId="3B4E3C95"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11.3</w:t>
            </w:r>
          </w:p>
        </w:tc>
        <w:tc>
          <w:tcPr>
            <w:tcW w:w="6804" w:type="dxa"/>
            <w:vAlign w:val="bottom"/>
          </w:tcPr>
          <w:p w14:paraId="4376F074"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osób, które uzyskały kwalifikacje w ramach pozaszkolnych form kształcenia</w:t>
            </w:r>
          </w:p>
        </w:tc>
        <w:tc>
          <w:tcPr>
            <w:tcW w:w="992" w:type="dxa"/>
            <w:vAlign w:val="bottom"/>
          </w:tcPr>
          <w:p w14:paraId="44F36131"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709</w:t>
            </w:r>
          </w:p>
        </w:tc>
        <w:tc>
          <w:tcPr>
            <w:tcW w:w="2268" w:type="dxa"/>
            <w:vAlign w:val="bottom"/>
          </w:tcPr>
          <w:p w14:paraId="47E4607A"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30091</w:t>
            </w:r>
          </w:p>
        </w:tc>
        <w:tc>
          <w:tcPr>
            <w:tcW w:w="1418" w:type="dxa"/>
            <w:vAlign w:val="bottom"/>
          </w:tcPr>
          <w:p w14:paraId="1F5613B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4244%</w:t>
            </w:r>
          </w:p>
        </w:tc>
        <w:tc>
          <w:tcPr>
            <w:tcW w:w="1274" w:type="dxa"/>
            <w:vAlign w:val="bottom"/>
          </w:tcPr>
          <w:p w14:paraId="443E524E"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57,04</w:t>
            </w:r>
          </w:p>
        </w:tc>
      </w:tr>
      <w:tr w:rsidR="00876708" w:rsidRPr="00142E5C" w14:paraId="473E7417"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5C179DD9" w14:textId="77777777" w:rsidR="00876708" w:rsidRPr="00142E5C" w:rsidRDefault="00876708" w:rsidP="00DF64C7">
            <w:pPr>
              <w:jc w:val="left"/>
              <w:rPr>
                <w:sz w:val="18"/>
              </w:rPr>
            </w:pPr>
          </w:p>
        </w:tc>
        <w:tc>
          <w:tcPr>
            <w:tcW w:w="992" w:type="dxa"/>
            <w:vAlign w:val="bottom"/>
          </w:tcPr>
          <w:p w14:paraId="110F6D85"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11.2</w:t>
            </w:r>
          </w:p>
        </w:tc>
        <w:tc>
          <w:tcPr>
            <w:tcW w:w="6804" w:type="dxa"/>
            <w:vAlign w:val="bottom"/>
          </w:tcPr>
          <w:p w14:paraId="17E93912"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szkół i placówek kształcenia zawodowego wykorzystujących doposażenie zakupione dzięki EFS</w:t>
            </w:r>
          </w:p>
        </w:tc>
        <w:tc>
          <w:tcPr>
            <w:tcW w:w="992" w:type="dxa"/>
            <w:vAlign w:val="bottom"/>
          </w:tcPr>
          <w:p w14:paraId="693F3264"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67</w:t>
            </w:r>
          </w:p>
        </w:tc>
        <w:tc>
          <w:tcPr>
            <w:tcW w:w="2268" w:type="dxa"/>
            <w:vAlign w:val="bottom"/>
          </w:tcPr>
          <w:p w14:paraId="387D11C7"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299</w:t>
            </w:r>
          </w:p>
        </w:tc>
        <w:tc>
          <w:tcPr>
            <w:tcW w:w="1418" w:type="dxa"/>
            <w:vAlign w:val="bottom"/>
          </w:tcPr>
          <w:p w14:paraId="311FC4E7"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446%</w:t>
            </w:r>
          </w:p>
        </w:tc>
        <w:tc>
          <w:tcPr>
            <w:tcW w:w="1274" w:type="dxa"/>
            <w:vAlign w:val="bottom"/>
          </w:tcPr>
          <w:p w14:paraId="2AD1A1F1"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6,00</w:t>
            </w:r>
          </w:p>
        </w:tc>
      </w:tr>
      <w:tr w:rsidR="00876708" w:rsidRPr="00142E5C" w14:paraId="7C6393E7"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41F87284" w14:textId="77777777" w:rsidR="00876708" w:rsidRPr="00142E5C" w:rsidRDefault="00876708" w:rsidP="00DF64C7">
            <w:pPr>
              <w:jc w:val="left"/>
              <w:rPr>
                <w:sz w:val="18"/>
              </w:rPr>
            </w:pPr>
          </w:p>
        </w:tc>
        <w:tc>
          <w:tcPr>
            <w:tcW w:w="992" w:type="dxa"/>
            <w:vAlign w:val="bottom"/>
          </w:tcPr>
          <w:p w14:paraId="734E1BD3"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11.2</w:t>
            </w:r>
          </w:p>
        </w:tc>
        <w:tc>
          <w:tcPr>
            <w:tcW w:w="6804" w:type="dxa"/>
            <w:vAlign w:val="bottom"/>
          </w:tcPr>
          <w:p w14:paraId="168E60BF"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nauczycieli kształcenia zawodowego oraz instruktorów praktycznej nauki zawodu, którzy uzyskali kwalifikacje lub nabyli kompetencje po opuszczeniu programu</w:t>
            </w:r>
          </w:p>
        </w:tc>
        <w:tc>
          <w:tcPr>
            <w:tcW w:w="992" w:type="dxa"/>
            <w:vAlign w:val="bottom"/>
          </w:tcPr>
          <w:p w14:paraId="6F2232DC"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215</w:t>
            </w:r>
          </w:p>
        </w:tc>
        <w:tc>
          <w:tcPr>
            <w:tcW w:w="2268" w:type="dxa"/>
            <w:vAlign w:val="bottom"/>
          </w:tcPr>
          <w:p w14:paraId="0E0619F6"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1672</w:t>
            </w:r>
          </w:p>
        </w:tc>
        <w:tc>
          <w:tcPr>
            <w:tcW w:w="1418" w:type="dxa"/>
            <w:vAlign w:val="bottom"/>
          </w:tcPr>
          <w:p w14:paraId="1B1EA58C"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778%</w:t>
            </w:r>
          </w:p>
        </w:tc>
        <w:tc>
          <w:tcPr>
            <w:tcW w:w="1274" w:type="dxa"/>
            <w:vAlign w:val="bottom"/>
          </w:tcPr>
          <w:p w14:paraId="01C1A1A9"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10,45</w:t>
            </w:r>
          </w:p>
        </w:tc>
      </w:tr>
      <w:tr w:rsidR="00876708" w:rsidRPr="00142E5C" w14:paraId="659055A4"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14282" w:type="dxa"/>
            <w:gridSpan w:val="7"/>
          </w:tcPr>
          <w:p w14:paraId="132DF803" w14:textId="77777777" w:rsidR="00876708" w:rsidRPr="00142E5C" w:rsidRDefault="00876708" w:rsidP="00DF64C7">
            <w:pPr>
              <w:jc w:val="left"/>
              <w:rPr>
                <w:sz w:val="18"/>
              </w:rPr>
            </w:pPr>
            <w:r>
              <w:rPr>
                <w:sz w:val="18"/>
              </w:rPr>
              <w:t>EFRR</w:t>
            </w:r>
          </w:p>
        </w:tc>
      </w:tr>
      <w:tr w:rsidR="00876708" w:rsidRPr="00142E5C" w14:paraId="6A203253"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val="restart"/>
          </w:tcPr>
          <w:p w14:paraId="6D326A83" w14:textId="77777777" w:rsidR="00876708" w:rsidRPr="00142E5C" w:rsidRDefault="00876708" w:rsidP="00DF64C7">
            <w:pPr>
              <w:jc w:val="left"/>
              <w:rPr>
                <w:sz w:val="18"/>
              </w:rPr>
            </w:pPr>
            <w:r>
              <w:rPr>
                <w:sz w:val="18"/>
              </w:rPr>
              <w:t>XII</w:t>
            </w:r>
          </w:p>
        </w:tc>
        <w:tc>
          <w:tcPr>
            <w:tcW w:w="992" w:type="dxa"/>
            <w:vAlign w:val="bottom"/>
          </w:tcPr>
          <w:p w14:paraId="422D200C"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12.1, 12.2</w:t>
            </w:r>
          </w:p>
        </w:tc>
        <w:tc>
          <w:tcPr>
            <w:tcW w:w="6804" w:type="dxa"/>
            <w:vAlign w:val="bottom"/>
          </w:tcPr>
          <w:p w14:paraId="58333AF5"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Potencjał objętej wsparciem infrastruktury w zakresie opieki nad dziećmi lub infrastruktury edukacyjnej</w:t>
            </w:r>
          </w:p>
        </w:tc>
        <w:tc>
          <w:tcPr>
            <w:tcW w:w="992" w:type="dxa"/>
            <w:vAlign w:val="bottom"/>
          </w:tcPr>
          <w:p w14:paraId="4069B799"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32329</w:t>
            </w:r>
          </w:p>
        </w:tc>
        <w:tc>
          <w:tcPr>
            <w:tcW w:w="2268" w:type="dxa"/>
            <w:vAlign w:val="bottom"/>
          </w:tcPr>
          <w:p w14:paraId="32B54652"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40940</w:t>
            </w:r>
          </w:p>
        </w:tc>
        <w:tc>
          <w:tcPr>
            <w:tcW w:w="1418" w:type="dxa"/>
            <w:vAlign w:val="bottom"/>
          </w:tcPr>
          <w:p w14:paraId="6F57742E"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127%</w:t>
            </w:r>
          </w:p>
        </w:tc>
        <w:tc>
          <w:tcPr>
            <w:tcW w:w="1274" w:type="dxa"/>
            <w:vAlign w:val="bottom"/>
          </w:tcPr>
          <w:p w14:paraId="0910F1FD"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1,21</w:t>
            </w:r>
          </w:p>
        </w:tc>
      </w:tr>
      <w:tr w:rsidR="00876708" w:rsidRPr="00142E5C" w14:paraId="6EE9FE91"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70379BED" w14:textId="77777777" w:rsidR="00876708" w:rsidRPr="00142E5C" w:rsidRDefault="00876708" w:rsidP="00DF64C7">
            <w:pPr>
              <w:jc w:val="left"/>
              <w:rPr>
                <w:sz w:val="18"/>
              </w:rPr>
            </w:pPr>
          </w:p>
        </w:tc>
        <w:tc>
          <w:tcPr>
            <w:tcW w:w="992" w:type="dxa"/>
            <w:vAlign w:val="bottom"/>
          </w:tcPr>
          <w:p w14:paraId="2065C404"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12.1</w:t>
            </w:r>
          </w:p>
        </w:tc>
        <w:tc>
          <w:tcPr>
            <w:tcW w:w="6804" w:type="dxa"/>
            <w:vAlign w:val="bottom"/>
          </w:tcPr>
          <w:p w14:paraId="7B1D9D19"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wspartych obiektów infrastruktury przedszkolnej</w:t>
            </w:r>
          </w:p>
        </w:tc>
        <w:tc>
          <w:tcPr>
            <w:tcW w:w="992" w:type="dxa"/>
            <w:vAlign w:val="bottom"/>
          </w:tcPr>
          <w:p w14:paraId="3A20CB82"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50</w:t>
            </w:r>
          </w:p>
        </w:tc>
        <w:tc>
          <w:tcPr>
            <w:tcW w:w="2268" w:type="dxa"/>
            <w:vAlign w:val="bottom"/>
          </w:tcPr>
          <w:p w14:paraId="172C04C8"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71</w:t>
            </w:r>
          </w:p>
        </w:tc>
        <w:tc>
          <w:tcPr>
            <w:tcW w:w="1418" w:type="dxa"/>
            <w:vAlign w:val="bottom"/>
          </w:tcPr>
          <w:p w14:paraId="0EC03C3C"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142%</w:t>
            </w:r>
          </w:p>
        </w:tc>
        <w:tc>
          <w:tcPr>
            <w:tcW w:w="1274" w:type="dxa"/>
            <w:vAlign w:val="bottom"/>
          </w:tcPr>
          <w:p w14:paraId="7FD37986"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1,36</w:t>
            </w:r>
          </w:p>
        </w:tc>
      </w:tr>
      <w:tr w:rsidR="00876708" w:rsidRPr="00142E5C" w14:paraId="1EAE8EFB" w14:textId="77777777" w:rsidTr="009F10DC">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21D7E84E" w14:textId="77777777" w:rsidR="00876708" w:rsidRPr="00142E5C" w:rsidRDefault="00876708" w:rsidP="00DF64C7">
            <w:pPr>
              <w:jc w:val="left"/>
              <w:rPr>
                <w:sz w:val="18"/>
              </w:rPr>
            </w:pPr>
          </w:p>
        </w:tc>
        <w:tc>
          <w:tcPr>
            <w:tcW w:w="992" w:type="dxa"/>
            <w:vAlign w:val="bottom"/>
          </w:tcPr>
          <w:p w14:paraId="72F7B3E7"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12.2</w:t>
            </w:r>
          </w:p>
        </w:tc>
        <w:tc>
          <w:tcPr>
            <w:tcW w:w="6804" w:type="dxa"/>
            <w:vAlign w:val="bottom"/>
          </w:tcPr>
          <w:p w14:paraId="23BD8E45" w14:textId="77777777" w:rsidR="00876708" w:rsidRPr="001C7E6A" w:rsidRDefault="00876708" w:rsidP="00DF64C7">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wspartych obiektów infrastruktury kształcenia zawodowego</w:t>
            </w:r>
          </w:p>
        </w:tc>
        <w:tc>
          <w:tcPr>
            <w:tcW w:w="992" w:type="dxa"/>
            <w:vAlign w:val="bottom"/>
          </w:tcPr>
          <w:p w14:paraId="3A07AF87"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52</w:t>
            </w:r>
          </w:p>
        </w:tc>
        <w:tc>
          <w:tcPr>
            <w:tcW w:w="2268" w:type="dxa"/>
            <w:vAlign w:val="bottom"/>
          </w:tcPr>
          <w:p w14:paraId="53E5AC4D"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136</w:t>
            </w:r>
          </w:p>
        </w:tc>
        <w:tc>
          <w:tcPr>
            <w:tcW w:w="1418" w:type="dxa"/>
            <w:vAlign w:val="bottom"/>
          </w:tcPr>
          <w:p w14:paraId="2D0FF325" w14:textId="77777777" w:rsidR="00876708" w:rsidRPr="001C7E6A"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262%</w:t>
            </w:r>
          </w:p>
        </w:tc>
        <w:tc>
          <w:tcPr>
            <w:tcW w:w="1274" w:type="dxa"/>
            <w:vAlign w:val="bottom"/>
          </w:tcPr>
          <w:p w14:paraId="57EF9EDE" w14:textId="77777777" w:rsidR="00876708" w:rsidRPr="000772E8" w:rsidRDefault="00876708" w:rsidP="003E5E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2,51</w:t>
            </w:r>
          </w:p>
        </w:tc>
      </w:tr>
      <w:tr w:rsidR="00876708" w:rsidRPr="00142E5C" w14:paraId="7ED83ABB" w14:textId="77777777" w:rsidTr="009F10DC">
        <w:trPr>
          <w:trHeight w:val="215"/>
        </w:trPr>
        <w:tc>
          <w:tcPr>
            <w:cnfStyle w:val="001000000000" w:firstRow="0" w:lastRow="0" w:firstColumn="1" w:lastColumn="0" w:oddVBand="0" w:evenVBand="0" w:oddHBand="0" w:evenHBand="0" w:firstRowFirstColumn="0" w:firstRowLastColumn="0" w:lastRowFirstColumn="0" w:lastRowLastColumn="0"/>
            <w:tcW w:w="534" w:type="dxa"/>
            <w:vMerge/>
          </w:tcPr>
          <w:p w14:paraId="29AFEEFA" w14:textId="77777777" w:rsidR="00876708" w:rsidRPr="00142E5C" w:rsidRDefault="00876708" w:rsidP="00DF64C7">
            <w:pPr>
              <w:jc w:val="left"/>
              <w:rPr>
                <w:sz w:val="18"/>
              </w:rPr>
            </w:pPr>
          </w:p>
        </w:tc>
        <w:tc>
          <w:tcPr>
            <w:tcW w:w="992" w:type="dxa"/>
            <w:vAlign w:val="bottom"/>
          </w:tcPr>
          <w:p w14:paraId="5D6FC4B6"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12.3</w:t>
            </w:r>
          </w:p>
        </w:tc>
        <w:tc>
          <w:tcPr>
            <w:tcW w:w="6804" w:type="dxa"/>
            <w:vAlign w:val="bottom"/>
          </w:tcPr>
          <w:p w14:paraId="23DA566E" w14:textId="77777777" w:rsidR="00876708" w:rsidRPr="001C7E6A" w:rsidRDefault="00876708" w:rsidP="00DF64C7">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Liczba osób odwiedzających Planetarium Śląskie ze zorganizowanych grup uczniowskich i przedszkolnych</w:t>
            </w:r>
          </w:p>
        </w:tc>
        <w:tc>
          <w:tcPr>
            <w:tcW w:w="992" w:type="dxa"/>
            <w:vAlign w:val="bottom"/>
          </w:tcPr>
          <w:p w14:paraId="0A328B69"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156000</w:t>
            </w:r>
          </w:p>
        </w:tc>
        <w:tc>
          <w:tcPr>
            <w:tcW w:w="2268" w:type="dxa"/>
            <w:vAlign w:val="bottom"/>
          </w:tcPr>
          <w:p w14:paraId="501AFFA1"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156000</w:t>
            </w:r>
          </w:p>
        </w:tc>
        <w:tc>
          <w:tcPr>
            <w:tcW w:w="1418" w:type="dxa"/>
            <w:vAlign w:val="bottom"/>
          </w:tcPr>
          <w:p w14:paraId="36CD9E14" w14:textId="77777777" w:rsidR="00876708" w:rsidRPr="001C7E6A"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E24BD3">
              <w:rPr>
                <w:rFonts w:ascii="Calibri" w:hAnsi="Calibri" w:cs="Calibri"/>
                <w:color w:val="000000"/>
                <w:sz w:val="18"/>
                <w:szCs w:val="18"/>
              </w:rPr>
              <w:t>100%</w:t>
            </w:r>
          </w:p>
        </w:tc>
        <w:tc>
          <w:tcPr>
            <w:tcW w:w="1274" w:type="dxa"/>
            <w:vAlign w:val="bottom"/>
          </w:tcPr>
          <w:p w14:paraId="09362FE6" w14:textId="77777777" w:rsidR="00876708" w:rsidRPr="000772E8" w:rsidRDefault="00876708" w:rsidP="003E5E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A127E">
              <w:rPr>
                <w:rFonts w:ascii="Calibri" w:hAnsi="Calibri" w:cs="Calibri"/>
                <w:color w:val="000000"/>
                <w:sz w:val="18"/>
                <w:szCs w:val="18"/>
              </w:rPr>
              <w:t>0,96</w:t>
            </w:r>
          </w:p>
        </w:tc>
      </w:tr>
    </w:tbl>
    <w:p w14:paraId="48521045" w14:textId="77777777" w:rsidR="00876708" w:rsidRDefault="00876708" w:rsidP="00DF64C7">
      <w:pPr>
        <w:pStyle w:val="podpisrdailustracji"/>
        <w:spacing w:line="271" w:lineRule="auto"/>
        <w:jc w:val="left"/>
      </w:pPr>
      <w:r>
        <w:t>Źródło</w:t>
      </w:r>
      <w:r w:rsidRPr="000772E8">
        <w:rPr>
          <w:rFonts w:cs="Arial"/>
        </w:rPr>
        <w:t xml:space="preserve"> </w:t>
      </w:r>
      <w:r>
        <w:rPr>
          <w:rFonts w:cs="Arial"/>
        </w:rPr>
        <w:t xml:space="preserve">Opracowanie </w:t>
      </w:r>
      <w:r w:rsidR="003E5DB0">
        <w:rPr>
          <w:rFonts w:cs="Arial"/>
        </w:rPr>
        <w:t>własne</w:t>
      </w:r>
      <w:r>
        <w:rPr>
          <w:rFonts w:cs="Arial"/>
        </w:rPr>
        <w:t xml:space="preserve"> na podstawie</w:t>
      </w:r>
      <w:r>
        <w:t xml:space="preserve"> Monitoringu wskaźników rzeczowych (data dostępu: 30.09 2019 r.).</w:t>
      </w:r>
    </w:p>
    <w:p w14:paraId="0F46F61E" w14:textId="77777777" w:rsidR="00876708" w:rsidRDefault="00876708" w:rsidP="00DF64C7">
      <w:pPr>
        <w:jc w:val="left"/>
        <w:sectPr w:rsidR="00876708" w:rsidSect="00E24BD3">
          <w:pgSz w:w="16838" w:h="11906" w:orient="landscape"/>
          <w:pgMar w:top="1418" w:right="1418" w:bottom="1418" w:left="1418" w:header="709" w:footer="709" w:gutter="0"/>
          <w:cols w:space="708"/>
          <w:docGrid w:linePitch="360"/>
        </w:sectPr>
      </w:pPr>
    </w:p>
    <w:p w14:paraId="305CA894" w14:textId="77777777" w:rsidR="00876708" w:rsidRDefault="00876708" w:rsidP="00DF64C7">
      <w:pPr>
        <w:jc w:val="left"/>
      </w:pPr>
      <w:r>
        <w:t xml:space="preserve">Analizując wszystkie wyniki w ramach poszczególnych grup wskaźników można zauważyć, że średni poziom realizacji wskaźników dla ram wykonania OP XI wynosi 123%, natomiast efektywność kosztowa wynosi 3,53. Z kolei dla OP XII średni poziom realizacji wskaźników wynosi </w:t>
      </w:r>
      <w:r w:rsidR="00B11F10">
        <w:t>50</w:t>
      </w:r>
      <w:r>
        <w:t>%, co przekłada się na efektywność kosztową na poziomie 1,</w:t>
      </w:r>
      <w:r w:rsidR="00B11F10">
        <w:t>065</w:t>
      </w:r>
      <w:r>
        <w:t>.</w:t>
      </w:r>
    </w:p>
    <w:p w14:paraId="6DBBFAC6" w14:textId="77777777" w:rsidR="00876708" w:rsidRDefault="00876708" w:rsidP="00DF64C7">
      <w:pPr>
        <w:jc w:val="left"/>
      </w:pPr>
      <w:r>
        <w:t>Warto zwrócić uwagę, że najwyższy średni poziom realizacji wskaźników (777%), a zarazem wskaźnik efektywności kosztowej (22,33) dla działań realizowanych w ramach XI OP charakteryzuje działanie 11.3. W następnej kolejności znalazły się działania: 11.1 (203%/ 5,83) oraz 11.2 (123%/ 3,53). Średni procent realizacji wskaźników dla całej XI osi priorytetowej wynosi 234%, natomiast efektywność kosztowa dla XI OP wynosi 6,72.</w:t>
      </w:r>
    </w:p>
    <w:p w14:paraId="5F9062EE" w14:textId="77777777" w:rsidR="00876708" w:rsidRDefault="00876708" w:rsidP="00DF64C7">
      <w:pPr>
        <w:jc w:val="left"/>
      </w:pPr>
      <w:r>
        <w:t>W przypadku XII OP najwyższy średni poziom realizacji wskaźników (60%), a zarazem wskaźnik efektywności kosztowej (1,28) charakteryzuje działanie 12.2. Średni poziom realizacji wskaźników w ramach działania 12.1 wynosi 57%, co daje efektywność kosztową na poziomie 1,21. Średni procent realizacji wskaźników dla całej XII osi priorytetowej wynosi 49%, natomiast efektywność kosztowa XII OP wynosi 1,04.</w:t>
      </w:r>
    </w:p>
    <w:p w14:paraId="41303EF8" w14:textId="73F4E96A" w:rsidR="00876708" w:rsidRDefault="00876708" w:rsidP="00DF64C7">
      <w:pPr>
        <w:pStyle w:val="Legenda"/>
        <w:spacing w:line="271" w:lineRule="auto"/>
        <w:jc w:val="left"/>
      </w:pPr>
      <w:bookmarkStart w:id="60" w:name="_Toc33457226"/>
      <w:r>
        <w:t xml:space="preserve">Tabela </w:t>
      </w:r>
      <w:r>
        <w:rPr>
          <w:noProof/>
        </w:rPr>
        <w:fldChar w:fldCharType="begin"/>
      </w:r>
      <w:r>
        <w:rPr>
          <w:noProof/>
        </w:rPr>
        <w:instrText xml:space="preserve"> SEQ Tabela \* ARABIC </w:instrText>
      </w:r>
      <w:r>
        <w:rPr>
          <w:noProof/>
        </w:rPr>
        <w:fldChar w:fldCharType="separate"/>
      </w:r>
      <w:r w:rsidR="00A8147E">
        <w:rPr>
          <w:noProof/>
        </w:rPr>
        <w:t>27</w:t>
      </w:r>
      <w:r>
        <w:rPr>
          <w:noProof/>
        </w:rPr>
        <w:fldChar w:fldCharType="end"/>
      </w:r>
      <w:r>
        <w:rPr>
          <w:noProof/>
        </w:rPr>
        <w:t>.</w:t>
      </w:r>
      <w:r>
        <w:t xml:space="preserve"> Efektywność kosztowa w ramach poszczególnych działań RPO WSL 2014-2020</w:t>
      </w:r>
      <w:bookmarkEnd w:id="60"/>
    </w:p>
    <w:tbl>
      <w:tblPr>
        <w:tblStyle w:val="redniasiatka3akcent6"/>
        <w:tblW w:w="0" w:type="auto"/>
        <w:tblLook w:val="04A0" w:firstRow="1" w:lastRow="0" w:firstColumn="1" w:lastColumn="0" w:noHBand="0" w:noVBand="1"/>
        <w:tblCaption w:val="Efektywność kosztowa w ramach poszczególnych działań RPO WSL 2014-2020"/>
        <w:tblDescription w:val="W tabeli przedstawiono efektywność kosztową w ramach poszczególnych działań RPO WSL 2014-2020, w tym: średni procentowy poziom realizacji wskaźników oraz wskaźnik efektywności kosztowej."/>
      </w:tblPr>
      <w:tblGrid>
        <w:gridCol w:w="510"/>
        <w:gridCol w:w="1061"/>
        <w:gridCol w:w="2814"/>
        <w:gridCol w:w="1254"/>
        <w:gridCol w:w="2201"/>
        <w:gridCol w:w="1210"/>
      </w:tblGrid>
      <w:tr w:rsidR="00876708" w14:paraId="6EF1CB42" w14:textId="77777777" w:rsidTr="009F10DC">
        <w:trPr>
          <w:cnfStyle w:val="100000000000" w:firstRow="1" w:lastRow="0" w:firstColumn="0" w:lastColumn="0" w:oddVBand="0" w:evenVBand="0" w:oddHBand="0" w:evenHBand="0" w:firstRowFirstColumn="0" w:firstRowLastColumn="0" w:lastRowFirstColumn="0" w:lastRowLastColumn="0"/>
          <w:trHeight w:val="141"/>
          <w:tblHeader/>
        </w:trPr>
        <w:tc>
          <w:tcPr>
            <w:cnfStyle w:val="001000000000" w:firstRow="0" w:lastRow="0" w:firstColumn="1" w:lastColumn="0" w:oddVBand="0" w:evenVBand="0" w:oddHBand="0" w:evenHBand="0" w:firstRowFirstColumn="0" w:firstRowLastColumn="0" w:lastRowFirstColumn="0" w:lastRowLastColumn="0"/>
            <w:tcW w:w="512" w:type="dxa"/>
          </w:tcPr>
          <w:p w14:paraId="72EC8941" w14:textId="77777777" w:rsidR="00876708" w:rsidRPr="00CC5DF1" w:rsidRDefault="00876708" w:rsidP="00DF64C7">
            <w:pPr>
              <w:jc w:val="left"/>
              <w:rPr>
                <w:sz w:val="18"/>
              </w:rPr>
            </w:pPr>
            <w:r>
              <w:rPr>
                <w:sz w:val="18"/>
              </w:rPr>
              <w:t>OP</w:t>
            </w:r>
          </w:p>
        </w:tc>
        <w:tc>
          <w:tcPr>
            <w:tcW w:w="1064" w:type="dxa"/>
          </w:tcPr>
          <w:p w14:paraId="775A88A8" w14:textId="77777777" w:rsidR="00876708" w:rsidRDefault="00876708" w:rsidP="00DF64C7">
            <w:pPr>
              <w:jc w:val="left"/>
              <w:cnfStyle w:val="100000000000" w:firstRow="1" w:lastRow="0" w:firstColumn="0" w:lastColumn="0" w:oddVBand="0" w:evenVBand="0" w:oddHBand="0" w:evenHBand="0" w:firstRowFirstColumn="0" w:firstRowLastColumn="0" w:lastRowFirstColumn="0" w:lastRowLastColumn="0"/>
              <w:rPr>
                <w:sz w:val="18"/>
              </w:rPr>
            </w:pPr>
            <w:r>
              <w:rPr>
                <w:sz w:val="18"/>
              </w:rPr>
              <w:t>Działanie</w:t>
            </w:r>
          </w:p>
        </w:tc>
        <w:tc>
          <w:tcPr>
            <w:tcW w:w="4201" w:type="dxa"/>
            <w:gridSpan w:val="2"/>
          </w:tcPr>
          <w:p w14:paraId="67399395" w14:textId="77777777" w:rsidR="00876708" w:rsidRDefault="00876708" w:rsidP="00DF64C7">
            <w:pPr>
              <w:jc w:val="left"/>
              <w:cnfStyle w:val="100000000000" w:firstRow="1" w:lastRow="0" w:firstColumn="0" w:lastColumn="0" w:oddVBand="0" w:evenVBand="0" w:oddHBand="0" w:evenHBand="0" w:firstRowFirstColumn="0" w:firstRowLastColumn="0" w:lastRowFirstColumn="0" w:lastRowLastColumn="0"/>
              <w:rPr>
                <w:sz w:val="18"/>
              </w:rPr>
            </w:pPr>
            <w:r>
              <w:rPr>
                <w:sz w:val="18"/>
              </w:rPr>
              <w:t>Średni % realizacji wskaźników</w:t>
            </w:r>
          </w:p>
        </w:tc>
        <w:tc>
          <w:tcPr>
            <w:tcW w:w="3509" w:type="dxa"/>
            <w:gridSpan w:val="2"/>
          </w:tcPr>
          <w:p w14:paraId="26DFB364" w14:textId="77777777" w:rsidR="00876708" w:rsidRDefault="00876708" w:rsidP="00DF64C7">
            <w:pPr>
              <w:jc w:val="left"/>
              <w:cnfStyle w:val="100000000000" w:firstRow="1" w:lastRow="0" w:firstColumn="0" w:lastColumn="0" w:oddVBand="0" w:evenVBand="0" w:oddHBand="0" w:evenHBand="0" w:firstRowFirstColumn="0" w:firstRowLastColumn="0" w:lastRowFirstColumn="0" w:lastRowLastColumn="0"/>
              <w:rPr>
                <w:sz w:val="18"/>
              </w:rPr>
            </w:pPr>
            <w:r>
              <w:rPr>
                <w:sz w:val="18"/>
              </w:rPr>
              <w:t>Efektywność kosztowa (wskaźnik)</w:t>
            </w:r>
          </w:p>
        </w:tc>
      </w:tr>
      <w:tr w:rsidR="00876708" w14:paraId="685C16D7" w14:textId="77777777" w:rsidTr="009F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6"/>
          </w:tcPr>
          <w:p w14:paraId="4D0F8B34" w14:textId="77777777" w:rsidR="00876708" w:rsidRDefault="00876708" w:rsidP="00DF64C7">
            <w:pPr>
              <w:jc w:val="left"/>
              <w:rPr>
                <w:sz w:val="18"/>
              </w:rPr>
            </w:pPr>
            <w:r>
              <w:rPr>
                <w:sz w:val="18"/>
              </w:rPr>
              <w:t>Ramy wykonania</w:t>
            </w:r>
          </w:p>
        </w:tc>
      </w:tr>
      <w:tr w:rsidR="00876708" w14:paraId="1C105AF1" w14:textId="77777777" w:rsidTr="009F10DC">
        <w:tc>
          <w:tcPr>
            <w:cnfStyle w:val="001000000000" w:firstRow="0" w:lastRow="0" w:firstColumn="1" w:lastColumn="0" w:oddVBand="0" w:evenVBand="0" w:oddHBand="0" w:evenHBand="0" w:firstRowFirstColumn="0" w:firstRowLastColumn="0" w:lastRowFirstColumn="0" w:lastRowLastColumn="0"/>
            <w:tcW w:w="512" w:type="dxa"/>
            <w:vMerge w:val="restart"/>
          </w:tcPr>
          <w:p w14:paraId="2FE524DA" w14:textId="77777777" w:rsidR="00876708" w:rsidRPr="00CC5DF1" w:rsidRDefault="00876708" w:rsidP="00DF64C7">
            <w:pPr>
              <w:jc w:val="left"/>
              <w:rPr>
                <w:sz w:val="18"/>
              </w:rPr>
            </w:pPr>
            <w:r>
              <w:rPr>
                <w:sz w:val="18"/>
              </w:rPr>
              <w:t>XI</w:t>
            </w:r>
          </w:p>
        </w:tc>
        <w:tc>
          <w:tcPr>
            <w:tcW w:w="1064" w:type="dxa"/>
            <w:vAlign w:val="center"/>
          </w:tcPr>
          <w:p w14:paraId="04C38482"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11.1</w:t>
            </w:r>
          </w:p>
        </w:tc>
        <w:tc>
          <w:tcPr>
            <w:tcW w:w="2926" w:type="dxa"/>
            <w:vAlign w:val="center"/>
          </w:tcPr>
          <w:p w14:paraId="5BBF2360" w14:textId="77777777" w:rsidR="00876708" w:rsidRDefault="00876708" w:rsidP="003E5E36">
            <w:pPr>
              <w:jc w:val="righ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178%</w:t>
            </w:r>
          </w:p>
        </w:tc>
        <w:tc>
          <w:tcPr>
            <w:tcW w:w="1275" w:type="dxa"/>
            <w:vMerge w:val="restart"/>
            <w:vAlign w:val="center"/>
          </w:tcPr>
          <w:p w14:paraId="4EBD03E6" w14:textId="77777777" w:rsidR="00876708"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XI ogółem: 123%</w:t>
            </w:r>
          </w:p>
        </w:tc>
        <w:tc>
          <w:tcPr>
            <w:tcW w:w="3509" w:type="dxa"/>
            <w:gridSpan w:val="2"/>
            <w:vAlign w:val="center"/>
          </w:tcPr>
          <w:p w14:paraId="444B6938" w14:textId="77777777" w:rsidR="00876708" w:rsidRDefault="00876708" w:rsidP="003E5E36">
            <w:pPr>
              <w:jc w:val="righ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511</w:t>
            </w:r>
          </w:p>
        </w:tc>
      </w:tr>
      <w:tr w:rsidR="00876708" w14:paraId="543B230F" w14:textId="77777777" w:rsidTr="009F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tcPr>
          <w:p w14:paraId="3A7DA1F9" w14:textId="77777777" w:rsidR="00876708" w:rsidRDefault="00876708" w:rsidP="00DF64C7">
            <w:pPr>
              <w:jc w:val="left"/>
              <w:rPr>
                <w:sz w:val="18"/>
              </w:rPr>
            </w:pPr>
          </w:p>
        </w:tc>
        <w:tc>
          <w:tcPr>
            <w:tcW w:w="1064" w:type="dxa"/>
            <w:vAlign w:val="center"/>
          </w:tcPr>
          <w:p w14:paraId="00BB9FCF" w14:textId="77777777" w:rsidR="00876708"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11.2</w:t>
            </w:r>
          </w:p>
        </w:tc>
        <w:tc>
          <w:tcPr>
            <w:tcW w:w="2926" w:type="dxa"/>
            <w:vAlign w:val="center"/>
          </w:tcPr>
          <w:p w14:paraId="38EE6D37" w14:textId="77777777" w:rsidR="00876708" w:rsidRDefault="00876708" w:rsidP="003E5E36">
            <w:pPr>
              <w:jc w:val="righ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68%</w:t>
            </w:r>
          </w:p>
        </w:tc>
        <w:tc>
          <w:tcPr>
            <w:tcW w:w="1275" w:type="dxa"/>
            <w:vMerge/>
            <w:vAlign w:val="center"/>
          </w:tcPr>
          <w:p w14:paraId="2DE0A67B" w14:textId="77777777" w:rsidR="00876708"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p>
        </w:tc>
        <w:tc>
          <w:tcPr>
            <w:tcW w:w="3509" w:type="dxa"/>
            <w:gridSpan w:val="2"/>
            <w:vAlign w:val="center"/>
          </w:tcPr>
          <w:p w14:paraId="1E5F9746" w14:textId="77777777" w:rsidR="00876708" w:rsidRDefault="00876708" w:rsidP="003E5E36">
            <w:pPr>
              <w:jc w:val="right"/>
              <w:cnfStyle w:val="000000100000" w:firstRow="0" w:lastRow="0" w:firstColumn="0" w:lastColumn="0" w:oddVBand="0" w:evenVBand="0" w:oddHBand="1" w:evenHBand="0" w:firstRowFirstColumn="0" w:firstRowLastColumn="0" w:lastRowFirstColumn="0" w:lastRowLastColumn="0"/>
              <w:rPr>
                <w:rFonts w:cs="Arial"/>
                <w:color w:val="000000"/>
                <w:sz w:val="18"/>
              </w:rPr>
            </w:pPr>
            <w:r>
              <w:rPr>
                <w:rFonts w:cs="Arial"/>
                <w:color w:val="000000"/>
                <w:sz w:val="18"/>
                <w:szCs w:val="18"/>
              </w:rPr>
              <w:t>1,95</w:t>
            </w:r>
          </w:p>
        </w:tc>
      </w:tr>
      <w:tr w:rsidR="00876708" w14:paraId="0570420A" w14:textId="77777777" w:rsidTr="009F10DC">
        <w:tc>
          <w:tcPr>
            <w:cnfStyle w:val="001000000000" w:firstRow="0" w:lastRow="0" w:firstColumn="1" w:lastColumn="0" w:oddVBand="0" w:evenVBand="0" w:oddHBand="0" w:evenHBand="0" w:firstRowFirstColumn="0" w:firstRowLastColumn="0" w:lastRowFirstColumn="0" w:lastRowLastColumn="0"/>
            <w:tcW w:w="512" w:type="dxa"/>
            <w:vMerge w:val="restart"/>
          </w:tcPr>
          <w:p w14:paraId="7BBCCCFD" w14:textId="77777777" w:rsidR="00876708" w:rsidRPr="00CC5DF1" w:rsidRDefault="00876708" w:rsidP="00DF64C7">
            <w:pPr>
              <w:jc w:val="left"/>
              <w:rPr>
                <w:sz w:val="18"/>
              </w:rPr>
            </w:pPr>
            <w:r>
              <w:rPr>
                <w:sz w:val="18"/>
              </w:rPr>
              <w:t>XII</w:t>
            </w:r>
          </w:p>
        </w:tc>
        <w:tc>
          <w:tcPr>
            <w:tcW w:w="1064" w:type="dxa"/>
            <w:vAlign w:val="center"/>
          </w:tcPr>
          <w:p w14:paraId="1510FE3F"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12.1</w:t>
            </w:r>
          </w:p>
        </w:tc>
        <w:tc>
          <w:tcPr>
            <w:tcW w:w="2926" w:type="dxa"/>
            <w:vAlign w:val="center"/>
          </w:tcPr>
          <w:p w14:paraId="47F685F0" w14:textId="77777777" w:rsidR="00876708" w:rsidRDefault="00876708" w:rsidP="003E5E36">
            <w:pPr>
              <w:jc w:val="righ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40%</w:t>
            </w:r>
          </w:p>
        </w:tc>
        <w:tc>
          <w:tcPr>
            <w:tcW w:w="1275" w:type="dxa"/>
            <w:vMerge w:val="restart"/>
            <w:vAlign w:val="center"/>
          </w:tcPr>
          <w:p w14:paraId="577D13DD" w14:textId="77777777" w:rsidR="00876708"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 xml:space="preserve">XII ogółem: </w:t>
            </w:r>
            <w:r w:rsidR="00B11F10">
              <w:rPr>
                <w:rFonts w:cs="Arial"/>
                <w:color w:val="000000"/>
                <w:sz w:val="18"/>
                <w:szCs w:val="18"/>
              </w:rPr>
              <w:t>5</w:t>
            </w:r>
            <w:r>
              <w:rPr>
                <w:rFonts w:cs="Arial"/>
                <w:color w:val="000000"/>
                <w:sz w:val="18"/>
                <w:szCs w:val="18"/>
              </w:rPr>
              <w:t>0%</w:t>
            </w:r>
          </w:p>
        </w:tc>
        <w:tc>
          <w:tcPr>
            <w:tcW w:w="3509" w:type="dxa"/>
            <w:gridSpan w:val="2"/>
            <w:vAlign w:val="center"/>
          </w:tcPr>
          <w:p w14:paraId="746FF0A8" w14:textId="77777777" w:rsidR="00876708" w:rsidRDefault="00876708" w:rsidP="003E5E36">
            <w:pPr>
              <w:jc w:val="righ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0,85</w:t>
            </w:r>
          </w:p>
        </w:tc>
      </w:tr>
      <w:tr w:rsidR="00876708" w14:paraId="2792D4EE" w14:textId="77777777" w:rsidTr="009F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tcPr>
          <w:p w14:paraId="3EA2276A" w14:textId="77777777" w:rsidR="00876708" w:rsidRDefault="00876708" w:rsidP="00DF64C7">
            <w:pPr>
              <w:jc w:val="left"/>
              <w:rPr>
                <w:sz w:val="18"/>
              </w:rPr>
            </w:pPr>
          </w:p>
        </w:tc>
        <w:tc>
          <w:tcPr>
            <w:tcW w:w="1064" w:type="dxa"/>
            <w:vAlign w:val="bottom"/>
          </w:tcPr>
          <w:p w14:paraId="6DCEE6AC" w14:textId="77777777" w:rsidR="00876708"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r>
              <w:rPr>
                <w:rFonts w:ascii="Calibri" w:hAnsi="Calibri" w:cs="Calibri"/>
                <w:color w:val="000000"/>
              </w:rPr>
              <w:t>12.2</w:t>
            </w:r>
          </w:p>
        </w:tc>
        <w:tc>
          <w:tcPr>
            <w:tcW w:w="2926" w:type="dxa"/>
            <w:vAlign w:val="center"/>
          </w:tcPr>
          <w:p w14:paraId="3574342B" w14:textId="77777777" w:rsidR="00876708" w:rsidRDefault="00876708" w:rsidP="003E5E36">
            <w:pPr>
              <w:jc w:val="righ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60%</w:t>
            </w:r>
          </w:p>
        </w:tc>
        <w:tc>
          <w:tcPr>
            <w:tcW w:w="1275" w:type="dxa"/>
            <w:vMerge/>
            <w:vAlign w:val="center"/>
          </w:tcPr>
          <w:p w14:paraId="46022DD0" w14:textId="77777777" w:rsidR="00876708"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p>
        </w:tc>
        <w:tc>
          <w:tcPr>
            <w:tcW w:w="3509" w:type="dxa"/>
            <w:gridSpan w:val="2"/>
            <w:vAlign w:val="center"/>
          </w:tcPr>
          <w:p w14:paraId="5CA45662" w14:textId="77777777" w:rsidR="00876708" w:rsidRDefault="00876708" w:rsidP="003E5E36">
            <w:pPr>
              <w:jc w:val="right"/>
              <w:cnfStyle w:val="000000100000" w:firstRow="0" w:lastRow="0" w:firstColumn="0" w:lastColumn="0" w:oddVBand="0" w:evenVBand="0" w:oddHBand="1" w:evenHBand="0" w:firstRowFirstColumn="0" w:firstRowLastColumn="0" w:lastRowFirstColumn="0" w:lastRowLastColumn="0"/>
              <w:rPr>
                <w:rFonts w:cs="Arial"/>
                <w:color w:val="000000"/>
                <w:sz w:val="18"/>
              </w:rPr>
            </w:pPr>
            <w:r>
              <w:rPr>
                <w:rFonts w:cs="Arial"/>
                <w:color w:val="000000"/>
                <w:sz w:val="18"/>
                <w:szCs w:val="18"/>
              </w:rPr>
              <w:t>1,28</w:t>
            </w:r>
          </w:p>
        </w:tc>
      </w:tr>
      <w:tr w:rsidR="00876708" w14:paraId="512305EA" w14:textId="77777777" w:rsidTr="009F10DC">
        <w:tc>
          <w:tcPr>
            <w:cnfStyle w:val="001000000000" w:firstRow="0" w:lastRow="0" w:firstColumn="1" w:lastColumn="0" w:oddVBand="0" w:evenVBand="0" w:oddHBand="0" w:evenHBand="0" w:firstRowFirstColumn="0" w:firstRowLastColumn="0" w:lastRowFirstColumn="0" w:lastRowLastColumn="0"/>
            <w:tcW w:w="9286" w:type="dxa"/>
            <w:gridSpan w:val="6"/>
          </w:tcPr>
          <w:p w14:paraId="46FF7472" w14:textId="77777777" w:rsidR="00876708" w:rsidRDefault="00876708" w:rsidP="003E5E36">
            <w:pPr>
              <w:jc w:val="left"/>
              <w:rPr>
                <w:sz w:val="18"/>
              </w:rPr>
            </w:pPr>
            <w:r>
              <w:rPr>
                <w:sz w:val="18"/>
              </w:rPr>
              <w:t>EFS</w:t>
            </w:r>
          </w:p>
        </w:tc>
      </w:tr>
      <w:tr w:rsidR="00876708" w14:paraId="1BA4DE44" w14:textId="77777777" w:rsidTr="009F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val="restart"/>
          </w:tcPr>
          <w:p w14:paraId="47A6CD4E" w14:textId="77777777" w:rsidR="00876708" w:rsidRPr="00CC5DF1" w:rsidRDefault="00876708" w:rsidP="00DF64C7">
            <w:pPr>
              <w:jc w:val="left"/>
              <w:rPr>
                <w:sz w:val="18"/>
              </w:rPr>
            </w:pPr>
            <w:r>
              <w:rPr>
                <w:sz w:val="18"/>
              </w:rPr>
              <w:t>XI</w:t>
            </w:r>
          </w:p>
        </w:tc>
        <w:tc>
          <w:tcPr>
            <w:tcW w:w="1064" w:type="dxa"/>
            <w:vAlign w:val="center"/>
          </w:tcPr>
          <w:p w14:paraId="651F075E" w14:textId="77777777" w:rsidR="00876708" w:rsidRPr="00CC5DF1"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11.1</w:t>
            </w:r>
          </w:p>
        </w:tc>
        <w:tc>
          <w:tcPr>
            <w:tcW w:w="2926" w:type="dxa"/>
            <w:vAlign w:val="center"/>
          </w:tcPr>
          <w:p w14:paraId="726A9FC6" w14:textId="77777777" w:rsidR="00876708" w:rsidRPr="00CC5DF1" w:rsidRDefault="00876708" w:rsidP="003E5E36">
            <w:pPr>
              <w:jc w:val="righ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203%</w:t>
            </w:r>
          </w:p>
        </w:tc>
        <w:tc>
          <w:tcPr>
            <w:tcW w:w="1275" w:type="dxa"/>
            <w:vMerge w:val="restart"/>
            <w:vAlign w:val="center"/>
          </w:tcPr>
          <w:p w14:paraId="7F806E14" w14:textId="77777777" w:rsidR="00876708" w:rsidRPr="00CC5DF1"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XI ogółem: 234%</w:t>
            </w:r>
          </w:p>
        </w:tc>
        <w:tc>
          <w:tcPr>
            <w:tcW w:w="2281" w:type="dxa"/>
            <w:vAlign w:val="center"/>
          </w:tcPr>
          <w:p w14:paraId="7D0BFEE8" w14:textId="77777777" w:rsidR="00876708" w:rsidRPr="00CC5DF1" w:rsidRDefault="00876708" w:rsidP="003E5E36">
            <w:pPr>
              <w:jc w:val="righ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5,83</w:t>
            </w:r>
          </w:p>
        </w:tc>
        <w:tc>
          <w:tcPr>
            <w:tcW w:w="1228" w:type="dxa"/>
            <w:vMerge w:val="restart"/>
            <w:vAlign w:val="center"/>
          </w:tcPr>
          <w:p w14:paraId="503EFE0B" w14:textId="77777777" w:rsidR="00876708" w:rsidRPr="00CC5DF1"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XI ogółem: 6,72</w:t>
            </w:r>
          </w:p>
        </w:tc>
      </w:tr>
      <w:tr w:rsidR="00876708" w14:paraId="3E77A6F8" w14:textId="77777777" w:rsidTr="009F10DC">
        <w:tc>
          <w:tcPr>
            <w:cnfStyle w:val="001000000000" w:firstRow="0" w:lastRow="0" w:firstColumn="1" w:lastColumn="0" w:oddVBand="0" w:evenVBand="0" w:oddHBand="0" w:evenHBand="0" w:firstRowFirstColumn="0" w:firstRowLastColumn="0" w:lastRowFirstColumn="0" w:lastRowLastColumn="0"/>
            <w:tcW w:w="512" w:type="dxa"/>
            <w:vMerge/>
          </w:tcPr>
          <w:p w14:paraId="1EEF8A42" w14:textId="77777777" w:rsidR="00876708" w:rsidRPr="00CC5DF1" w:rsidRDefault="00876708" w:rsidP="00DF64C7">
            <w:pPr>
              <w:jc w:val="left"/>
              <w:rPr>
                <w:sz w:val="18"/>
              </w:rPr>
            </w:pPr>
          </w:p>
        </w:tc>
        <w:tc>
          <w:tcPr>
            <w:tcW w:w="1064" w:type="dxa"/>
            <w:vAlign w:val="center"/>
          </w:tcPr>
          <w:p w14:paraId="6697B840"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11.2</w:t>
            </w:r>
          </w:p>
        </w:tc>
        <w:tc>
          <w:tcPr>
            <w:tcW w:w="2926" w:type="dxa"/>
            <w:vAlign w:val="center"/>
          </w:tcPr>
          <w:p w14:paraId="65846AE1" w14:textId="77777777" w:rsidR="00876708" w:rsidRPr="00CC5DF1" w:rsidRDefault="00876708" w:rsidP="003E5E36">
            <w:pPr>
              <w:jc w:val="righ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123%</w:t>
            </w:r>
          </w:p>
        </w:tc>
        <w:tc>
          <w:tcPr>
            <w:tcW w:w="1275" w:type="dxa"/>
            <w:vMerge/>
            <w:vAlign w:val="center"/>
          </w:tcPr>
          <w:p w14:paraId="24052EB4"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p>
        </w:tc>
        <w:tc>
          <w:tcPr>
            <w:tcW w:w="2281" w:type="dxa"/>
            <w:vAlign w:val="center"/>
          </w:tcPr>
          <w:p w14:paraId="75DD779E" w14:textId="77777777" w:rsidR="00876708" w:rsidRPr="00CC5DF1" w:rsidRDefault="00876708" w:rsidP="003E5E36">
            <w:pPr>
              <w:jc w:val="righ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3,53</w:t>
            </w:r>
          </w:p>
        </w:tc>
        <w:tc>
          <w:tcPr>
            <w:tcW w:w="1228" w:type="dxa"/>
            <w:vMerge/>
            <w:vAlign w:val="center"/>
          </w:tcPr>
          <w:p w14:paraId="4C42EC7F"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p>
        </w:tc>
      </w:tr>
      <w:tr w:rsidR="00876708" w14:paraId="081FC195" w14:textId="77777777" w:rsidTr="009F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tcPr>
          <w:p w14:paraId="0F4D41FA" w14:textId="77777777" w:rsidR="00876708" w:rsidRPr="00CC5DF1" w:rsidRDefault="00876708" w:rsidP="00DF64C7">
            <w:pPr>
              <w:jc w:val="left"/>
              <w:rPr>
                <w:sz w:val="18"/>
              </w:rPr>
            </w:pPr>
          </w:p>
        </w:tc>
        <w:tc>
          <w:tcPr>
            <w:tcW w:w="1064" w:type="dxa"/>
            <w:vAlign w:val="center"/>
          </w:tcPr>
          <w:p w14:paraId="21E8CB0B" w14:textId="77777777" w:rsidR="00876708" w:rsidRPr="00CC5DF1"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11.3</w:t>
            </w:r>
          </w:p>
        </w:tc>
        <w:tc>
          <w:tcPr>
            <w:tcW w:w="2926" w:type="dxa"/>
            <w:vAlign w:val="center"/>
          </w:tcPr>
          <w:p w14:paraId="7AC239D0" w14:textId="77777777" w:rsidR="00876708" w:rsidRPr="00CC5DF1" w:rsidRDefault="00876708" w:rsidP="003E5E36">
            <w:pPr>
              <w:jc w:val="righ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777%</w:t>
            </w:r>
          </w:p>
        </w:tc>
        <w:tc>
          <w:tcPr>
            <w:tcW w:w="1275" w:type="dxa"/>
            <w:vMerge/>
            <w:vAlign w:val="center"/>
          </w:tcPr>
          <w:p w14:paraId="0830D215" w14:textId="77777777" w:rsidR="00876708" w:rsidRPr="00CC5DF1"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p>
        </w:tc>
        <w:tc>
          <w:tcPr>
            <w:tcW w:w="2281" w:type="dxa"/>
            <w:vAlign w:val="center"/>
          </w:tcPr>
          <w:p w14:paraId="53F82A4C" w14:textId="77777777" w:rsidR="00876708" w:rsidRPr="00CC5DF1" w:rsidRDefault="00876708" w:rsidP="003E5E36">
            <w:pPr>
              <w:jc w:val="righ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22,33</w:t>
            </w:r>
          </w:p>
        </w:tc>
        <w:tc>
          <w:tcPr>
            <w:tcW w:w="1228" w:type="dxa"/>
            <w:vMerge/>
            <w:vAlign w:val="center"/>
          </w:tcPr>
          <w:p w14:paraId="727B8810" w14:textId="77777777" w:rsidR="00876708" w:rsidRPr="00CC5DF1"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p>
        </w:tc>
      </w:tr>
      <w:tr w:rsidR="00876708" w14:paraId="4D563EDB" w14:textId="77777777" w:rsidTr="009F10DC">
        <w:tc>
          <w:tcPr>
            <w:cnfStyle w:val="001000000000" w:firstRow="0" w:lastRow="0" w:firstColumn="1" w:lastColumn="0" w:oddVBand="0" w:evenVBand="0" w:oddHBand="0" w:evenHBand="0" w:firstRowFirstColumn="0" w:firstRowLastColumn="0" w:lastRowFirstColumn="0" w:lastRowLastColumn="0"/>
            <w:tcW w:w="512" w:type="dxa"/>
            <w:vMerge/>
          </w:tcPr>
          <w:p w14:paraId="455216AB" w14:textId="77777777" w:rsidR="00876708" w:rsidRPr="00CC5DF1" w:rsidRDefault="00876708" w:rsidP="00DF64C7">
            <w:pPr>
              <w:jc w:val="left"/>
              <w:rPr>
                <w:sz w:val="18"/>
              </w:rPr>
            </w:pPr>
          </w:p>
        </w:tc>
        <w:tc>
          <w:tcPr>
            <w:tcW w:w="1064" w:type="dxa"/>
            <w:vAlign w:val="center"/>
          </w:tcPr>
          <w:p w14:paraId="793C7808"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11.4</w:t>
            </w:r>
          </w:p>
        </w:tc>
        <w:tc>
          <w:tcPr>
            <w:tcW w:w="2926" w:type="dxa"/>
            <w:vAlign w:val="center"/>
          </w:tcPr>
          <w:p w14:paraId="1FD5C9E9" w14:textId="77777777" w:rsidR="00876708" w:rsidRPr="00CC5DF1" w:rsidRDefault="00876708" w:rsidP="003E5E36">
            <w:pPr>
              <w:jc w:val="righ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41%</w:t>
            </w:r>
          </w:p>
        </w:tc>
        <w:tc>
          <w:tcPr>
            <w:tcW w:w="1275" w:type="dxa"/>
            <w:vMerge/>
            <w:vAlign w:val="center"/>
          </w:tcPr>
          <w:p w14:paraId="67AFC4FC"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p>
        </w:tc>
        <w:tc>
          <w:tcPr>
            <w:tcW w:w="2281" w:type="dxa"/>
            <w:vAlign w:val="center"/>
          </w:tcPr>
          <w:p w14:paraId="5D24F37A" w14:textId="77777777" w:rsidR="00876708" w:rsidRPr="00CC5DF1" w:rsidRDefault="00876708" w:rsidP="003E5E36">
            <w:pPr>
              <w:jc w:val="righ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1,18</w:t>
            </w:r>
          </w:p>
        </w:tc>
        <w:tc>
          <w:tcPr>
            <w:tcW w:w="1228" w:type="dxa"/>
            <w:vMerge/>
            <w:vAlign w:val="center"/>
          </w:tcPr>
          <w:p w14:paraId="6D9D79CA"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p>
        </w:tc>
      </w:tr>
      <w:tr w:rsidR="00876708" w14:paraId="6960DE6A" w14:textId="77777777" w:rsidTr="009F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6"/>
          </w:tcPr>
          <w:p w14:paraId="00B636CC" w14:textId="77777777" w:rsidR="00876708" w:rsidRDefault="00876708" w:rsidP="003E5E36">
            <w:pPr>
              <w:jc w:val="left"/>
              <w:rPr>
                <w:sz w:val="18"/>
              </w:rPr>
            </w:pPr>
            <w:r>
              <w:rPr>
                <w:sz w:val="18"/>
              </w:rPr>
              <w:t>EFRR</w:t>
            </w:r>
          </w:p>
        </w:tc>
      </w:tr>
      <w:tr w:rsidR="00876708" w14:paraId="400283B4" w14:textId="77777777" w:rsidTr="009F10DC">
        <w:tc>
          <w:tcPr>
            <w:cnfStyle w:val="001000000000" w:firstRow="0" w:lastRow="0" w:firstColumn="1" w:lastColumn="0" w:oddVBand="0" w:evenVBand="0" w:oddHBand="0" w:evenHBand="0" w:firstRowFirstColumn="0" w:firstRowLastColumn="0" w:lastRowFirstColumn="0" w:lastRowLastColumn="0"/>
            <w:tcW w:w="512" w:type="dxa"/>
            <w:vMerge w:val="restart"/>
          </w:tcPr>
          <w:p w14:paraId="44416C17" w14:textId="77777777" w:rsidR="00876708" w:rsidRPr="00CC5DF1" w:rsidRDefault="00876708" w:rsidP="00DF64C7">
            <w:pPr>
              <w:jc w:val="left"/>
              <w:rPr>
                <w:sz w:val="18"/>
              </w:rPr>
            </w:pPr>
            <w:r>
              <w:rPr>
                <w:sz w:val="18"/>
              </w:rPr>
              <w:t>XII</w:t>
            </w:r>
          </w:p>
        </w:tc>
        <w:tc>
          <w:tcPr>
            <w:tcW w:w="1064" w:type="dxa"/>
            <w:vAlign w:val="center"/>
          </w:tcPr>
          <w:p w14:paraId="1CDC7CA8"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12.1</w:t>
            </w:r>
          </w:p>
        </w:tc>
        <w:tc>
          <w:tcPr>
            <w:tcW w:w="2926" w:type="dxa"/>
            <w:vAlign w:val="center"/>
          </w:tcPr>
          <w:p w14:paraId="51A70BC0" w14:textId="77777777" w:rsidR="00876708" w:rsidRPr="00CC5DF1" w:rsidRDefault="00876708" w:rsidP="003E5E36">
            <w:pPr>
              <w:jc w:val="righ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57%</w:t>
            </w:r>
          </w:p>
        </w:tc>
        <w:tc>
          <w:tcPr>
            <w:tcW w:w="1275" w:type="dxa"/>
            <w:vMerge w:val="restart"/>
            <w:vAlign w:val="center"/>
          </w:tcPr>
          <w:p w14:paraId="107AB2F9"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XII ogółem: 49%</w:t>
            </w:r>
          </w:p>
        </w:tc>
        <w:tc>
          <w:tcPr>
            <w:tcW w:w="2281" w:type="dxa"/>
            <w:vAlign w:val="center"/>
          </w:tcPr>
          <w:p w14:paraId="4E30B55A" w14:textId="77777777" w:rsidR="00876708" w:rsidRPr="00CC5DF1" w:rsidRDefault="00876708" w:rsidP="003E5E36">
            <w:pPr>
              <w:jc w:val="righ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1,21</w:t>
            </w:r>
          </w:p>
        </w:tc>
        <w:tc>
          <w:tcPr>
            <w:tcW w:w="1228" w:type="dxa"/>
            <w:vMerge w:val="restart"/>
            <w:vAlign w:val="center"/>
          </w:tcPr>
          <w:p w14:paraId="3DAA0EB1"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XII ogółem: 1,04</w:t>
            </w:r>
          </w:p>
        </w:tc>
      </w:tr>
      <w:tr w:rsidR="00876708" w14:paraId="44AE3D71" w14:textId="77777777" w:rsidTr="009F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vMerge/>
          </w:tcPr>
          <w:p w14:paraId="3B835D58" w14:textId="77777777" w:rsidR="00876708" w:rsidRPr="00CC5DF1" w:rsidRDefault="00876708" w:rsidP="00DF64C7">
            <w:pPr>
              <w:jc w:val="left"/>
              <w:rPr>
                <w:sz w:val="18"/>
              </w:rPr>
            </w:pPr>
          </w:p>
        </w:tc>
        <w:tc>
          <w:tcPr>
            <w:tcW w:w="1064" w:type="dxa"/>
            <w:vAlign w:val="bottom"/>
          </w:tcPr>
          <w:p w14:paraId="39A0C15A" w14:textId="77777777" w:rsidR="00876708" w:rsidRPr="00CC5DF1"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r>
              <w:rPr>
                <w:rFonts w:ascii="Calibri" w:hAnsi="Calibri" w:cs="Calibri"/>
                <w:color w:val="000000"/>
              </w:rPr>
              <w:t>12.2</w:t>
            </w:r>
          </w:p>
        </w:tc>
        <w:tc>
          <w:tcPr>
            <w:tcW w:w="2926" w:type="dxa"/>
            <w:vAlign w:val="center"/>
          </w:tcPr>
          <w:p w14:paraId="67265F00" w14:textId="77777777" w:rsidR="00876708" w:rsidRPr="00CC5DF1" w:rsidRDefault="00876708" w:rsidP="003E5E36">
            <w:pPr>
              <w:jc w:val="righ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60%</w:t>
            </w:r>
          </w:p>
        </w:tc>
        <w:tc>
          <w:tcPr>
            <w:tcW w:w="1275" w:type="dxa"/>
            <w:vMerge/>
            <w:vAlign w:val="center"/>
          </w:tcPr>
          <w:p w14:paraId="461783E0" w14:textId="77777777" w:rsidR="00876708" w:rsidRPr="00CC5DF1"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p>
        </w:tc>
        <w:tc>
          <w:tcPr>
            <w:tcW w:w="2281" w:type="dxa"/>
            <w:vAlign w:val="center"/>
          </w:tcPr>
          <w:p w14:paraId="0F2B1267" w14:textId="77777777" w:rsidR="00876708" w:rsidRPr="00CC5DF1" w:rsidRDefault="00876708" w:rsidP="003E5E36">
            <w:pPr>
              <w:jc w:val="right"/>
              <w:cnfStyle w:val="000000100000" w:firstRow="0" w:lastRow="0" w:firstColumn="0" w:lastColumn="0" w:oddVBand="0" w:evenVBand="0" w:oddHBand="1" w:evenHBand="0" w:firstRowFirstColumn="0" w:firstRowLastColumn="0" w:lastRowFirstColumn="0" w:lastRowLastColumn="0"/>
              <w:rPr>
                <w:sz w:val="18"/>
              </w:rPr>
            </w:pPr>
            <w:r>
              <w:rPr>
                <w:rFonts w:cs="Arial"/>
                <w:color w:val="000000"/>
                <w:sz w:val="18"/>
                <w:szCs w:val="18"/>
              </w:rPr>
              <w:t>1,28</w:t>
            </w:r>
          </w:p>
        </w:tc>
        <w:tc>
          <w:tcPr>
            <w:tcW w:w="1228" w:type="dxa"/>
            <w:vMerge/>
            <w:vAlign w:val="center"/>
          </w:tcPr>
          <w:p w14:paraId="026DADB9" w14:textId="77777777" w:rsidR="00876708" w:rsidRPr="00CC5DF1" w:rsidRDefault="00876708" w:rsidP="00DF64C7">
            <w:pPr>
              <w:jc w:val="left"/>
              <w:cnfStyle w:val="000000100000" w:firstRow="0" w:lastRow="0" w:firstColumn="0" w:lastColumn="0" w:oddVBand="0" w:evenVBand="0" w:oddHBand="1" w:evenHBand="0" w:firstRowFirstColumn="0" w:firstRowLastColumn="0" w:lastRowFirstColumn="0" w:lastRowLastColumn="0"/>
              <w:rPr>
                <w:sz w:val="18"/>
              </w:rPr>
            </w:pPr>
          </w:p>
        </w:tc>
      </w:tr>
      <w:tr w:rsidR="00876708" w14:paraId="44B0D383" w14:textId="77777777" w:rsidTr="009F10DC">
        <w:tc>
          <w:tcPr>
            <w:cnfStyle w:val="001000000000" w:firstRow="0" w:lastRow="0" w:firstColumn="1" w:lastColumn="0" w:oddVBand="0" w:evenVBand="0" w:oddHBand="0" w:evenHBand="0" w:firstRowFirstColumn="0" w:firstRowLastColumn="0" w:lastRowFirstColumn="0" w:lastRowLastColumn="0"/>
            <w:tcW w:w="512" w:type="dxa"/>
            <w:vMerge/>
          </w:tcPr>
          <w:p w14:paraId="6B77EA79" w14:textId="77777777" w:rsidR="00876708" w:rsidRPr="00CC5DF1" w:rsidRDefault="00876708" w:rsidP="00DF64C7">
            <w:pPr>
              <w:jc w:val="left"/>
              <w:rPr>
                <w:sz w:val="18"/>
              </w:rPr>
            </w:pPr>
          </w:p>
        </w:tc>
        <w:tc>
          <w:tcPr>
            <w:tcW w:w="1064" w:type="dxa"/>
            <w:vAlign w:val="bottom"/>
          </w:tcPr>
          <w:p w14:paraId="726B0D4E" w14:textId="77777777" w:rsidR="00876708"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r>
              <w:rPr>
                <w:rFonts w:ascii="Calibri" w:hAnsi="Calibri" w:cs="Calibri"/>
                <w:color w:val="000000"/>
              </w:rPr>
              <w:t>12.3</w:t>
            </w:r>
          </w:p>
        </w:tc>
        <w:tc>
          <w:tcPr>
            <w:tcW w:w="2926" w:type="dxa"/>
            <w:vAlign w:val="center"/>
          </w:tcPr>
          <w:p w14:paraId="0FEA522A" w14:textId="77777777" w:rsidR="00876708" w:rsidRDefault="00876708" w:rsidP="003E5E36">
            <w:pPr>
              <w:jc w:val="right"/>
              <w:cnfStyle w:val="000000000000" w:firstRow="0" w:lastRow="0" w:firstColumn="0" w:lastColumn="0" w:oddVBand="0" w:evenVBand="0" w:oddHBand="0" w:evenHBand="0" w:firstRowFirstColumn="0" w:firstRowLastColumn="0" w:lastRowFirstColumn="0" w:lastRowLastColumn="0"/>
              <w:rPr>
                <w:sz w:val="18"/>
              </w:rPr>
            </w:pPr>
            <w:r>
              <w:rPr>
                <w:rFonts w:cs="Arial"/>
                <w:color w:val="000000"/>
                <w:sz w:val="18"/>
                <w:szCs w:val="18"/>
              </w:rPr>
              <w:t>0%</w:t>
            </w:r>
          </w:p>
        </w:tc>
        <w:tc>
          <w:tcPr>
            <w:tcW w:w="1275" w:type="dxa"/>
            <w:vMerge/>
            <w:vAlign w:val="center"/>
          </w:tcPr>
          <w:p w14:paraId="2B5ECD3B"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p>
        </w:tc>
        <w:tc>
          <w:tcPr>
            <w:tcW w:w="2281" w:type="dxa"/>
            <w:vAlign w:val="center"/>
          </w:tcPr>
          <w:p w14:paraId="6EF41E35" w14:textId="77777777" w:rsidR="00876708" w:rsidRDefault="00876708" w:rsidP="003E5E36">
            <w:pPr>
              <w:jc w:val="right"/>
              <w:cnfStyle w:val="000000000000" w:firstRow="0" w:lastRow="0" w:firstColumn="0" w:lastColumn="0" w:oddVBand="0" w:evenVBand="0" w:oddHBand="0" w:evenHBand="0" w:firstRowFirstColumn="0" w:firstRowLastColumn="0" w:lastRowFirstColumn="0" w:lastRowLastColumn="0"/>
              <w:rPr>
                <w:rFonts w:cs="Arial"/>
                <w:color w:val="000000"/>
                <w:sz w:val="18"/>
              </w:rPr>
            </w:pPr>
            <w:r>
              <w:rPr>
                <w:rFonts w:cs="Arial"/>
                <w:color w:val="000000"/>
                <w:sz w:val="18"/>
                <w:szCs w:val="18"/>
              </w:rPr>
              <w:t>0,00</w:t>
            </w:r>
          </w:p>
        </w:tc>
        <w:tc>
          <w:tcPr>
            <w:tcW w:w="1228" w:type="dxa"/>
            <w:vMerge/>
            <w:vAlign w:val="center"/>
          </w:tcPr>
          <w:p w14:paraId="2637C5ED" w14:textId="77777777" w:rsidR="00876708" w:rsidRPr="00CC5DF1" w:rsidRDefault="00876708" w:rsidP="00DF64C7">
            <w:pPr>
              <w:jc w:val="left"/>
              <w:cnfStyle w:val="000000000000" w:firstRow="0" w:lastRow="0" w:firstColumn="0" w:lastColumn="0" w:oddVBand="0" w:evenVBand="0" w:oddHBand="0" w:evenHBand="0" w:firstRowFirstColumn="0" w:firstRowLastColumn="0" w:lastRowFirstColumn="0" w:lastRowLastColumn="0"/>
              <w:rPr>
                <w:sz w:val="18"/>
              </w:rPr>
            </w:pPr>
          </w:p>
        </w:tc>
      </w:tr>
    </w:tbl>
    <w:p w14:paraId="4EAF2E31" w14:textId="77777777" w:rsidR="00876708" w:rsidRDefault="00876708" w:rsidP="00DF64C7">
      <w:pPr>
        <w:pStyle w:val="podpisrdailustracji"/>
        <w:spacing w:line="271" w:lineRule="auto"/>
        <w:jc w:val="left"/>
      </w:pPr>
      <w:r>
        <w:t xml:space="preserve">Źródło: </w:t>
      </w:r>
      <w:r w:rsidRPr="00B15F98">
        <w:rPr>
          <w:rFonts w:cs="Arial"/>
        </w:rPr>
        <w:t xml:space="preserve">Opracowanie własne na </w:t>
      </w:r>
      <w:r w:rsidR="003E5DB0" w:rsidRPr="00B15F98">
        <w:rPr>
          <w:rFonts w:cs="Arial"/>
        </w:rPr>
        <w:t>podstawie</w:t>
      </w:r>
      <w:r w:rsidRPr="00B15F98">
        <w:rPr>
          <w:rFonts w:cs="Arial"/>
        </w:rPr>
        <w:t xml:space="preserve"> </w:t>
      </w:r>
      <w:r w:rsidR="003E5DB0" w:rsidRPr="00B15F98">
        <w:rPr>
          <w:rFonts w:cs="Arial"/>
        </w:rPr>
        <w:t>monitoringu</w:t>
      </w:r>
      <w:r w:rsidRPr="00B15F98">
        <w:rPr>
          <w:rFonts w:cs="Arial"/>
        </w:rPr>
        <w:t xml:space="preserve"> wskaźników finansowych w EUR – stan na dzień 1 października 2019 r.</w:t>
      </w:r>
      <w:r>
        <w:t xml:space="preserve"> </w:t>
      </w:r>
    </w:p>
    <w:p w14:paraId="318BF354" w14:textId="2B662B36" w:rsidR="00876708" w:rsidRDefault="00876708" w:rsidP="00DF64C7">
      <w:pPr>
        <w:jc w:val="left"/>
      </w:pPr>
      <w:r>
        <w:t>W związku z powyższym do najbardziej efektywnych, pod względem relacji kosztów do osiągniętych wartości wskaźników</w:t>
      </w:r>
      <w:r w:rsidR="00C43DC0">
        <w:t>,</w:t>
      </w:r>
      <w:r>
        <w:t xml:space="preserve"> zaliczyć można typy projektów realizowane w ramach działań:</w:t>
      </w:r>
    </w:p>
    <w:p w14:paraId="6102BC13" w14:textId="77777777" w:rsidR="00876708" w:rsidRDefault="00876708" w:rsidP="00DF64C7">
      <w:pPr>
        <w:pStyle w:val="Akapitzlist"/>
        <w:numPr>
          <w:ilvl w:val="0"/>
          <w:numId w:val="31"/>
        </w:numPr>
        <w:jc w:val="left"/>
      </w:pPr>
      <w:r>
        <w:t xml:space="preserve">11.3 </w:t>
      </w:r>
      <w:r w:rsidRPr="00893FF7">
        <w:t>Dostosowanie oferty kształcenia zawodowego do potrzeb lokalnego rynku pracy - kształcenie zawodowe osób dorosłych</w:t>
      </w:r>
      <w:r>
        <w:t>, tj.:</w:t>
      </w:r>
    </w:p>
    <w:p w14:paraId="40F60795" w14:textId="77777777" w:rsidR="00876708" w:rsidRDefault="00876708" w:rsidP="00DF64C7">
      <w:pPr>
        <w:pStyle w:val="Akapitzlist"/>
        <w:numPr>
          <w:ilvl w:val="1"/>
          <w:numId w:val="31"/>
        </w:numPr>
        <w:jc w:val="left"/>
      </w:pPr>
      <w:r>
        <w:t>Kwalifikacyjne kursy zawodowe dla osób dorosłych, zainteresowanych zdobyciem nowej kwalifikacji lub szkolenia przygotowujące do egzaminu sprawdzającego, czeladniczego lub mistrzowskiego;</w:t>
      </w:r>
    </w:p>
    <w:p w14:paraId="398DC16F" w14:textId="77777777" w:rsidR="00876708" w:rsidRDefault="00876708" w:rsidP="00DF64C7">
      <w:pPr>
        <w:pStyle w:val="Akapitzlist"/>
        <w:numPr>
          <w:ilvl w:val="1"/>
          <w:numId w:val="31"/>
        </w:numPr>
        <w:jc w:val="left"/>
      </w:pPr>
      <w:r>
        <w:t>Kursy umiejętności zawodowych;</w:t>
      </w:r>
    </w:p>
    <w:p w14:paraId="0E42A528" w14:textId="77777777" w:rsidR="00876708" w:rsidRDefault="00876708" w:rsidP="00DF64C7">
      <w:pPr>
        <w:pStyle w:val="Akapitzlist"/>
        <w:numPr>
          <w:ilvl w:val="1"/>
          <w:numId w:val="31"/>
        </w:numPr>
        <w:jc w:val="left"/>
      </w:pPr>
      <w:r>
        <w:t>Pozaszkolne formy rozwoju kompetencji ogólnych, w tym kursy kompetencji ogólnych - możliwych do realizacji wyłącznie w powiązaniu z kwalifikacyjnymi kursami zawodowymi;</w:t>
      </w:r>
    </w:p>
    <w:p w14:paraId="2DC69D3D" w14:textId="77777777" w:rsidR="00876708" w:rsidRDefault="00876708" w:rsidP="00DF64C7">
      <w:pPr>
        <w:pStyle w:val="Akapitzlist"/>
        <w:numPr>
          <w:ilvl w:val="1"/>
          <w:numId w:val="31"/>
        </w:numPr>
        <w:jc w:val="left"/>
      </w:pPr>
      <w:r>
        <w:t>Kursy, inne niż wymienione, umożliwiające uzyskanie i uzupełnianie wiedzy, umiejętności i kwalifikacji zawodowych;</w:t>
      </w:r>
    </w:p>
    <w:p w14:paraId="378AFF5B" w14:textId="77777777" w:rsidR="00876708" w:rsidRDefault="00876708" w:rsidP="00DF64C7">
      <w:pPr>
        <w:pStyle w:val="Akapitzlist"/>
        <w:numPr>
          <w:ilvl w:val="1"/>
          <w:numId w:val="31"/>
        </w:numPr>
        <w:jc w:val="left"/>
      </w:pPr>
      <w:r>
        <w:t>Programy formalnej oceny i potwierdzania umiejętności/ wiedzy uzyskanych w sposób pozaformalny i nieformalny w odniesieniu do kwalifikacji zawodowych;</w:t>
      </w:r>
    </w:p>
    <w:p w14:paraId="6A7329DC" w14:textId="77777777" w:rsidR="00876708" w:rsidRDefault="00876708" w:rsidP="00DF64C7">
      <w:pPr>
        <w:pStyle w:val="Akapitzlist"/>
        <w:numPr>
          <w:ilvl w:val="1"/>
          <w:numId w:val="31"/>
        </w:numPr>
        <w:jc w:val="left"/>
      </w:pPr>
      <w:r>
        <w:t>Realizacja działań w zakresie stworzenia w szkole prowadzącej kształcenie dla dorosłych i placówkach systemu oświaty prowadzących kształcenie zawodowe dla dorosłych warunków kształcenia zawodu - możliwy do realizacji wyłącznie z typami 1 - 6;</w:t>
      </w:r>
    </w:p>
    <w:p w14:paraId="5F19DB06" w14:textId="77777777" w:rsidR="00876708" w:rsidRDefault="00876708" w:rsidP="00DF64C7">
      <w:pPr>
        <w:pStyle w:val="Akapitzlist"/>
        <w:numPr>
          <w:ilvl w:val="1"/>
          <w:numId w:val="31"/>
        </w:numPr>
        <w:jc w:val="left"/>
      </w:pPr>
      <w:r>
        <w:t xml:space="preserve">Poprawa jakości edukacji w szkołach prowadzących kształcenie dla dorosłych i placówkach prowadzących kształcenie zawodowe dla dorosłych we współpracy z otoczeniem, w szczególności z pracodawcami, w tym doskonalenie umiejętności nauczycieli zawodu. </w:t>
      </w:r>
    </w:p>
    <w:p w14:paraId="7DF469EA" w14:textId="77777777" w:rsidR="00876708" w:rsidRDefault="00876708" w:rsidP="00DF64C7">
      <w:pPr>
        <w:pStyle w:val="Akapitzlist"/>
        <w:numPr>
          <w:ilvl w:val="0"/>
          <w:numId w:val="31"/>
        </w:numPr>
        <w:jc w:val="left"/>
      </w:pPr>
      <w:r>
        <w:t xml:space="preserve">11.2 </w:t>
      </w:r>
      <w:r w:rsidRPr="00893FF7">
        <w:t>Dostosowanie oferty kształcenia zawodowego do potrzeb lokalnego rynku pracy - kształcenie zawodowe uczniów</w:t>
      </w:r>
      <w:r>
        <w:t>, tj.:</w:t>
      </w:r>
    </w:p>
    <w:p w14:paraId="24903610" w14:textId="77777777" w:rsidR="00876708" w:rsidRDefault="00876708" w:rsidP="00DF64C7">
      <w:pPr>
        <w:pStyle w:val="Akapitzlist"/>
        <w:numPr>
          <w:ilvl w:val="1"/>
          <w:numId w:val="31"/>
        </w:numPr>
        <w:jc w:val="left"/>
      </w:pPr>
      <w:r w:rsidRPr="00893FF7">
        <w:t>Poprawa jakości edukacji w szkołach i placówkach prowadzących kształcenie zawodowe we współpracy z otoczeniem, w szczególności z pracodawcami</w:t>
      </w:r>
      <w:r>
        <w:t>.</w:t>
      </w:r>
    </w:p>
    <w:p w14:paraId="4B76C79F" w14:textId="77777777" w:rsidR="00876708" w:rsidRDefault="00876708" w:rsidP="00DF64C7">
      <w:pPr>
        <w:pStyle w:val="Akapitzlist"/>
        <w:numPr>
          <w:ilvl w:val="0"/>
          <w:numId w:val="31"/>
        </w:numPr>
        <w:jc w:val="left"/>
      </w:pPr>
      <w:r>
        <w:t>11.1 O</w:t>
      </w:r>
      <w:r w:rsidRPr="00893FF7">
        <w:t>graniczenie przedwczesnego kończenia nauki szkolnej oraz zapewnienie równego dostępu do dobrej jakości edukacji elementarnej, kształcenia podstawowego i średniego</w:t>
      </w:r>
      <w:r>
        <w:t>, tj.:</w:t>
      </w:r>
    </w:p>
    <w:p w14:paraId="26D5075D" w14:textId="77777777" w:rsidR="00876708" w:rsidRDefault="00876708" w:rsidP="00DF64C7">
      <w:pPr>
        <w:pStyle w:val="Akapitzlist"/>
        <w:numPr>
          <w:ilvl w:val="1"/>
          <w:numId w:val="31"/>
        </w:numPr>
        <w:jc w:val="left"/>
      </w:pPr>
      <w:r>
        <w:t>Programy zapewniania dostępu do wysokiej jakości edukacji przedszkolnej oparte na subregionalnej analizie deficytów w zakresie dostępności miejsc wychowania przedszkolnego zawartej w strategii ZIT/RIT, zwiększające liczbę miejsc wychowania przedszkolnego oraz podnoszące jakość edukacji</w:t>
      </w:r>
    </w:p>
    <w:p w14:paraId="55884424" w14:textId="77777777" w:rsidR="00876708" w:rsidRDefault="00876708" w:rsidP="00DF64C7">
      <w:pPr>
        <w:pStyle w:val="Akapitzlist"/>
        <w:numPr>
          <w:ilvl w:val="1"/>
          <w:numId w:val="31"/>
        </w:numPr>
        <w:jc w:val="left"/>
      </w:pPr>
      <w:r>
        <w:t xml:space="preserve">Programy zapewniania dostępu do wysokiej jakości edukacji przedszkolnej, zwiększające liczbę miejsc wychowania przedszkolnego oraz podnoszące jakość edukacji </w:t>
      </w:r>
    </w:p>
    <w:p w14:paraId="67AAEC3F" w14:textId="77777777" w:rsidR="00876708" w:rsidRDefault="00876708" w:rsidP="00DF64C7">
      <w:pPr>
        <w:pStyle w:val="Akapitzlist"/>
        <w:numPr>
          <w:ilvl w:val="1"/>
          <w:numId w:val="31"/>
        </w:numPr>
        <w:jc w:val="left"/>
      </w:pPr>
      <w:r>
        <w:t>Kształtowanie i rozwijanie u uczniów kompetencji kluczowych niezbędnych na rynku pracy oraz kreatywności, innowacyjności i pracy zespołowej, w tym doradztwo edukacyjno - zawodowe dla uczniów;</w:t>
      </w:r>
    </w:p>
    <w:p w14:paraId="23361E8E" w14:textId="77777777" w:rsidR="00876708" w:rsidRDefault="00876708" w:rsidP="00DF64C7">
      <w:pPr>
        <w:pStyle w:val="Akapitzlist"/>
        <w:numPr>
          <w:ilvl w:val="1"/>
          <w:numId w:val="31"/>
        </w:numPr>
        <w:jc w:val="left"/>
      </w:pPr>
      <w:r>
        <w:t>Tworzenie w szkołach warunków do nauczania opartego na metodzie eksperymentu (w powiązaniu z zaplanowanymi w projekcie zajęciami);</w:t>
      </w:r>
    </w:p>
    <w:p w14:paraId="6E3EF61D" w14:textId="77777777" w:rsidR="00876708" w:rsidRDefault="00876708" w:rsidP="00DF64C7">
      <w:pPr>
        <w:pStyle w:val="Akapitzlist"/>
        <w:numPr>
          <w:ilvl w:val="1"/>
          <w:numId w:val="31"/>
        </w:numPr>
        <w:jc w:val="left"/>
      </w:pPr>
      <w:r>
        <w:t>Realizacja kompleksowych programów wspomagających szkołę lub placówkę systemu oświaty w procesie indywidualizacji pracy z uczniem ze specjalnymi potrzebami edukacyjnymi oraz wsparcia ucznia młodszego;</w:t>
      </w:r>
    </w:p>
    <w:p w14:paraId="0074B026" w14:textId="77777777" w:rsidR="00876708" w:rsidRDefault="00876708" w:rsidP="00DF64C7">
      <w:pPr>
        <w:pStyle w:val="Akapitzlist"/>
        <w:numPr>
          <w:ilvl w:val="1"/>
          <w:numId w:val="31"/>
        </w:numPr>
        <w:jc w:val="left"/>
      </w:pPr>
      <w:r>
        <w:t>Doskonalenie umiejętności i kompetencji zawodowych nauczycieli w zakresie zgodnym z zaplanowanym wsparciem na rzecz uczniów.</w:t>
      </w:r>
    </w:p>
    <w:p w14:paraId="17964DCA" w14:textId="77777777" w:rsidR="00876708" w:rsidRDefault="00876708" w:rsidP="00DF64C7">
      <w:pPr>
        <w:pStyle w:val="Akapitzlist"/>
        <w:numPr>
          <w:ilvl w:val="1"/>
          <w:numId w:val="31"/>
        </w:numPr>
        <w:jc w:val="left"/>
      </w:pPr>
      <w:r>
        <w:t>Wsparcie młodzieży uzdolnionej w zakresie przedmiotów przyrodniczych, informatycznych, języków obcych nowożytnych, matematyki lub przedsiębiorczości (z wyłączeniem dzieci w wieku przedszkolnym) poprzez stypendia naukowe dla uczniów gimnazjów i szkół ponadgimnazjalnych</w:t>
      </w:r>
    </w:p>
    <w:p w14:paraId="7C3309C2" w14:textId="77777777" w:rsidR="00876708" w:rsidRDefault="00876708" w:rsidP="00DF64C7">
      <w:pPr>
        <w:pStyle w:val="Akapitzlist"/>
        <w:numPr>
          <w:ilvl w:val="0"/>
          <w:numId w:val="31"/>
        </w:numPr>
        <w:jc w:val="left"/>
      </w:pPr>
      <w:r>
        <w:t xml:space="preserve">12.1 </w:t>
      </w:r>
      <w:r w:rsidRPr="00893FF7">
        <w:t>Infrastruktura wychowania przedszkolnego</w:t>
      </w:r>
      <w:r>
        <w:t xml:space="preserve">; 12.2 </w:t>
      </w:r>
      <w:r w:rsidRPr="00893FF7">
        <w:t>Infrastruktura kształcenia zawodowego</w:t>
      </w:r>
      <w:r>
        <w:t>, tj.:</w:t>
      </w:r>
    </w:p>
    <w:p w14:paraId="4D0A58D7" w14:textId="77777777" w:rsidR="00876708" w:rsidRDefault="00876708" w:rsidP="00DF64C7">
      <w:pPr>
        <w:pStyle w:val="Akapitzlist"/>
        <w:numPr>
          <w:ilvl w:val="1"/>
          <w:numId w:val="31"/>
        </w:numPr>
        <w:jc w:val="left"/>
      </w:pPr>
      <w:r>
        <w:t>Przebudowa, budowa przedszkoli, oddziałów przedszkolnych w szkołach podstawowych i innych form wychowania przedszkolnego wraz z zapewnieniem niezbędnego wyposażenia, w tym przystosowanie do potrzeb osób niepełnosprawnych;</w:t>
      </w:r>
    </w:p>
    <w:p w14:paraId="20FF0DFE" w14:textId="77777777" w:rsidR="00876708" w:rsidRDefault="00876708" w:rsidP="00DF64C7">
      <w:pPr>
        <w:pStyle w:val="Akapitzlist"/>
        <w:numPr>
          <w:ilvl w:val="1"/>
          <w:numId w:val="31"/>
        </w:numPr>
        <w:jc w:val="left"/>
      </w:pPr>
      <w:r>
        <w:t>Przebudowa, budowa, remont laboratoriów, sal do praktycznej nauki zawodu wraz z zapewnieniem wyposażenia, w tym przystosowanie do potrzeb osób niepełnosprawnych.</w:t>
      </w:r>
    </w:p>
    <w:p w14:paraId="73C89399" w14:textId="77777777" w:rsidR="00876708" w:rsidRDefault="00876708" w:rsidP="00DF64C7">
      <w:pPr>
        <w:jc w:val="left"/>
      </w:pPr>
      <w:r>
        <w:t>Z kolei do najmniej efektywnych, pod względem relacji kosztów do osiągniętych wartości wskaźników zaliczyć można typy projektów realizowane w ramach działań:</w:t>
      </w:r>
    </w:p>
    <w:p w14:paraId="70D35BFA" w14:textId="77777777" w:rsidR="00876708" w:rsidRDefault="00876708" w:rsidP="00DF64C7">
      <w:pPr>
        <w:pStyle w:val="Akapitzlist"/>
        <w:numPr>
          <w:ilvl w:val="0"/>
          <w:numId w:val="59"/>
        </w:numPr>
        <w:jc w:val="left"/>
      </w:pPr>
      <w:r>
        <w:t xml:space="preserve">12.3 </w:t>
      </w:r>
      <w:r w:rsidRPr="00095B4B">
        <w:t xml:space="preserve"> Instytucje popularyzujące naukę</w:t>
      </w:r>
      <w:r>
        <w:t>, tj.:</w:t>
      </w:r>
    </w:p>
    <w:p w14:paraId="777C6859" w14:textId="77777777" w:rsidR="00876708" w:rsidRDefault="00876708" w:rsidP="00DF64C7">
      <w:pPr>
        <w:pStyle w:val="Akapitzlist"/>
        <w:numPr>
          <w:ilvl w:val="1"/>
          <w:numId w:val="59"/>
        </w:numPr>
        <w:jc w:val="left"/>
      </w:pPr>
      <w:r w:rsidRPr="00095B4B">
        <w:t>Przebudowa, budowa, remont obiektów wraz z zapewnieniem wyposażenia, w tym przystosowanie do potrzeb osób niepełnosprawnych</w:t>
      </w:r>
      <w:r>
        <w:t>.</w:t>
      </w:r>
    </w:p>
    <w:p w14:paraId="7ABC1923" w14:textId="77777777" w:rsidR="00876708" w:rsidRDefault="00876708" w:rsidP="00DF64C7">
      <w:pPr>
        <w:jc w:val="left"/>
      </w:pPr>
    </w:p>
    <w:p w14:paraId="1D1D48D5" w14:textId="77777777" w:rsidR="00876708" w:rsidRDefault="00876708" w:rsidP="00DF64C7">
      <w:pPr>
        <w:jc w:val="left"/>
      </w:pPr>
      <w:r>
        <w:t>Niższym od pozostałych poziomem efektywności ekonomicznej charakteryzują się projekty tzw. „twarde” – infrastrukturalne, których koszty są zdecydowanie wyższe od projektów tzw. „miękkich”. Jednakże inwestycje infrastrukturalne powinny być efektywne ekonomicznie w całym cyklu życia inwestycji. W związku z czym całkowity koszt inwestycji na wszystkich jej etapach (m.in. pl</w:t>
      </w:r>
      <w:r w:rsidRPr="00516105">
        <w:t>anowanie, projektowanie, finansowanie, budowa, użytkowanie i utrzymanie</w:t>
      </w:r>
      <w:r>
        <w:t xml:space="preserve">) powinien być porównywany nie tylko z osiąganymi wskaźnikami, a również z efektami </w:t>
      </w:r>
      <w:r w:rsidRPr="00516105">
        <w:t>gospodarczymi, społecznymi i środowiskowymi</w:t>
      </w:r>
      <w:r>
        <w:t xml:space="preserve">, które wynikają z realizacji projektów. Działania mające na celu zwiększenie efektywności ekonomicznej powinny być nastawione zarówno na zapobieganie opóźnieniom i przekroczeniom budżetu, jak również na zapewnienie finansowej i trwałości i opłacalności infrastruktury. </w:t>
      </w:r>
    </w:p>
    <w:p w14:paraId="077FC343" w14:textId="77777777" w:rsidR="00876708" w:rsidRDefault="00876708" w:rsidP="00DF64C7">
      <w:pPr>
        <w:jc w:val="left"/>
      </w:pPr>
    </w:p>
    <w:p w14:paraId="4B729770" w14:textId="77777777" w:rsidR="00876708" w:rsidRDefault="00876708" w:rsidP="00DF64C7">
      <w:pPr>
        <w:jc w:val="left"/>
        <w:rPr>
          <w:rFonts w:eastAsia="Calibri"/>
        </w:rPr>
      </w:pPr>
      <w:r>
        <w:t xml:space="preserve">Przedstawiciele IZ oraz IP </w:t>
      </w:r>
      <w:r>
        <w:rPr>
          <w:rFonts w:eastAsia="Calibri"/>
        </w:rPr>
        <w:t>jednomyślnie stwierdzili, że w ramach badanych OP RPO WSL 2014-2020 nie występują zbędne koszty, tj. takie, których można by uniknąć. Wszystkie wydatki, które są zbędne z punktu widzenia realizacji celu projektu, są uznawane za niekwalifikowalne już na etapie oceny wniosku o dofinansowanie.</w:t>
      </w:r>
    </w:p>
    <w:p w14:paraId="06288313" w14:textId="77777777" w:rsidR="00876708" w:rsidRDefault="00876708" w:rsidP="00DF64C7">
      <w:pPr>
        <w:jc w:val="left"/>
      </w:pPr>
      <w:r>
        <w:t>Beneficjenci projektów realizowanych w ramach OP XI oraz OP XII, podobnie jak przedstawiciele IZ oraz IP stwierdzili, że osiągnięcie podobnych efektów nie byłoby możliwe przy mniejszym zaangażowaniu organizacyjnym i finansowym.</w:t>
      </w:r>
    </w:p>
    <w:p w14:paraId="5B392C25" w14:textId="456D875D" w:rsidR="00876708" w:rsidRDefault="00876708" w:rsidP="00DF64C7">
      <w:pPr>
        <w:pStyle w:val="Legenda"/>
        <w:jc w:val="left"/>
      </w:pPr>
      <w:bookmarkStart w:id="61" w:name="_Toc33459795"/>
      <w:r>
        <w:t xml:space="preserve">Wykres </w:t>
      </w:r>
      <w:r>
        <w:rPr>
          <w:noProof/>
        </w:rPr>
        <w:fldChar w:fldCharType="begin"/>
      </w:r>
      <w:r>
        <w:rPr>
          <w:noProof/>
        </w:rPr>
        <w:instrText xml:space="preserve"> SEQ Wykres \* ARABIC </w:instrText>
      </w:r>
      <w:r>
        <w:rPr>
          <w:noProof/>
        </w:rPr>
        <w:fldChar w:fldCharType="separate"/>
      </w:r>
      <w:r w:rsidR="00A8147E">
        <w:rPr>
          <w:noProof/>
        </w:rPr>
        <w:t>13</w:t>
      </w:r>
      <w:r>
        <w:rPr>
          <w:noProof/>
        </w:rPr>
        <w:fldChar w:fldCharType="end"/>
      </w:r>
      <w:r>
        <w:t xml:space="preserve">. </w:t>
      </w:r>
      <w:r w:rsidRPr="0020591D">
        <w:t>Czy w Państwa opinii, podobne efekty projektu dałoby się osiągnąć przy mniejszym zaangażowaniu</w:t>
      </w:r>
      <w:r>
        <w:t>?</w:t>
      </w:r>
      <w:bookmarkEnd w:id="61"/>
    </w:p>
    <w:p w14:paraId="3B5F62C8" w14:textId="77777777" w:rsidR="00876708" w:rsidRDefault="00876708" w:rsidP="00DF64C7">
      <w:pPr>
        <w:jc w:val="left"/>
      </w:pPr>
      <w:r>
        <w:rPr>
          <w:noProof/>
          <w:lang w:eastAsia="pl-PL"/>
        </w:rPr>
        <w:drawing>
          <wp:inline distT="0" distB="0" distL="0" distR="0" wp14:anchorId="22849725" wp14:editId="53A71AF7">
            <wp:extent cx="5772150" cy="2066925"/>
            <wp:effectExtent l="0" t="0" r="19050" b="9525"/>
            <wp:docPr id="40" name="Wykres 40" descr="Wykres przedstawia w procentowy rozkład odpowiedzi beneficjentów na pytanie: &quot;Czy w Państwa opinii, podobne efekty projektu dałoby się osiągnąć przy mniejszym zaangażowaniu?&quot;. w tym celu przygotowano wykres słupkowy skumulowany. Pozwolio to na zaprezentowanie wynków w podziale na zaangażowanie organizacyjne i finansowe, tj:&#10;- Finansowym: Zdecydowanie tak( 0,3%), Raczej tak (0,6%), Raczej nie (37,3%), Zdecydowanie nie (55,4%), Trudno powiedzieć (6,3%);&#10;- Organizacyjnym: Zdecydowanie tak (0,6%), Raczej tak (4,4%), Raczej nie (38,0%), Zdecydowanie nie (50,6%), Trudno powiedzieć (6,3%).&#10;" title="Czy w Państwa opinii, podobne efekty projektu dałoby się osiągnąć przy mniejszym zaangażowaniu?"/>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5D563E" w14:textId="77777777" w:rsidR="00876708" w:rsidRDefault="00876708" w:rsidP="00DF64C7">
      <w:pPr>
        <w:pStyle w:val="podpisrdailustracji"/>
        <w:spacing w:line="271" w:lineRule="auto"/>
        <w:jc w:val="left"/>
      </w:pPr>
      <w:r>
        <w:t>Źródło: opracowanie własne na podstawie badania CAWI/CATI z beneficjentami, n=316 – w badaniu podmioty, które zakończyły realizacje projektu do dnia 14.10.2019 r.</w:t>
      </w:r>
    </w:p>
    <w:p w14:paraId="78C25C37" w14:textId="77777777" w:rsidR="00876708" w:rsidRDefault="00876708" w:rsidP="00DF64C7">
      <w:pPr>
        <w:jc w:val="left"/>
        <w:rPr>
          <w:rFonts w:cs="Arial"/>
        </w:rPr>
      </w:pPr>
      <w:r>
        <w:rPr>
          <w:rFonts w:cs="Arial"/>
        </w:rPr>
        <w:t xml:space="preserve">Do czynników, które zdaniem beneficjentów </w:t>
      </w:r>
      <w:r w:rsidRPr="00E3278E">
        <w:rPr>
          <w:rFonts w:cs="Arial"/>
        </w:rPr>
        <w:t>wpłynęły pozytywnie na efektywność kosztową</w:t>
      </w:r>
      <w:r>
        <w:rPr>
          <w:rFonts w:cs="Arial"/>
        </w:rPr>
        <w:t xml:space="preserve"> (w rozumieniu czynników umożliwiających ograniczenie kosztów projektu) należą</w:t>
      </w:r>
      <w:r>
        <w:rPr>
          <w:rStyle w:val="Odwoanieprzypisudolnego"/>
        </w:rPr>
        <w:footnoteReference w:id="75"/>
      </w:r>
      <w:r>
        <w:rPr>
          <w:rFonts w:cs="Arial"/>
        </w:rPr>
        <w:t>:</w:t>
      </w:r>
    </w:p>
    <w:p w14:paraId="5358A610" w14:textId="77777777" w:rsidR="00876708" w:rsidRPr="00A13CF6" w:rsidRDefault="00876708" w:rsidP="00DF64C7">
      <w:pPr>
        <w:pStyle w:val="Akapitzlist"/>
        <w:numPr>
          <w:ilvl w:val="0"/>
          <w:numId w:val="41"/>
        </w:numPr>
        <w:jc w:val="left"/>
        <w:rPr>
          <w:rFonts w:cs="Arial"/>
        </w:rPr>
      </w:pPr>
      <w:r w:rsidRPr="00A13CF6">
        <w:rPr>
          <w:rFonts w:cs="Arial"/>
        </w:rPr>
        <w:t>Oszczędności w obszarze wynagrodzeń dla personelu projektu</w:t>
      </w:r>
      <w:r>
        <w:rPr>
          <w:rFonts w:cs="Arial"/>
        </w:rPr>
        <w:t>;</w:t>
      </w:r>
    </w:p>
    <w:p w14:paraId="0AE785DD" w14:textId="77777777" w:rsidR="00876708" w:rsidRPr="00A13CF6" w:rsidRDefault="00876708" w:rsidP="00DF64C7">
      <w:pPr>
        <w:pStyle w:val="Akapitzlist"/>
        <w:numPr>
          <w:ilvl w:val="0"/>
          <w:numId w:val="41"/>
        </w:numPr>
        <w:jc w:val="left"/>
        <w:rPr>
          <w:rFonts w:cs="Arial"/>
        </w:rPr>
      </w:pPr>
      <w:r>
        <w:rPr>
          <w:rFonts w:cs="Arial"/>
        </w:rPr>
        <w:t>O</w:t>
      </w:r>
      <w:r w:rsidRPr="00A13CF6">
        <w:rPr>
          <w:rFonts w:cs="Arial"/>
        </w:rPr>
        <w:t xml:space="preserve">ptymalnie zaplanowany budżet </w:t>
      </w:r>
      <w:r>
        <w:rPr>
          <w:rFonts w:cs="Arial"/>
        </w:rPr>
        <w:t xml:space="preserve">i działania realizowane w ramach </w:t>
      </w:r>
      <w:r w:rsidRPr="00A13CF6">
        <w:rPr>
          <w:rFonts w:cs="Arial"/>
        </w:rPr>
        <w:t>projektu</w:t>
      </w:r>
      <w:r>
        <w:rPr>
          <w:rFonts w:cs="Arial"/>
        </w:rPr>
        <w:t>;</w:t>
      </w:r>
    </w:p>
    <w:p w14:paraId="6F071ECA" w14:textId="77777777" w:rsidR="00876708" w:rsidRPr="00A13CF6" w:rsidRDefault="00876708" w:rsidP="00DF64C7">
      <w:pPr>
        <w:pStyle w:val="Akapitzlist"/>
        <w:numPr>
          <w:ilvl w:val="0"/>
          <w:numId w:val="41"/>
        </w:numPr>
        <w:jc w:val="left"/>
        <w:rPr>
          <w:rFonts w:cs="Arial"/>
        </w:rPr>
      </w:pPr>
      <w:r w:rsidRPr="00A13CF6">
        <w:rPr>
          <w:rFonts w:cs="Arial"/>
        </w:rPr>
        <w:t>Dokonywanie zmian w projekcie w momencie jego trwania (przesuwanie oszczędności)</w:t>
      </w:r>
      <w:r>
        <w:rPr>
          <w:rFonts w:cs="Arial"/>
        </w:rPr>
        <w:t>;</w:t>
      </w:r>
    </w:p>
    <w:p w14:paraId="7F350B5D" w14:textId="77777777" w:rsidR="00876708" w:rsidRPr="00A13CF6" w:rsidRDefault="00876708" w:rsidP="00DF64C7">
      <w:pPr>
        <w:pStyle w:val="Akapitzlist"/>
        <w:numPr>
          <w:ilvl w:val="0"/>
          <w:numId w:val="41"/>
        </w:numPr>
        <w:jc w:val="left"/>
        <w:rPr>
          <w:rFonts w:cs="Arial"/>
        </w:rPr>
      </w:pPr>
      <w:r w:rsidRPr="00A13CF6">
        <w:rPr>
          <w:rFonts w:cs="Arial"/>
        </w:rPr>
        <w:t>Stosowanie procedury zamówień publicznych i zasady konkurencyjności</w:t>
      </w:r>
      <w:r>
        <w:rPr>
          <w:rFonts w:cs="Arial"/>
        </w:rPr>
        <w:t xml:space="preserve"> (należy zaznaczyć, że czynnik ten jednocześnie wskazywany był jako jeden z najbardziej utrudniających realizację projektów edukacyjnych, co świadczy o braku jednoznacznego (tj. korzystnego) wpływu ww. procedury i zasad na efektywność kosztową projektów);</w:t>
      </w:r>
    </w:p>
    <w:p w14:paraId="3101E2DA" w14:textId="77777777" w:rsidR="00876708" w:rsidRPr="00A13CF6" w:rsidRDefault="00876708" w:rsidP="00DF64C7">
      <w:pPr>
        <w:pStyle w:val="Akapitzlist"/>
        <w:numPr>
          <w:ilvl w:val="0"/>
          <w:numId w:val="41"/>
        </w:numPr>
        <w:jc w:val="left"/>
        <w:rPr>
          <w:rFonts w:cs="Arial"/>
        </w:rPr>
      </w:pPr>
      <w:r w:rsidRPr="00A13CF6">
        <w:rPr>
          <w:rFonts w:cs="Arial"/>
        </w:rPr>
        <w:t>Komplementarność z innymi projektami</w:t>
      </w:r>
      <w:r>
        <w:rPr>
          <w:rFonts w:cs="Arial"/>
        </w:rPr>
        <w:t>.</w:t>
      </w:r>
    </w:p>
    <w:p w14:paraId="3068869C" w14:textId="77777777" w:rsidR="00876708" w:rsidRDefault="00876708" w:rsidP="00DF64C7">
      <w:pPr>
        <w:jc w:val="left"/>
        <w:rPr>
          <w:rFonts w:cs="Arial"/>
        </w:rPr>
      </w:pPr>
      <w:r>
        <w:rPr>
          <w:rFonts w:cs="Arial"/>
        </w:rPr>
        <w:t xml:space="preserve">Wśród czynników, które wpłynęły pozytywnie na efektywność organizacyjną </w:t>
      </w:r>
      <w:r w:rsidRPr="00743A52">
        <w:rPr>
          <w:rFonts w:cs="Arial"/>
        </w:rPr>
        <w:t>(w rozumieniu czynników umożliwiających sprawną realizację projektu)</w:t>
      </w:r>
      <w:r>
        <w:rPr>
          <w:rFonts w:cs="Arial"/>
        </w:rPr>
        <w:t xml:space="preserve"> wymieniono</w:t>
      </w:r>
      <w:r>
        <w:rPr>
          <w:rStyle w:val="Odwoanieprzypisudolnego"/>
        </w:rPr>
        <w:footnoteReference w:id="76"/>
      </w:r>
      <w:r>
        <w:rPr>
          <w:rFonts w:cs="Arial"/>
        </w:rPr>
        <w:t>:</w:t>
      </w:r>
    </w:p>
    <w:p w14:paraId="3500D81A" w14:textId="77777777" w:rsidR="00876708" w:rsidRPr="00743A52" w:rsidRDefault="00876708" w:rsidP="00DF64C7">
      <w:pPr>
        <w:pStyle w:val="Akapitzlist"/>
        <w:numPr>
          <w:ilvl w:val="0"/>
          <w:numId w:val="42"/>
        </w:numPr>
        <w:jc w:val="left"/>
        <w:rPr>
          <w:rFonts w:cs="Arial"/>
        </w:rPr>
      </w:pPr>
      <w:r w:rsidRPr="00743A52">
        <w:rPr>
          <w:rFonts w:cs="Arial"/>
        </w:rPr>
        <w:t>Systematyczny monitoring realizacji projektu</w:t>
      </w:r>
      <w:r>
        <w:rPr>
          <w:rFonts w:cs="Arial"/>
        </w:rPr>
        <w:t>;</w:t>
      </w:r>
    </w:p>
    <w:p w14:paraId="7C6F3795" w14:textId="77777777" w:rsidR="00876708" w:rsidRPr="00743A52" w:rsidRDefault="00876708" w:rsidP="00DF64C7">
      <w:pPr>
        <w:pStyle w:val="Akapitzlist"/>
        <w:numPr>
          <w:ilvl w:val="0"/>
          <w:numId w:val="42"/>
        </w:numPr>
        <w:jc w:val="left"/>
        <w:rPr>
          <w:rFonts w:cs="Arial"/>
        </w:rPr>
      </w:pPr>
      <w:r w:rsidRPr="00743A52">
        <w:rPr>
          <w:rFonts w:cs="Arial"/>
        </w:rPr>
        <w:t xml:space="preserve">Dobry kontakt z </w:t>
      </w:r>
      <w:r>
        <w:rPr>
          <w:rFonts w:cs="Arial"/>
        </w:rPr>
        <w:t>U</w:t>
      </w:r>
      <w:r w:rsidRPr="00743A52">
        <w:rPr>
          <w:rFonts w:cs="Arial"/>
        </w:rPr>
        <w:t xml:space="preserve">rzędem </w:t>
      </w:r>
      <w:r>
        <w:rPr>
          <w:rFonts w:cs="Arial"/>
        </w:rPr>
        <w:t>M</w:t>
      </w:r>
      <w:r w:rsidRPr="00743A52">
        <w:rPr>
          <w:rFonts w:cs="Arial"/>
        </w:rPr>
        <w:t>arszałkowskim (Instytucją Zarządzającą)</w:t>
      </w:r>
      <w:r>
        <w:rPr>
          <w:rFonts w:cs="Arial"/>
        </w:rPr>
        <w:t>, Instytucją Pośredniczącą</w:t>
      </w:r>
      <w:r w:rsidRPr="00743A52">
        <w:rPr>
          <w:rFonts w:cs="Arial"/>
        </w:rPr>
        <w:t xml:space="preserve"> i opiekunem projektu</w:t>
      </w:r>
      <w:r>
        <w:rPr>
          <w:rFonts w:cs="Arial"/>
        </w:rPr>
        <w:t>;</w:t>
      </w:r>
    </w:p>
    <w:p w14:paraId="51B43CAC" w14:textId="77777777" w:rsidR="00876708" w:rsidRDefault="00876708" w:rsidP="00DF64C7">
      <w:pPr>
        <w:pStyle w:val="Akapitzlist"/>
        <w:numPr>
          <w:ilvl w:val="0"/>
          <w:numId w:val="42"/>
        </w:numPr>
        <w:jc w:val="left"/>
        <w:rPr>
          <w:rFonts w:cs="Arial"/>
        </w:rPr>
      </w:pPr>
      <w:r w:rsidRPr="00743A52">
        <w:rPr>
          <w:rFonts w:cs="Arial"/>
        </w:rPr>
        <w:t>Wysoki poziom kwalifikacji realizatorów oraz z</w:t>
      </w:r>
      <w:r>
        <w:rPr>
          <w:rFonts w:cs="Arial"/>
        </w:rPr>
        <w:t>espołu zarządzającego projektem;</w:t>
      </w:r>
    </w:p>
    <w:p w14:paraId="0A8881E8" w14:textId="77777777" w:rsidR="00876708" w:rsidRPr="00743A52" w:rsidRDefault="00876708" w:rsidP="00DF64C7">
      <w:pPr>
        <w:pStyle w:val="Akapitzlist"/>
        <w:numPr>
          <w:ilvl w:val="0"/>
          <w:numId w:val="42"/>
        </w:numPr>
        <w:jc w:val="left"/>
        <w:rPr>
          <w:rFonts w:cs="Arial"/>
        </w:rPr>
      </w:pPr>
      <w:r w:rsidRPr="00743A52">
        <w:rPr>
          <w:rFonts w:cs="Arial"/>
        </w:rPr>
        <w:t>Powołanie zespołu projektowego realizującego zadania zgodnie z określonym zakresem merytorycznym</w:t>
      </w:r>
      <w:r>
        <w:rPr>
          <w:rFonts w:cs="Arial"/>
        </w:rPr>
        <w:t>;</w:t>
      </w:r>
    </w:p>
    <w:p w14:paraId="31EC5894" w14:textId="77777777" w:rsidR="00876708" w:rsidRPr="00743A52" w:rsidRDefault="00876708" w:rsidP="00DF64C7">
      <w:pPr>
        <w:pStyle w:val="Akapitzlist"/>
        <w:numPr>
          <w:ilvl w:val="0"/>
          <w:numId w:val="42"/>
        </w:numPr>
        <w:jc w:val="left"/>
        <w:rPr>
          <w:rFonts w:cs="Arial"/>
        </w:rPr>
      </w:pPr>
      <w:r w:rsidRPr="00743A52">
        <w:rPr>
          <w:rFonts w:cs="Arial"/>
        </w:rPr>
        <w:t>Ścisła współpraca jednostek zaangażowanych w realizację projektu</w:t>
      </w:r>
      <w:r>
        <w:rPr>
          <w:rFonts w:cs="Arial"/>
        </w:rPr>
        <w:t>;</w:t>
      </w:r>
    </w:p>
    <w:p w14:paraId="530F018D" w14:textId="77777777" w:rsidR="00876708" w:rsidRPr="00743A52" w:rsidRDefault="00876708" w:rsidP="00DF64C7">
      <w:pPr>
        <w:pStyle w:val="Akapitzlist"/>
        <w:numPr>
          <w:ilvl w:val="0"/>
          <w:numId w:val="42"/>
        </w:numPr>
        <w:jc w:val="left"/>
        <w:rPr>
          <w:rFonts w:cs="Arial"/>
        </w:rPr>
      </w:pPr>
      <w:r w:rsidRPr="00743A52">
        <w:rPr>
          <w:rFonts w:cs="Arial"/>
        </w:rPr>
        <w:t>Duże doświadczenie w realizacji projektów, w tym projektów unijnych</w:t>
      </w:r>
      <w:r>
        <w:rPr>
          <w:rFonts w:cs="Arial"/>
        </w:rPr>
        <w:t>;</w:t>
      </w:r>
    </w:p>
    <w:p w14:paraId="01BB6B9F" w14:textId="77777777" w:rsidR="00876708" w:rsidRPr="00743A52" w:rsidRDefault="00876708" w:rsidP="00DF64C7">
      <w:pPr>
        <w:pStyle w:val="Akapitzlist"/>
        <w:numPr>
          <w:ilvl w:val="0"/>
          <w:numId w:val="42"/>
        </w:numPr>
        <w:jc w:val="left"/>
        <w:rPr>
          <w:rFonts w:cs="Arial"/>
        </w:rPr>
      </w:pPr>
      <w:r w:rsidRPr="00743A52">
        <w:rPr>
          <w:rFonts w:cs="Arial"/>
        </w:rPr>
        <w:t xml:space="preserve">Udział w szkoleniach realizowanych przez </w:t>
      </w:r>
      <w:r>
        <w:rPr>
          <w:rFonts w:cs="Arial"/>
        </w:rPr>
        <w:t>IZ;</w:t>
      </w:r>
    </w:p>
    <w:p w14:paraId="0E1C6DBC" w14:textId="77777777" w:rsidR="00876708" w:rsidRPr="00743A52" w:rsidRDefault="00876708" w:rsidP="00DF64C7">
      <w:pPr>
        <w:pStyle w:val="Akapitzlist"/>
        <w:numPr>
          <w:ilvl w:val="0"/>
          <w:numId w:val="42"/>
        </w:numPr>
        <w:jc w:val="left"/>
        <w:rPr>
          <w:rFonts w:cs="Arial"/>
        </w:rPr>
      </w:pPr>
      <w:r>
        <w:rPr>
          <w:rFonts w:cs="Arial"/>
        </w:rPr>
        <w:t>Minimalizacja</w:t>
      </w:r>
      <w:r w:rsidRPr="00743A52">
        <w:rPr>
          <w:rFonts w:cs="Arial"/>
        </w:rPr>
        <w:t xml:space="preserve"> niezbędnej dokumentacji projektowej</w:t>
      </w:r>
      <w:r>
        <w:rPr>
          <w:rFonts w:cs="Arial"/>
        </w:rPr>
        <w:t>;</w:t>
      </w:r>
    </w:p>
    <w:p w14:paraId="73AA76E6" w14:textId="77777777" w:rsidR="00876708" w:rsidRPr="00743A52" w:rsidRDefault="00876708" w:rsidP="00DF64C7">
      <w:pPr>
        <w:pStyle w:val="Akapitzlist"/>
        <w:numPr>
          <w:ilvl w:val="0"/>
          <w:numId w:val="42"/>
        </w:numPr>
        <w:jc w:val="left"/>
        <w:rPr>
          <w:rFonts w:cs="Arial"/>
        </w:rPr>
      </w:pPr>
      <w:r>
        <w:rPr>
          <w:rFonts w:cs="Arial"/>
        </w:rPr>
        <w:t>W</w:t>
      </w:r>
      <w:r w:rsidRPr="00743A52">
        <w:rPr>
          <w:rFonts w:cs="Arial"/>
        </w:rPr>
        <w:t>spółpraca ze środowiskiem społeczno-gospodarczym</w:t>
      </w:r>
      <w:r>
        <w:rPr>
          <w:rFonts w:cs="Arial"/>
        </w:rPr>
        <w:t>;</w:t>
      </w:r>
    </w:p>
    <w:p w14:paraId="6DA04FD6" w14:textId="77777777" w:rsidR="00876708" w:rsidRPr="00743A52" w:rsidRDefault="00876708" w:rsidP="00DF64C7">
      <w:pPr>
        <w:pStyle w:val="Akapitzlist"/>
        <w:numPr>
          <w:ilvl w:val="0"/>
          <w:numId w:val="42"/>
        </w:numPr>
        <w:jc w:val="left"/>
        <w:rPr>
          <w:rFonts w:cs="Arial"/>
        </w:rPr>
      </w:pPr>
      <w:r w:rsidRPr="00743A52">
        <w:rPr>
          <w:rFonts w:cs="Arial"/>
        </w:rPr>
        <w:t>Ryczałtowe rozliczenie projektu</w:t>
      </w:r>
      <w:r>
        <w:rPr>
          <w:rFonts w:cs="Arial"/>
        </w:rPr>
        <w:t>;</w:t>
      </w:r>
    </w:p>
    <w:p w14:paraId="3A23AF5E" w14:textId="77777777" w:rsidR="00876708" w:rsidRPr="00743A52" w:rsidRDefault="00876708" w:rsidP="00DF64C7">
      <w:pPr>
        <w:pStyle w:val="Akapitzlist"/>
        <w:numPr>
          <w:ilvl w:val="0"/>
          <w:numId w:val="42"/>
        </w:numPr>
        <w:jc w:val="left"/>
        <w:rPr>
          <w:rFonts w:cs="Arial"/>
        </w:rPr>
      </w:pPr>
      <w:r w:rsidRPr="00743A52">
        <w:rPr>
          <w:rFonts w:cs="Arial"/>
        </w:rPr>
        <w:t>Duże zainteresowanie projektem (w tym m.in. brak problemów z rekrutacją)</w:t>
      </w:r>
      <w:r>
        <w:rPr>
          <w:rFonts w:cs="Arial"/>
        </w:rPr>
        <w:t>;</w:t>
      </w:r>
    </w:p>
    <w:p w14:paraId="060B6EE9" w14:textId="77777777" w:rsidR="00876708" w:rsidRPr="00743A52" w:rsidRDefault="00876708" w:rsidP="00DF64C7">
      <w:pPr>
        <w:pStyle w:val="Akapitzlist"/>
        <w:numPr>
          <w:ilvl w:val="0"/>
          <w:numId w:val="42"/>
        </w:numPr>
        <w:jc w:val="left"/>
        <w:rPr>
          <w:rFonts w:cs="Arial"/>
        </w:rPr>
      </w:pPr>
      <w:r w:rsidRPr="00743A52">
        <w:rPr>
          <w:rFonts w:cs="Arial"/>
        </w:rPr>
        <w:t>Atrakcyjna forma wsparcia</w:t>
      </w:r>
      <w:r>
        <w:rPr>
          <w:rFonts w:cs="Arial"/>
        </w:rPr>
        <w:t>.</w:t>
      </w:r>
    </w:p>
    <w:p w14:paraId="7FAA983D" w14:textId="58676623" w:rsidR="00876708" w:rsidRDefault="00876708" w:rsidP="00DF64C7">
      <w:pPr>
        <w:jc w:val="left"/>
      </w:pPr>
      <w:r>
        <w:t xml:space="preserve">Wśród wskazanych czynników, które wpływały negatywnie na efektywność wdrażanych działań znalazły się trudności w robotach budowalnych. </w:t>
      </w:r>
      <w:r w:rsidRPr="00EF5D4A">
        <w:t>Kwestię tę rozwiąz</w:t>
      </w:r>
      <w:r>
        <w:t>ywano głównie</w:t>
      </w:r>
      <w:r w:rsidRPr="00EF5D4A">
        <w:t xml:space="preserve"> poprzez uzyskanie zgody od IZ na przedłużenie realizacji projektu</w:t>
      </w:r>
      <w:r w:rsidR="00C43DC0">
        <w:t>.</w:t>
      </w:r>
      <w:r>
        <w:t xml:space="preserve"> Z innymi, drobnymi trudnościami, jakie występowały podczas realizacji projektów, beneficjenci radzili sobie na ogół w ramach własnych zespołów koordynujących – prowadząc rozmowy, spotykając się z podwykonawcami czy innymi osobami związanymi z projektem.</w:t>
      </w:r>
    </w:p>
    <w:p w14:paraId="4E9F53D2" w14:textId="77777777" w:rsidR="00876708" w:rsidRDefault="00876708" w:rsidP="00DF64C7">
      <w:pPr>
        <w:jc w:val="left"/>
      </w:pPr>
    </w:p>
    <w:p w14:paraId="515F7C46" w14:textId="77777777" w:rsidR="00876708" w:rsidRPr="00591415" w:rsidRDefault="00876708" w:rsidP="00DF64C7">
      <w:pPr>
        <w:jc w:val="left"/>
        <w:rPr>
          <w:b/>
          <w:bCs/>
          <w:color w:val="E36C0A" w:themeColor="accent6" w:themeShade="BF"/>
          <w:u w:val="single" w:color="984806" w:themeColor="accent6" w:themeShade="80"/>
        </w:rPr>
      </w:pPr>
      <w:r w:rsidRPr="00C37751">
        <w:rPr>
          <w:rStyle w:val="Odwoanieintensywne"/>
        </w:rPr>
        <w:t>Podsumowanie</w:t>
      </w:r>
    </w:p>
    <w:p w14:paraId="572F733A" w14:textId="77777777" w:rsidR="00876708" w:rsidRPr="006741C0" w:rsidRDefault="00876708" w:rsidP="00DF64C7">
      <w:pPr>
        <w:spacing w:after="720"/>
        <w:jc w:val="left"/>
        <w:rPr>
          <w:rFonts w:eastAsia="Arial"/>
        </w:rPr>
      </w:pPr>
      <w:r>
        <w:t xml:space="preserve">Zidentyfikowano wysoką efektywność kosztową udzielonego wsparcia - </w:t>
      </w:r>
      <w:r w:rsidRPr="002913C1">
        <w:t xml:space="preserve">średni poziom realizacji wskaźników dla ram wykonania OP XI wynosi </w:t>
      </w:r>
      <w:r>
        <w:t>123</w:t>
      </w:r>
      <w:r w:rsidRPr="002913C1">
        <w:t xml:space="preserve">%, natomiast efektywność kosztowa </w:t>
      </w:r>
      <w:r>
        <w:t>równa jest</w:t>
      </w:r>
      <w:r w:rsidRPr="002913C1">
        <w:t xml:space="preserve"> </w:t>
      </w:r>
      <w:r>
        <w:t>3,53</w:t>
      </w:r>
      <w:r w:rsidRPr="002913C1">
        <w:t xml:space="preserve">. </w:t>
      </w:r>
      <w:r>
        <w:t>W przypadku</w:t>
      </w:r>
      <w:r w:rsidRPr="002913C1">
        <w:t xml:space="preserve"> </w:t>
      </w:r>
      <w:r>
        <w:t xml:space="preserve">ram wykonania </w:t>
      </w:r>
      <w:r w:rsidRPr="002913C1">
        <w:t xml:space="preserve">OP XII średni poziom realizacji wskaźników </w:t>
      </w:r>
      <w:r>
        <w:t xml:space="preserve">ram wykonania </w:t>
      </w:r>
      <w:r w:rsidRPr="002913C1">
        <w:t xml:space="preserve">wynosi </w:t>
      </w:r>
      <w:r w:rsidR="00B11F10">
        <w:t>50</w:t>
      </w:r>
      <w:r w:rsidRPr="002913C1">
        <w:t xml:space="preserve">%, </w:t>
      </w:r>
      <w:r>
        <w:t>stanowiąc</w:t>
      </w:r>
      <w:r w:rsidRPr="002913C1">
        <w:t xml:space="preserve"> efektywność kosztową na poziomie </w:t>
      </w:r>
      <w:r>
        <w:t>1,</w:t>
      </w:r>
      <w:r w:rsidR="00B11F10">
        <w:t>065</w:t>
      </w:r>
      <w:r w:rsidRPr="002913C1">
        <w:t>.</w:t>
      </w:r>
      <w:r>
        <w:t xml:space="preserve"> Analiza </w:t>
      </w:r>
      <w:r w:rsidRPr="002913C1">
        <w:t>relacji kosztów do osiągniętych wartości wskaźników</w:t>
      </w:r>
      <w:r>
        <w:t xml:space="preserve"> EFS i EFRR wykazała, iż najlepszą sytuację odnotowano w ramach działania 11.3 w przypadku OP XI oraz działania 12.2 OP XII. Ponadto, uczestnicy badania dodali, że nie wystąpiły żadne zbędne, możliwe do uniknięcia koszty, gdyż były one weryfikowane już na etapie oceny wniosku o dofinansowanie. Rekomendowane jest kontynuowanie realizacji podobnych działań (11.3, 12.1, 12.2) w celu zapewnienia wysokiej efektywności kosztowej w relacji do poziomu osiągniętych rezultatów (wartości wskaźników).</w:t>
      </w:r>
    </w:p>
    <w:p w14:paraId="52646431" w14:textId="77777777" w:rsidR="00A464CB" w:rsidRDefault="00A464CB" w:rsidP="00DF64C7">
      <w:pPr>
        <w:pStyle w:val="Nagwek3"/>
        <w:spacing w:line="271" w:lineRule="auto"/>
        <w:ind w:left="426"/>
        <w:jc w:val="left"/>
        <w:rPr>
          <w:rFonts w:eastAsia="Arial"/>
        </w:rPr>
      </w:pPr>
      <w:bookmarkStart w:id="62" w:name="_Toc38035011"/>
      <w:r w:rsidRPr="00610089">
        <w:rPr>
          <w:rFonts w:eastAsia="Arial"/>
        </w:rPr>
        <w:t>Jak oceniana jest trwałość udzielonego wsparcia? Jakie czynniki wpływają na utrzymanie trwałości efektów projektów? Które rodzaje interwencji są najbardziej trwałe?</w:t>
      </w:r>
      <w:bookmarkEnd w:id="56"/>
      <w:bookmarkEnd w:id="57"/>
      <w:bookmarkEnd w:id="58"/>
      <w:bookmarkEnd w:id="62"/>
    </w:p>
    <w:p w14:paraId="706489C2" w14:textId="77777777" w:rsidR="00222F22" w:rsidRDefault="00222F22" w:rsidP="00DF64C7">
      <w:pPr>
        <w:jc w:val="left"/>
      </w:pPr>
      <w:r>
        <w:t xml:space="preserve">Trwałość udzielonego wsparcia </w:t>
      </w:r>
      <w:r w:rsidR="00C813EC">
        <w:t>uzależniona jest od</w:t>
      </w:r>
      <w:r>
        <w:t xml:space="preserve"> działań oraz zadań </w:t>
      </w:r>
      <w:r w:rsidR="00C813EC">
        <w:t>podejmowanych w </w:t>
      </w:r>
      <w:r>
        <w:t>ramach realizowanych projektów. Jest to zatem c</w:t>
      </w:r>
      <w:r w:rsidR="00C813EC">
        <w:t>zas, w którym należy zachować w </w:t>
      </w:r>
      <w:r>
        <w:t>niezmienionej formie i wymiarze efekty projektu, których osiągnięcie zos</w:t>
      </w:r>
      <w:r w:rsidR="000E6D91">
        <w:t>tało zadeklarowane we wniosku o </w:t>
      </w:r>
      <w:r>
        <w:t xml:space="preserve">dofinansowanie. Potencjalnie największą trwałością powinny charakteryzować się projekty mające na celu szkolenia kadry pedagogicznej. Działania te charakteryzują się przekazaniem najnowszej branżowej wiedzy w sposób skondensowany. </w:t>
      </w:r>
      <w:r w:rsidR="00612FDC">
        <w:t>Nauczyciele kształcenia zawodowego</w:t>
      </w:r>
      <w:r>
        <w:t>, dzięki podjętemu szkoleniu bądź też kursowi otrzymują najczęściej zaświadczenie o pozytywnym zakończeniu odbytego kursu/szkolenia. Mogą dzięki temu podejmować się zadań dydaktycznych w oparciu o najświeższą oraz selektywną wiedzę. Jej zastosowanie może być wdrażane na wielu płaszczyznach życia zawodowego osób objętych wsparciem.</w:t>
      </w:r>
    </w:p>
    <w:p w14:paraId="5C05CF23" w14:textId="77777777" w:rsidR="00222F22" w:rsidRDefault="00222F22" w:rsidP="00DF64C7">
      <w:pPr>
        <w:jc w:val="left"/>
      </w:pPr>
      <w:r>
        <w:t xml:space="preserve">Według opracowania </w:t>
      </w:r>
      <w:r w:rsidRPr="00B14EF8">
        <w:rPr>
          <w:i/>
        </w:rPr>
        <w:t>Ewaluacja wsparcia realizowanego w obszarze edukacji w ramach Europejskiego Funduszu Społecznego</w:t>
      </w:r>
      <w:r>
        <w:t xml:space="preserve"> przebadani nauc</w:t>
      </w:r>
      <w:r w:rsidR="000E6D91">
        <w:t>zyciele, którzy uczestniczyli w </w:t>
      </w:r>
      <w:r>
        <w:t>szkoleniach</w:t>
      </w:r>
      <w:r w:rsidR="00B14EF8">
        <w:t>,</w:t>
      </w:r>
      <w:r>
        <w:t xml:space="preserve"> w 75% przypadków deklarowali możliwość wykonania wszystkich lub większości rzeczy, których się nauczyli w ramach zajęć doszkalających. Odsetek ten maleje wraz z wiekiem </w:t>
      </w:r>
      <w:r w:rsidR="00C813EC">
        <w:t>–</w:t>
      </w:r>
      <w:r>
        <w:t xml:space="preserve"> wśród uczestników w wieku 20-29 lat przekracza 90%, natomiast wśród uczestników wieku 50 lat lub więcej spada poniżej 70%. Zatem trwałość osiąganych rezultatów można uznać za zadowalającą</w:t>
      </w:r>
      <w:r w:rsidR="0051099C">
        <w:rPr>
          <w:rStyle w:val="Odwoanieprzypisudolnego"/>
        </w:rPr>
        <w:footnoteReference w:id="77"/>
      </w:r>
      <w:r>
        <w:t>.</w:t>
      </w:r>
      <w:r w:rsidR="00367F85">
        <w:t xml:space="preserve"> </w:t>
      </w:r>
    </w:p>
    <w:p w14:paraId="65E84EB3" w14:textId="77777777" w:rsidR="000E5E40" w:rsidRDefault="00B97329" w:rsidP="00DF64C7">
      <w:pPr>
        <w:jc w:val="left"/>
      </w:pPr>
      <w:r>
        <w:t>W</w:t>
      </w:r>
      <w:r w:rsidR="00F825FB">
        <w:t xml:space="preserve">ysokie prawdopodobieństwo osiągnięcia zadowalającego poziomu trwałości projektów realizowanych w ramach </w:t>
      </w:r>
      <w:r w:rsidR="00886E1C">
        <w:t xml:space="preserve">OP </w:t>
      </w:r>
      <w:r w:rsidR="00F825FB">
        <w:t>XI i</w:t>
      </w:r>
      <w:r>
        <w:t xml:space="preserve"> XII potwierdzili beneficjenci</w:t>
      </w:r>
      <w:r w:rsidR="000E5E40">
        <w:t xml:space="preserve"> oraz nauczyciele i dyrektorzy wspartych placówek</w:t>
      </w:r>
      <w:r>
        <w:t xml:space="preserve">. </w:t>
      </w:r>
      <w:r w:rsidR="00F825FB">
        <w:t xml:space="preserve">Zdecydowana większość </w:t>
      </w:r>
      <w:r w:rsidR="000E5E40">
        <w:t xml:space="preserve">badanych podmiotów </w:t>
      </w:r>
      <w:r w:rsidR="00F825FB">
        <w:t xml:space="preserve">jest zdania, że efekty przedsięwzięcia mają szansę się utrzymać lub utrzymują się po </w:t>
      </w:r>
      <w:r w:rsidR="000E5E40">
        <w:t>zakończeniu realizacji projektu</w:t>
      </w:r>
      <w:r w:rsidR="00F825FB">
        <w:t xml:space="preserve">. </w:t>
      </w:r>
    </w:p>
    <w:p w14:paraId="1C2012D4" w14:textId="77777777" w:rsidR="00F825FB" w:rsidRDefault="00F825FB" w:rsidP="00DF64C7">
      <w:pPr>
        <w:jc w:val="left"/>
      </w:pPr>
      <w:r>
        <w:t xml:space="preserve">Struktura odpowiedzi beneficjentów wsparcia </w:t>
      </w:r>
      <w:r w:rsidR="000E5E40">
        <w:t>oraz przedstawicieli wspartych placówek edukacyjnych</w:t>
      </w:r>
      <w:r>
        <w:t xml:space="preserve"> świadczy o wysokim poziomie trwałości projektów dotyczących wzmocnienia potencjału edukacyjnego oraz infrastruktury edukacyjnej.</w:t>
      </w:r>
    </w:p>
    <w:p w14:paraId="157F14C7" w14:textId="40D4865F" w:rsidR="00643AE0" w:rsidRDefault="00643AE0" w:rsidP="00DF64C7">
      <w:pPr>
        <w:pStyle w:val="Legenda"/>
        <w:spacing w:line="271" w:lineRule="auto"/>
        <w:jc w:val="left"/>
      </w:pPr>
      <w:bookmarkStart w:id="63" w:name="_Toc33459796"/>
      <w:r>
        <w:t xml:space="preserve">Wykres </w:t>
      </w:r>
      <w:r w:rsidR="00A57FB6">
        <w:rPr>
          <w:noProof/>
        </w:rPr>
        <w:fldChar w:fldCharType="begin"/>
      </w:r>
      <w:r w:rsidR="00A57FB6">
        <w:rPr>
          <w:noProof/>
        </w:rPr>
        <w:instrText xml:space="preserve"> SEQ Wykres \* ARABIC </w:instrText>
      </w:r>
      <w:r w:rsidR="00A57FB6">
        <w:rPr>
          <w:noProof/>
        </w:rPr>
        <w:fldChar w:fldCharType="separate"/>
      </w:r>
      <w:r w:rsidR="00A8147E">
        <w:rPr>
          <w:noProof/>
        </w:rPr>
        <w:t>14</w:t>
      </w:r>
      <w:r w:rsidR="00A57FB6">
        <w:rPr>
          <w:noProof/>
        </w:rPr>
        <w:fldChar w:fldCharType="end"/>
      </w:r>
      <w:r w:rsidR="00BE18EA">
        <w:rPr>
          <w:noProof/>
        </w:rPr>
        <w:t>.</w:t>
      </w:r>
      <w:r>
        <w:t xml:space="preserve"> </w:t>
      </w:r>
      <w:r w:rsidRPr="006E3059">
        <w:t>Czy po zakończeniu przez Państwa realizacji projektu, efekty przedsięwzięcia mają szansę się utrzymać/utrzymują się?</w:t>
      </w:r>
      <w:bookmarkEnd w:id="63"/>
    </w:p>
    <w:p w14:paraId="474CCDE4" w14:textId="77777777" w:rsidR="00643AE0" w:rsidRDefault="00886E1C" w:rsidP="00DF64C7">
      <w:pPr>
        <w:pStyle w:val="Legenda"/>
        <w:spacing w:line="271" w:lineRule="auto"/>
        <w:jc w:val="left"/>
      </w:pPr>
      <w:r>
        <w:rPr>
          <w:noProof/>
          <w:lang w:eastAsia="pl-PL"/>
        </w:rPr>
        <w:drawing>
          <wp:inline distT="0" distB="0" distL="0" distR="0" wp14:anchorId="4CC25C3B" wp14:editId="57592FDB">
            <wp:extent cx="5724525" cy="1743075"/>
            <wp:effectExtent l="0" t="0" r="9525" b="9525"/>
            <wp:docPr id="42" name="Wykres 42" descr="Wykres przedstawia procentowy rozkład odpowiedzi beneficjentów na pytanie: &quot;Czy po zakończeniu przez Państwa realizacji projektu, efekty przedsięwzięcia mają szansę się utrzymać/utrzymują się?&quot;. Do zaprezentowania wartości wykorzystany zstał wykres kolumnowy: zdecydowanie tak (61,5%), raczej tak (30,2%), trudno powiedzieć (7,5%), raczej nie  (0,9%), zdecydiwanie nie (0,0%)." title="Czy po zakończeniu przez Państwa realizacji projektu, efekty przedsięwzięcia mają szansę się utrzymać/utrzymują się?"/>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837520" w14:textId="77777777" w:rsidR="000E5E40" w:rsidRDefault="00E73C33" w:rsidP="00DF64C7">
      <w:pPr>
        <w:pStyle w:val="podpisrdailustracji"/>
        <w:spacing w:line="271" w:lineRule="auto"/>
        <w:jc w:val="left"/>
      </w:pPr>
      <w:r>
        <w:t>Źródło: opracowanie własne na podstawie badania CAWI/CATI z beneficjentami, n=467.</w:t>
      </w:r>
    </w:p>
    <w:p w14:paraId="1631298A" w14:textId="0EF0965F" w:rsidR="000E5E40" w:rsidRDefault="000E5E40" w:rsidP="00DF64C7">
      <w:pPr>
        <w:pStyle w:val="Legenda"/>
        <w:spacing w:line="271" w:lineRule="auto"/>
        <w:jc w:val="left"/>
      </w:pPr>
      <w:bookmarkStart w:id="64" w:name="_Toc33459797"/>
      <w:r>
        <w:t xml:space="preserve">Wykres </w:t>
      </w:r>
      <w:r w:rsidR="00AB65C6">
        <w:rPr>
          <w:noProof/>
        </w:rPr>
        <w:fldChar w:fldCharType="begin"/>
      </w:r>
      <w:r w:rsidR="00AB65C6">
        <w:rPr>
          <w:noProof/>
        </w:rPr>
        <w:instrText xml:space="preserve"> SEQ Wykres \* ARABIC </w:instrText>
      </w:r>
      <w:r w:rsidR="00AB65C6">
        <w:rPr>
          <w:noProof/>
        </w:rPr>
        <w:fldChar w:fldCharType="separate"/>
      </w:r>
      <w:r w:rsidR="00A8147E">
        <w:rPr>
          <w:noProof/>
        </w:rPr>
        <w:t>15</w:t>
      </w:r>
      <w:r w:rsidR="00AB65C6">
        <w:rPr>
          <w:noProof/>
        </w:rPr>
        <w:fldChar w:fldCharType="end"/>
      </w:r>
      <w:r w:rsidR="00BE18EA">
        <w:rPr>
          <w:noProof/>
        </w:rPr>
        <w:t>.</w:t>
      </w:r>
      <w:r>
        <w:t xml:space="preserve"> </w:t>
      </w:r>
      <w:r w:rsidRPr="00F73F18">
        <w:t>Czy uważają Państwo, że zmiany, jakie zaszły w wyniku realizacji projektu, uda się utrzymać w przyszłości?</w:t>
      </w:r>
      <w:bookmarkEnd w:id="64"/>
    </w:p>
    <w:p w14:paraId="77134F99" w14:textId="77777777" w:rsidR="000E5E40" w:rsidRDefault="000E5E40" w:rsidP="00DF64C7">
      <w:pPr>
        <w:jc w:val="left"/>
      </w:pPr>
      <w:r>
        <w:rPr>
          <w:noProof/>
          <w:lang w:eastAsia="pl-PL"/>
        </w:rPr>
        <w:drawing>
          <wp:inline distT="0" distB="0" distL="0" distR="0" wp14:anchorId="138DB808" wp14:editId="3ED9CBB8">
            <wp:extent cx="5762445" cy="1190445"/>
            <wp:effectExtent l="0" t="0" r="10160" b="10160"/>
            <wp:docPr id="22" name="Wykres 22" descr="Wykres przedstawia procentowy rozkład odpowiedzi nauczycieli i dyrektorów wspartych placówek na pytanie: &quot;Czy uważają Państwo, że zmiany, jakie zaszły w wyniku realizacji projektu, uda się utrzymać w przyszłości?&quot;. Wyniki przedstawione zostały na wykresie kolumnowym: tak, w całości (53,6%), tak, częściowo (30,3%), nie (0,9%), trudno powiedzieć (15,2%)." title="Czy uważają Państwo, że zmiany, jakie zaszły w wyniku realizacji projektu, uda się utrzymać w przyszłości?"/>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E190D3" w14:textId="77777777" w:rsidR="000E5E40" w:rsidRDefault="000E5E40" w:rsidP="00DF64C7">
      <w:pPr>
        <w:pStyle w:val="podpisrdailustracji"/>
        <w:spacing w:line="271" w:lineRule="auto"/>
        <w:jc w:val="left"/>
      </w:pPr>
      <w:r>
        <w:t>Źródło: opracowanie własne na podstawie badania CAWI/CATI z nauczycielami i dyrektorami wspartych placówek, n=691.</w:t>
      </w:r>
    </w:p>
    <w:p w14:paraId="7A7DCC62" w14:textId="77777777" w:rsidR="001B2A0E" w:rsidRPr="007B5F7E" w:rsidRDefault="001B2A0E" w:rsidP="00DF64C7">
      <w:pPr>
        <w:jc w:val="left"/>
      </w:pPr>
      <w:r w:rsidRPr="007B5F7E">
        <w:t>Uwzględniając korelację pomiędzy wysokim udziałem beneficjentów wsparcia w ramach OP XI i XII, którzy potwierdzili utrzymywanie się efektów realizacji projektów z określeniem horyzontu czasowego prognozowanej trwałości, zauważyć można dominację projektów, których rezultaty utrzymywać się będą 3 lata lub dłużej w przypadku OP XI oraz powyżej 3 i 5 lat w przypadku OP XII.</w:t>
      </w:r>
    </w:p>
    <w:p w14:paraId="4716D4B8" w14:textId="77777777" w:rsidR="001B2A0E" w:rsidRPr="007B5F7E" w:rsidRDefault="001B2A0E" w:rsidP="00DF64C7">
      <w:pPr>
        <w:jc w:val="left"/>
      </w:pPr>
      <w:r w:rsidRPr="007B5F7E">
        <w:t>Bardzo wysoki udział projektów, których prognozowaną trwałość zidentyfikowano na poziomie minimum 3 lat świadczy o wysokim poziomie trwałości rezultatów działań realizowanych w ramach OP XI i OP XII RPO WSL na lata 2014-2020. Najłatwiejsza do szacunków oraz weryfikacji jest wysoka trwałość przewidywana w przypadku projektów, które dotyczyły twardych efektów, tj. inwestycji w infrastrukturę – budowy nowych placówek, pracowni, czy też ich modernizacji i doposażenia. Zgodnie z wypowiedziami beneficjentów, tego typu wdrożenia pozwalają na szacunki, zgodnie z którymi efekty utrzymają się przez okres od 5 lat od momentu zakończenia projektu (w przypadku wyposażenia, m.in. placów zabaw czy sprzętów do praktycznej nauki zawodu), do 20 lat, w przypadku budynków i utworzonych sal czy pracowni. W tym względzie wiele zależy od warunków panujących w systemie szkolnictwa oraz na rynku zatrudnienia – zmiany na tych polach wpływają bowiem na konieczność zmian w zakresie oferty placówek oświaty, w celu utrzymania wysokiej jakości edukacji. Na przykład zmiana zapotrzebowania na wybrane zawody czy zmiany w zakresie wykorzystywanych technologii wymuszają konieczność zakupienia nowego sprzętu czy oprogramowania.</w:t>
      </w:r>
    </w:p>
    <w:p w14:paraId="51EB8044" w14:textId="6CA21CDB" w:rsidR="001B2A0E" w:rsidRPr="007B5F7E" w:rsidRDefault="001B2A0E" w:rsidP="00DF64C7">
      <w:pPr>
        <w:pStyle w:val="Legenda"/>
        <w:spacing w:line="271" w:lineRule="auto"/>
        <w:jc w:val="left"/>
      </w:pPr>
      <w:r>
        <w:t xml:space="preserve">Wykres </w:t>
      </w:r>
      <w:r w:rsidR="000C2F92">
        <w:rPr>
          <w:noProof/>
        </w:rPr>
        <w:fldChar w:fldCharType="begin"/>
      </w:r>
      <w:r w:rsidR="000C2F92">
        <w:rPr>
          <w:noProof/>
        </w:rPr>
        <w:instrText xml:space="preserve"> SEQ Wykres \* ARABIC </w:instrText>
      </w:r>
      <w:r w:rsidR="000C2F92">
        <w:rPr>
          <w:noProof/>
        </w:rPr>
        <w:fldChar w:fldCharType="separate"/>
      </w:r>
      <w:r w:rsidR="00A8147E">
        <w:rPr>
          <w:noProof/>
        </w:rPr>
        <w:t>16</w:t>
      </w:r>
      <w:r w:rsidR="000C2F92">
        <w:rPr>
          <w:noProof/>
        </w:rPr>
        <w:fldChar w:fldCharType="end"/>
      </w:r>
      <w:r>
        <w:t xml:space="preserve">. </w:t>
      </w:r>
      <w:r w:rsidRPr="007B5F7E">
        <w:t>Jak długo po zakończeniu realizacji projektu efekty mają szansę się utrzymać? – OP XI</w:t>
      </w:r>
    </w:p>
    <w:p w14:paraId="52A4A058" w14:textId="77777777" w:rsidR="001B2A0E" w:rsidRPr="007B5F7E" w:rsidRDefault="001B2A0E" w:rsidP="00DF64C7">
      <w:pPr>
        <w:jc w:val="left"/>
      </w:pPr>
      <w:r w:rsidRPr="007B5F7E">
        <w:rPr>
          <w:noProof/>
          <w:lang w:eastAsia="pl-PL"/>
        </w:rPr>
        <w:drawing>
          <wp:inline distT="0" distB="0" distL="0" distR="0" wp14:anchorId="44693041" wp14:editId="126D025C">
            <wp:extent cx="5486400" cy="1543050"/>
            <wp:effectExtent l="0" t="0" r="19050" b="19050"/>
            <wp:docPr id="62" name="Wykres 62" descr="Na wykresie kolumnowym przedstawiono odpowiedzi beneficjentów na pytanie: Jak długo po zakończeniu realizacji projektu efekty mają szansę się utrzymać? Odpowiedzi  dotyczyły OP XI: poniżej 1 roku (0,9%), 1 rok (5,4%), 2 lta (18,6%), 3 lata (26,7%), powyżej 3 lat (48,3%)." title="Jak długo po zakończeniu realizacji projektu efekty mają szansę się utrzymać? – OP XI"/>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A8428A" w14:textId="77777777" w:rsidR="001B2A0E" w:rsidRPr="007B5F7E" w:rsidRDefault="001B2A0E" w:rsidP="00DF64C7">
      <w:pPr>
        <w:pStyle w:val="podpisrdailustracji"/>
        <w:spacing w:line="271" w:lineRule="auto"/>
        <w:jc w:val="left"/>
      </w:pPr>
      <w:r w:rsidRPr="007B5F7E">
        <w:t>Źródło: badanie CAWI/CATI z beneficjentami, n=333.</w:t>
      </w:r>
    </w:p>
    <w:p w14:paraId="220D5132" w14:textId="205B5D24" w:rsidR="001B2A0E" w:rsidRPr="007B5F7E" w:rsidRDefault="001B2A0E" w:rsidP="00DF64C7">
      <w:pPr>
        <w:pStyle w:val="Legenda"/>
        <w:spacing w:line="271" w:lineRule="auto"/>
        <w:jc w:val="left"/>
      </w:pPr>
      <w:r w:rsidRPr="007B5F7E">
        <w:t xml:space="preserve">Wykres </w:t>
      </w:r>
      <w:r w:rsidR="00BE2CE0">
        <w:rPr>
          <w:noProof/>
        </w:rPr>
        <w:fldChar w:fldCharType="begin"/>
      </w:r>
      <w:r w:rsidR="00BE2CE0">
        <w:rPr>
          <w:noProof/>
        </w:rPr>
        <w:instrText xml:space="preserve"> SEQ Wykres \* ARABIC </w:instrText>
      </w:r>
      <w:r w:rsidR="00BE2CE0">
        <w:rPr>
          <w:noProof/>
        </w:rPr>
        <w:fldChar w:fldCharType="separate"/>
      </w:r>
      <w:r w:rsidR="00A8147E">
        <w:rPr>
          <w:noProof/>
        </w:rPr>
        <w:t>17</w:t>
      </w:r>
      <w:r w:rsidR="00BE2CE0">
        <w:rPr>
          <w:noProof/>
        </w:rPr>
        <w:fldChar w:fldCharType="end"/>
      </w:r>
      <w:r w:rsidRPr="007B5F7E">
        <w:t>. Jak długo po zakończeniu realizacji projektu efekty mają szansę się utrzymać? – OP XII</w:t>
      </w:r>
    </w:p>
    <w:p w14:paraId="73F0B351" w14:textId="77777777" w:rsidR="001B2A0E" w:rsidRPr="007B5F7E" w:rsidRDefault="001B2A0E" w:rsidP="00DF64C7">
      <w:pPr>
        <w:jc w:val="left"/>
      </w:pPr>
      <w:r w:rsidRPr="007B5F7E">
        <w:rPr>
          <w:noProof/>
          <w:lang w:eastAsia="pl-PL"/>
        </w:rPr>
        <w:drawing>
          <wp:inline distT="0" distB="0" distL="0" distR="0" wp14:anchorId="7B00479A" wp14:editId="54C7EA63">
            <wp:extent cx="5486400" cy="1562100"/>
            <wp:effectExtent l="0" t="0" r="19050" b="19050"/>
            <wp:docPr id="28" name="Wykres 28" descr="Na wykresie kolumnowym przedstawione zostały odpowiedzi beneficjentów działania 12.1,tj.: 3 lata (3,6%) i powyżej 3 lat (96,4%)." title="Jak długo po zakończeniu realizacji projektu efekty mają szansę się utrzymać? – OP XII"/>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1C278E" w14:textId="77777777" w:rsidR="001B2A0E" w:rsidRPr="007B5F7E" w:rsidRDefault="001B2A0E" w:rsidP="00DF64C7">
      <w:pPr>
        <w:jc w:val="left"/>
      </w:pPr>
      <w:r w:rsidRPr="007B5F7E">
        <w:rPr>
          <w:noProof/>
          <w:lang w:eastAsia="pl-PL"/>
        </w:rPr>
        <w:drawing>
          <wp:inline distT="0" distB="0" distL="0" distR="0" wp14:anchorId="1477B328" wp14:editId="4F20BB2E">
            <wp:extent cx="5486400" cy="1562100"/>
            <wp:effectExtent l="0" t="0" r="19050" b="19050"/>
            <wp:docPr id="29" name="Wykres 29" descr="Na wykresie kolumnowym przedstawione zostały odpowiedzi beneficjentów działania 12.2,tj.: 5 lat (40,5%) i powyżej 5 lat (59,5%)." title="Jak długo po zakończeniu realizacji projektu efekty mają szansę się utrzymać? – OP XII"/>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26599C" w14:textId="77777777" w:rsidR="001B2A0E" w:rsidRDefault="001B2A0E" w:rsidP="00DF64C7">
      <w:pPr>
        <w:pStyle w:val="podpisrdailustracji"/>
        <w:spacing w:line="271" w:lineRule="auto"/>
        <w:jc w:val="left"/>
      </w:pPr>
      <w:r w:rsidRPr="007B5F7E">
        <w:t>Źródło: badanie CAWI/CATI z beneficjentami, n=55 (12.1), 37 (12.2).</w:t>
      </w:r>
    </w:p>
    <w:p w14:paraId="1548AC96" w14:textId="77777777" w:rsidR="00A96297" w:rsidRDefault="00A96297" w:rsidP="00DF64C7">
      <w:pPr>
        <w:jc w:val="left"/>
      </w:pPr>
      <w:r>
        <w:t>Przedstawiciele IZ i IP zgodnie potwierdzili, że efekty udzielonego wsparcia mają szanse utrzymać się w długim okresie (powyżej 5 lat). W przypadku dotychczas przeprowadzonych kontroli nie odnotowano większych problemów z zapewnieniem trwałości efektów wsparcia, a ewentualne sytuacje problemowe mają charakter jednostkowy.</w:t>
      </w:r>
      <w:r w:rsidR="00E62937">
        <w:t xml:space="preserve"> Kluczowy jest </w:t>
      </w:r>
      <w:r w:rsidR="00EF1CCC">
        <w:t>jednak</w:t>
      </w:r>
      <w:r w:rsidR="00E62937">
        <w:t xml:space="preserve"> fakt, iż wsparcie w ramach Programu nie jest możliwe w tak dł</w:t>
      </w:r>
      <w:r w:rsidR="00EF1CCC">
        <w:t>ugim horyzoncie czasowym, stą</w:t>
      </w:r>
      <w:r w:rsidR="00E62937">
        <w:t>d też zachowanie trwałości w decydującej mierze zależne jest od beneficjentów</w:t>
      </w:r>
      <w:r w:rsidR="00EF1CCC">
        <w:t xml:space="preserve"> i wymaga od nich zabezpieczenia na ten cel odpowiednich środków finansowych</w:t>
      </w:r>
      <w:r w:rsidR="00A52E8C">
        <w:t xml:space="preserve"> (z kolei w przypadku uczestników, trwałość wsparcia determinowana będzie indywidualnymi predyspozycjami dot. zdolności do zapamiętywania wiedzy oraz determinacji w aktualizowaniu posiadanych informacji)</w:t>
      </w:r>
      <w:r w:rsidR="00EF1CCC">
        <w:t>.</w:t>
      </w:r>
    </w:p>
    <w:p w14:paraId="2011B429" w14:textId="77777777" w:rsidR="004824A0" w:rsidRPr="00923BF9" w:rsidRDefault="004824A0" w:rsidP="00DF64C7">
      <w:pPr>
        <w:jc w:val="left"/>
      </w:pPr>
      <w:r>
        <w:t>O wysokim poziomie trwałości projektów mających na celu wzmocnienie potencjału edukacyjnego oraz poprawę infrastruktury edukacyjnej ś</w:t>
      </w:r>
      <w:r w:rsidR="00B140A9">
        <w:t>wiadczy dodatkowo skala zmian w </w:t>
      </w:r>
      <w:r>
        <w:t>jakości usług w pl</w:t>
      </w:r>
      <w:r w:rsidR="0046195B">
        <w:t>acówkach</w:t>
      </w:r>
      <w:r w:rsidR="00372BC8">
        <w:t>, które skorzystały ze wsparcia</w:t>
      </w:r>
      <w:r w:rsidR="0046195B">
        <w:t>. Zdecydowana większość</w:t>
      </w:r>
      <w:r>
        <w:t xml:space="preserve"> (84</w:t>
      </w:r>
      <w:r w:rsidR="0046195B">
        <w:t>,4</w:t>
      </w:r>
      <w:r>
        <w:t xml:space="preserve">%) beneficjentów wsparcia </w:t>
      </w:r>
      <w:r w:rsidR="00B140A9">
        <w:t>określ</w:t>
      </w:r>
      <w:r w:rsidR="0046195B">
        <w:t>ił</w:t>
      </w:r>
      <w:r w:rsidR="00B140A9">
        <w:t>a skalę</w:t>
      </w:r>
      <w:r>
        <w:t xml:space="preserve"> zmian w placówkach jako „duża”. Co dziesiąty respondent </w:t>
      </w:r>
      <w:r w:rsidR="0046195B">
        <w:t>był</w:t>
      </w:r>
      <w:r>
        <w:t xml:space="preserve"> zdania, że skala zmian kształtuje się na przeciętnym poziomie, natomiast 6% badanych zidentyfikowało „małe” zmiany w analizowanych placówkach.</w:t>
      </w:r>
    </w:p>
    <w:p w14:paraId="62394F2D" w14:textId="7FE117B8" w:rsidR="00643AE0" w:rsidRDefault="00D22B94" w:rsidP="00DF64C7">
      <w:pPr>
        <w:pStyle w:val="Legenda"/>
        <w:spacing w:line="271" w:lineRule="auto"/>
        <w:jc w:val="left"/>
      </w:pPr>
      <w:bookmarkStart w:id="65" w:name="_Toc33459799"/>
      <w:r>
        <w:t xml:space="preserve">Wykres </w:t>
      </w:r>
      <w:r w:rsidR="000C2F92">
        <w:rPr>
          <w:noProof/>
        </w:rPr>
        <w:fldChar w:fldCharType="begin"/>
      </w:r>
      <w:r w:rsidR="000C2F92">
        <w:rPr>
          <w:noProof/>
        </w:rPr>
        <w:instrText xml:space="preserve"> SEQ Wykres \* ARABIC </w:instrText>
      </w:r>
      <w:r w:rsidR="000C2F92">
        <w:rPr>
          <w:noProof/>
        </w:rPr>
        <w:fldChar w:fldCharType="separate"/>
      </w:r>
      <w:r w:rsidR="00A8147E">
        <w:rPr>
          <w:noProof/>
        </w:rPr>
        <w:t>18</w:t>
      </w:r>
      <w:r w:rsidR="000C2F92">
        <w:rPr>
          <w:noProof/>
        </w:rPr>
        <w:fldChar w:fldCharType="end"/>
      </w:r>
      <w:r>
        <w:t xml:space="preserve">. </w:t>
      </w:r>
      <w:r w:rsidR="00643AE0" w:rsidRPr="003E072C">
        <w:t>Jak oceniają Państwo skalę zmian w jakości usług w placówkach, które skorzystały ze wsparcia w ramach projektu?</w:t>
      </w:r>
      <w:bookmarkEnd w:id="65"/>
    </w:p>
    <w:p w14:paraId="4B9F59B9" w14:textId="77777777" w:rsidR="00643AE0" w:rsidRDefault="008C1EE7" w:rsidP="00DF64C7">
      <w:pPr>
        <w:jc w:val="left"/>
      </w:pPr>
      <w:r>
        <w:rPr>
          <w:noProof/>
          <w:lang w:eastAsia="pl-PL"/>
        </w:rPr>
        <w:drawing>
          <wp:inline distT="0" distB="0" distL="0" distR="0" wp14:anchorId="35B9AFA6" wp14:editId="2F944846">
            <wp:extent cx="5762445" cy="1233578"/>
            <wp:effectExtent l="0" t="0" r="10160" b="24130"/>
            <wp:docPr id="44" name="Wykres 44" descr="Wykres przedstawia procentowy rozkład odpowiedzi beneficjentów na pytanie: &quot;Jak oceniają Państwo skalę zmian w jakości usług w placówkach, które skorzystały ze wsparcia w ramach projektu?&quot;. Wartości przedstawione zostały na wykresie kolumnowym,tj.: zdecydowanie duża (36,0%), raczej duża (48,4%), przeciętna (9,6%), raczej mała (1,1%), zdecydowanie mała (4,9%)." title="Jak oceniają Państwo skalę zmian w jakości usług w placówkach, które skorzystały ze wsparcia w ramach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B41E905" w14:textId="77777777" w:rsidR="00BB0433" w:rsidRDefault="00E73C33" w:rsidP="00DF64C7">
      <w:pPr>
        <w:pStyle w:val="podpisrdailustracji"/>
        <w:spacing w:line="271" w:lineRule="auto"/>
        <w:jc w:val="left"/>
      </w:pPr>
      <w:r>
        <w:t>Źródło: opracowanie własne na podstawie badania CAWI/CATI z beneficjentami, n=467.</w:t>
      </w:r>
    </w:p>
    <w:p w14:paraId="6A954459" w14:textId="77777777" w:rsidR="00BB0433" w:rsidRPr="009E0834" w:rsidRDefault="00BB0433" w:rsidP="00DF64C7">
      <w:pPr>
        <w:spacing w:after="240"/>
        <w:jc w:val="left"/>
      </w:pPr>
      <w:r>
        <w:t>Trudno jednak dokonać obiektywnej oceny trwałości efektów miękkich wdrażanych projektów. W przypadku wielu uczestników można mówić o inwestycji w kontekście całego życia – zdobyta wiedza i umiejętności mogą posłużyć za podstawę dla dalszego budowania zasobów wiedzy oraz kariery zawodowej (można tu mówić zarówno o pozyskanej wiedzy samej w sobie, ale też wyuczeniu przekonania, że inwestowanie we własny rozwój jest bardzo ważne). Dotyczy to zarówno uczniów, jak i nauczycieli uczestniczących w działaniach podnoszących ich wiedzę i kwalifikacje zawodowe. Ocena trwałości musi być rozpatrywana w kontekście zależności od czynników zewnętrznych, w szczególności wspomnianych zmianach w systemie oświaty i w otoczeniu społeczno-</w:t>
      </w:r>
      <w:r w:rsidR="00BE18EA">
        <w:t>gospodarczym. Duże znaczenie, z </w:t>
      </w:r>
      <w:r>
        <w:t>punktu widzenia beneficjentów, ma również efekt realizacji projektów w postaci zmiany społecznej w zakresie postrzegania szkoleń czy kursów zawodowych, jak również samego wykształcenia zawodowego. Jak twierdzili respondenci, dzięki temu, że część uczniów zdecydowała się wziąć udział w projekcie i uzyskała z tego powodu korzyści, zmotywowała inne osoby do podejmowania podobnych działań. Tego rodzaju efekty projektów są trudne do oceny pod kątem trwałości, jednak zauważalne w opinii badanych projektodawców.</w:t>
      </w:r>
    </w:p>
    <w:p w14:paraId="7B6BFADF" w14:textId="77777777" w:rsidR="001B2A0E" w:rsidRPr="007B5F7E" w:rsidRDefault="001B2A0E" w:rsidP="00DF64C7">
      <w:pPr>
        <w:jc w:val="left"/>
      </w:pPr>
      <w:r w:rsidRPr="007B5F7E">
        <w:t>Przykładami działań, które mogą mieć największy potencjalny wpływ na trwałość udzielonego wsparcia są projekty realizowane w ramach OP XII. Charakteryzują się one bowiem inwestycjami w infrastrukturę, która wykorzystywana jest w toku codziennie świadczonych form edukacji na różnym poziomie kształcenia. Budowa infrastruktury dostosowanej do potrzeb dzieci i młodzieży oraz zakup materiałów dydaktycznych czy wyposażenia sal są najczęściej spotykanymi projektami wśród działań z OP XII. Wysoką trwałością spośród takich przedsięwzięć cechują się projekty, w ramach których realizowana jest budowa bądź też remonty elementów infrastruktury w celu dostosowania jej do potrzeb osób z niepełnosprawnościami.  W przypadku OP XI szczególnie istotne jest doposażenie placówek, pozwalające na efektywną realizację zadań z wykorzystaniem nowoczesnych technologii, które wykorzystywane będą mogły być w dłuższym okresie, oraz rozszerzenie oferty edukacyjnej, zapewniając tym samym możliwość nabycia i zwiększenia kompetencji wśród osób, które wykorzystują zdobyte doświadczenie na rynku pracy.</w:t>
      </w:r>
    </w:p>
    <w:p w14:paraId="78843678" w14:textId="77777777" w:rsidR="001B2A0E" w:rsidRPr="007B5F7E" w:rsidRDefault="001B2A0E" w:rsidP="00DF64C7">
      <w:pPr>
        <w:jc w:val="left"/>
      </w:pPr>
      <w:r w:rsidRPr="007B5F7E">
        <w:t>Do rozwiązań, które mogą się przyczyniać do zwiększania trwałości efektów uzyskiwanych w ramach OP XI i XII należą przede wszystkim: analiza potrzeb (mająca za zadanie określenie potrzeb, celów i planowanych rezultatów, ale także ograniczeń), finansowanie instytucji oraz upowszechnianie rezultatów projektu oraz planowanie</w:t>
      </w:r>
      <w:r w:rsidRPr="007B5F7E">
        <w:rPr>
          <w:rStyle w:val="Odwoanieprzypisudolnego"/>
        </w:rPr>
        <w:footnoteReference w:id="78"/>
      </w:r>
      <w:r w:rsidRPr="007B5F7E">
        <w:t xml:space="preserve">. </w:t>
      </w:r>
    </w:p>
    <w:p w14:paraId="032A845F" w14:textId="77777777" w:rsidR="001B2A0E" w:rsidRPr="007B5F7E" w:rsidRDefault="001B2A0E" w:rsidP="00DF64C7">
      <w:pPr>
        <w:jc w:val="left"/>
      </w:pPr>
      <w:r w:rsidRPr="007B5F7E">
        <w:t xml:space="preserve">Wyłącznie jedna trzecia beneficjentów jest w stanie wskazać czynniki, które ułatwiają zachowanie trwałości. Do najczęściej wskazywanych czynników w przypadku OP XI zaliczyć można: </w:t>
      </w:r>
    </w:p>
    <w:p w14:paraId="1124DDD9" w14:textId="77777777" w:rsidR="001B2A0E" w:rsidRPr="007B5F7E" w:rsidRDefault="001B2A0E" w:rsidP="00DF64C7">
      <w:pPr>
        <w:pStyle w:val="Akapitzlist"/>
        <w:numPr>
          <w:ilvl w:val="0"/>
          <w:numId w:val="34"/>
        </w:numPr>
        <w:jc w:val="left"/>
      </w:pPr>
      <w:r w:rsidRPr="007B5F7E">
        <w:t>duże zapotrzebowanie na miejsca przedszkolne;</w:t>
      </w:r>
    </w:p>
    <w:p w14:paraId="4E5F7D30" w14:textId="77777777" w:rsidR="001B2A0E" w:rsidRPr="007B5F7E" w:rsidRDefault="001B2A0E" w:rsidP="00DF64C7">
      <w:pPr>
        <w:pStyle w:val="Akapitzlist"/>
        <w:numPr>
          <w:ilvl w:val="0"/>
          <w:numId w:val="34"/>
        </w:numPr>
        <w:jc w:val="left"/>
      </w:pPr>
      <w:r w:rsidRPr="007B5F7E">
        <w:t>zakup sprzętu i wyposażenia, które charakteryzuje wysoka jakość i w konsekwencji długi termin trwałości;</w:t>
      </w:r>
    </w:p>
    <w:p w14:paraId="4052837D" w14:textId="77777777" w:rsidR="001B2A0E" w:rsidRPr="007B5F7E" w:rsidRDefault="001B2A0E" w:rsidP="00DF64C7">
      <w:pPr>
        <w:pStyle w:val="Akapitzlist"/>
        <w:numPr>
          <w:ilvl w:val="0"/>
          <w:numId w:val="34"/>
        </w:numPr>
        <w:jc w:val="left"/>
      </w:pPr>
      <w:r w:rsidRPr="007B5F7E">
        <w:t>dostępne środki finansowe, np. dotacje, subwencje, dofinansowanie ze środków JST;</w:t>
      </w:r>
    </w:p>
    <w:p w14:paraId="388B1F36" w14:textId="77777777" w:rsidR="001B2A0E" w:rsidRPr="007B5F7E" w:rsidRDefault="001B2A0E" w:rsidP="00DF64C7">
      <w:pPr>
        <w:pStyle w:val="Akapitzlist"/>
        <w:numPr>
          <w:ilvl w:val="0"/>
          <w:numId w:val="34"/>
        </w:numPr>
        <w:jc w:val="left"/>
      </w:pPr>
      <w:r w:rsidRPr="007B5F7E">
        <w:t>wzrost kompetencji nauczycieli połączony z małą rotacją pracowników w jednostkach oświaty i wychowania przedszkolnego;</w:t>
      </w:r>
    </w:p>
    <w:p w14:paraId="4C393B6D" w14:textId="77777777" w:rsidR="001B2A0E" w:rsidRPr="007B5F7E" w:rsidRDefault="001B2A0E" w:rsidP="00DF64C7">
      <w:pPr>
        <w:pStyle w:val="Akapitzlist"/>
        <w:numPr>
          <w:ilvl w:val="0"/>
          <w:numId w:val="34"/>
        </w:numPr>
        <w:jc w:val="left"/>
      </w:pPr>
      <w:r w:rsidRPr="007B5F7E">
        <w:t>wysoką jakość szkoleń realizowanych w ramach projektów.</w:t>
      </w:r>
    </w:p>
    <w:p w14:paraId="4AA99226" w14:textId="77777777" w:rsidR="001B2A0E" w:rsidRPr="007B5F7E" w:rsidRDefault="001B2A0E" w:rsidP="00DF64C7">
      <w:pPr>
        <w:jc w:val="left"/>
      </w:pPr>
      <w:r w:rsidRPr="007B5F7E">
        <w:t>W przypadku OP XII uwagę należy zwrócić w szczególności na zastosowanie dobrej jakości materiałów budowlanych w projektach infrastrukturalnych.</w:t>
      </w:r>
    </w:p>
    <w:p w14:paraId="66589591" w14:textId="77777777" w:rsidR="001B2A0E" w:rsidRPr="007B5F7E" w:rsidRDefault="001B2A0E" w:rsidP="00DF64C7">
      <w:pPr>
        <w:jc w:val="left"/>
      </w:pPr>
      <w:r w:rsidRPr="007B5F7E">
        <w:t xml:space="preserve">Ponadto, co czwarty beneficjent jest również zdania, że wpływ na trwałość efektów wsparcia mają również inne, niezależne od beneficjentów czynniki zewnętrzne, takie jak: </w:t>
      </w:r>
    </w:p>
    <w:p w14:paraId="6F6ECCBD" w14:textId="77777777" w:rsidR="00372BC8" w:rsidRDefault="00372BC8" w:rsidP="00DF64C7">
      <w:pPr>
        <w:jc w:val="left"/>
      </w:pPr>
      <w:r>
        <w:t xml:space="preserve">Czynniki ułatwiające zachowanie trwałości: </w:t>
      </w:r>
    </w:p>
    <w:p w14:paraId="08B1728A" w14:textId="77777777" w:rsidR="00372BC8" w:rsidRPr="007B5F7E" w:rsidRDefault="00372BC8" w:rsidP="00DF64C7">
      <w:pPr>
        <w:pStyle w:val="Akapitzlist"/>
        <w:numPr>
          <w:ilvl w:val="0"/>
          <w:numId w:val="35"/>
        </w:numPr>
        <w:jc w:val="left"/>
      </w:pPr>
      <w:r w:rsidRPr="007B5F7E">
        <w:t>procesy demograficzne, zwiększające zapotrzebowanie na miejsca przedszkolne;</w:t>
      </w:r>
    </w:p>
    <w:p w14:paraId="1A83BF9F" w14:textId="77777777" w:rsidR="00372BC8" w:rsidRDefault="00372BC8" w:rsidP="00DF64C7">
      <w:pPr>
        <w:pStyle w:val="Akapitzlist"/>
        <w:numPr>
          <w:ilvl w:val="0"/>
          <w:numId w:val="35"/>
        </w:numPr>
        <w:jc w:val="left"/>
      </w:pPr>
      <w:r w:rsidRPr="007B5F7E">
        <w:t>polityka socjalna i społeczna państwa;</w:t>
      </w:r>
    </w:p>
    <w:p w14:paraId="4B5B0609" w14:textId="77777777" w:rsidR="00372BC8" w:rsidRPr="007B5F7E" w:rsidRDefault="00372BC8" w:rsidP="00DF64C7">
      <w:pPr>
        <w:pStyle w:val="Akapitzlist"/>
        <w:numPr>
          <w:ilvl w:val="0"/>
          <w:numId w:val="35"/>
        </w:numPr>
        <w:jc w:val="left"/>
      </w:pPr>
      <w:r w:rsidRPr="007B5F7E">
        <w:t>koniunktura gospodarcza;</w:t>
      </w:r>
    </w:p>
    <w:p w14:paraId="7E0367D9" w14:textId="77777777" w:rsidR="00372BC8" w:rsidRPr="007B5F7E" w:rsidRDefault="00372BC8" w:rsidP="00DF64C7">
      <w:pPr>
        <w:pStyle w:val="Akapitzlist"/>
        <w:numPr>
          <w:ilvl w:val="0"/>
          <w:numId w:val="35"/>
        </w:numPr>
        <w:jc w:val="left"/>
      </w:pPr>
      <w:r w:rsidRPr="007B5F7E">
        <w:t>zmiany na rynku pracy.</w:t>
      </w:r>
    </w:p>
    <w:p w14:paraId="63B3F534" w14:textId="77777777" w:rsidR="00372BC8" w:rsidRDefault="00372BC8" w:rsidP="00DF64C7">
      <w:pPr>
        <w:jc w:val="left"/>
      </w:pPr>
    </w:p>
    <w:p w14:paraId="09D2B206" w14:textId="77777777" w:rsidR="00372BC8" w:rsidRDefault="00372BC8" w:rsidP="00DF64C7">
      <w:pPr>
        <w:jc w:val="left"/>
      </w:pPr>
      <w:r>
        <w:t>Czynniki utrudniające zachowanie trwałości:</w:t>
      </w:r>
    </w:p>
    <w:p w14:paraId="73043365" w14:textId="77777777" w:rsidR="001B2A0E" w:rsidRPr="007B5F7E" w:rsidRDefault="001B2A0E" w:rsidP="00DF64C7">
      <w:pPr>
        <w:pStyle w:val="Akapitzlist"/>
        <w:numPr>
          <w:ilvl w:val="0"/>
          <w:numId w:val="35"/>
        </w:numPr>
        <w:jc w:val="left"/>
      </w:pPr>
      <w:r w:rsidRPr="007B5F7E">
        <w:t>wzrost cen dóbr w Polsce, które generują zawyżenie kosztów utrzymania efektów projektu;</w:t>
      </w:r>
    </w:p>
    <w:p w14:paraId="033491C5" w14:textId="77777777" w:rsidR="001B2A0E" w:rsidRPr="007B5F7E" w:rsidRDefault="001B2A0E" w:rsidP="00DF64C7">
      <w:pPr>
        <w:pStyle w:val="Akapitzlist"/>
        <w:numPr>
          <w:ilvl w:val="0"/>
          <w:numId w:val="35"/>
        </w:numPr>
        <w:jc w:val="left"/>
      </w:pPr>
      <w:r w:rsidRPr="007B5F7E">
        <w:t>zmiany w szkolnictwie (np. zmiany programowe, kwestie związane z zatrudnieniem nauczycieli, likwidacja kształcenia na poziomie gimnazjalnym itp.);</w:t>
      </w:r>
    </w:p>
    <w:p w14:paraId="12C8F196" w14:textId="77777777" w:rsidR="001B2A0E" w:rsidRPr="007B5F7E" w:rsidRDefault="001B2A0E" w:rsidP="00DF64C7">
      <w:pPr>
        <w:pStyle w:val="Akapitzlist"/>
        <w:numPr>
          <w:ilvl w:val="0"/>
          <w:numId w:val="35"/>
        </w:numPr>
        <w:jc w:val="left"/>
      </w:pPr>
      <w:r w:rsidRPr="007B5F7E">
        <w:t>przepisy prawa</w:t>
      </w:r>
      <w:r w:rsidR="00372BC8">
        <w:t>.</w:t>
      </w:r>
    </w:p>
    <w:p w14:paraId="41E8B1C1" w14:textId="77777777" w:rsidR="001B2A0E" w:rsidRDefault="001B2A0E" w:rsidP="00DF64C7">
      <w:pPr>
        <w:jc w:val="left"/>
      </w:pPr>
    </w:p>
    <w:p w14:paraId="16F814AE" w14:textId="77777777" w:rsidR="00773113" w:rsidRDefault="00773113" w:rsidP="00DF64C7">
      <w:pPr>
        <w:jc w:val="left"/>
      </w:pPr>
      <w:r>
        <w:t xml:space="preserve">Eksperci zgromadzeni na panelu wskazali, że na trwałość efektów wsparcia wpływ ma także </w:t>
      </w:r>
      <w:r w:rsidRPr="0012062E">
        <w:t xml:space="preserve">prawidłowe oszacowanie rzeczywistych potrzeb, możliwości pozyskania </w:t>
      </w:r>
      <w:r w:rsidR="008A5E43">
        <w:t>uczestników</w:t>
      </w:r>
      <w:r w:rsidRPr="0012062E">
        <w:t>, którzy zostaną w projekcie do końca oraz pozyskanie takich osób do zespołu projektowego, które są w stanie pracować zespołowo i rozumieją potrzebę poświęcenia czasami więcej czasu i wzmożonego wysiłku, aby osiągnąć sukces.</w:t>
      </w:r>
      <w:r>
        <w:t xml:space="preserve"> Konieczne jest także realne oszacowanie zasobów instytucjonalnych, wskaźników i ryzyka nieosiągnięcia zamierzonych rezultatów oraz zabezpieczenie odpowiednich środków finansowych na kontynuację działań po zakończeniu realizacji projektów w ramach Programu.</w:t>
      </w:r>
    </w:p>
    <w:p w14:paraId="463E0957" w14:textId="77777777" w:rsidR="00222F22" w:rsidRDefault="00222F22" w:rsidP="00DF64C7">
      <w:pPr>
        <w:jc w:val="left"/>
      </w:pPr>
      <w:r>
        <w:t>Finansowanie i zasoby instytucji są elementami decydującymi o kosztach eksploatacji rezultatów po zakończeniu projektu. Brak środków własnych może bowiem uniemożliwić kontynuowanie działań rozpoczętych w projekcie lub zmusić instytucję do zmniejszenia intensyfikacji podjętych działań. Jednym ze sposobów finansowania i podtrzymywania pożądanej trwałości jest poszukiwanie nowych źródeł finansowania rezultatów – dodatkowych środków zewnętrznych lub środków z realizacji kolejnych projektów. Wiele instytucji pokrywa koszty związane z wykorzystywaniem rezultatów projektów po zakończeniu okresu finansowania ze środków własnych. Zastosowanie takiego rozwiązania wymaga jednak znacznego zaangażowania finansowego ze strony beneficjentów</w:t>
      </w:r>
      <w:r w:rsidR="0051099C">
        <w:rPr>
          <w:rStyle w:val="Odwoanieprzypisudolnego"/>
        </w:rPr>
        <w:footnoteReference w:id="79"/>
      </w:r>
      <w:r>
        <w:t>.</w:t>
      </w:r>
      <w:r w:rsidR="0072327A">
        <w:t xml:space="preserve"> W tym kontekście należy zwrócić uwagę na opinie beneficjentów wsparcia w ramach </w:t>
      </w:r>
      <w:r w:rsidR="00D34BC4">
        <w:t xml:space="preserve">OP </w:t>
      </w:r>
      <w:r w:rsidR="0072327A">
        <w:t xml:space="preserve">XI i XII, którzy poproszeni o ocenę wysokości kosztów, których podjęcie było niezbędne do zachowania trwałości projektu, najczęściej określali je jako wysokie lub zdecydowanie wysokie. </w:t>
      </w:r>
      <w:r w:rsidR="00D34BC4">
        <w:t>Z</w:t>
      </w:r>
      <w:r w:rsidR="0072327A">
        <w:t>aledwie co dziesiąty beneficjent określił przedmiotowe koszty jako niewysokie. Powyższa struktura odpowiedzi świadczy o konieczności poniesienia przez beneficjentów relatywnie wysokich kosztów umożliwiających zachowanie odpowiedniego poziomu trwałości</w:t>
      </w:r>
      <w:r w:rsidR="00796502">
        <w:t>, które najczęściej pokrywane ze środków wł</w:t>
      </w:r>
      <w:r w:rsidR="00BE18EA">
        <w:t>asnych realizatorów projektów w </w:t>
      </w:r>
      <w:r w:rsidR="00796502">
        <w:t xml:space="preserve">ramach </w:t>
      </w:r>
      <w:r w:rsidR="00D34BC4">
        <w:t xml:space="preserve">OP </w:t>
      </w:r>
      <w:r w:rsidR="00796502">
        <w:t>XI oraz XII.</w:t>
      </w:r>
    </w:p>
    <w:p w14:paraId="54F915F0" w14:textId="05FE880D" w:rsidR="00643AE0" w:rsidRDefault="00D22B94" w:rsidP="00DF64C7">
      <w:pPr>
        <w:pStyle w:val="Legenda"/>
        <w:spacing w:line="271" w:lineRule="auto"/>
        <w:jc w:val="left"/>
      </w:pPr>
      <w:bookmarkStart w:id="66" w:name="_Toc33459800"/>
      <w:r>
        <w:t xml:space="preserve">Wykres </w:t>
      </w:r>
      <w:r w:rsidR="000C2F92">
        <w:rPr>
          <w:noProof/>
        </w:rPr>
        <w:fldChar w:fldCharType="begin"/>
      </w:r>
      <w:r w:rsidR="000C2F92">
        <w:rPr>
          <w:noProof/>
        </w:rPr>
        <w:instrText xml:space="preserve"> SEQ Wykres \* ARABIC </w:instrText>
      </w:r>
      <w:r w:rsidR="000C2F92">
        <w:rPr>
          <w:noProof/>
        </w:rPr>
        <w:fldChar w:fldCharType="separate"/>
      </w:r>
      <w:r w:rsidR="00A8147E">
        <w:rPr>
          <w:noProof/>
        </w:rPr>
        <w:t>19</w:t>
      </w:r>
      <w:r w:rsidR="000C2F92">
        <w:rPr>
          <w:noProof/>
        </w:rPr>
        <w:fldChar w:fldCharType="end"/>
      </w:r>
      <w:r>
        <w:t xml:space="preserve">. </w:t>
      </w:r>
      <w:r w:rsidR="00643AE0" w:rsidRPr="00095C11">
        <w:t>Jak oceniają Państwo wysokość kosztów, których podjęcie było niezbędne dla zachowania trwałości projektu?</w:t>
      </w:r>
      <w:bookmarkEnd w:id="66"/>
    </w:p>
    <w:p w14:paraId="72CB6F07" w14:textId="77777777" w:rsidR="00643AE0" w:rsidRDefault="00D34BC4" w:rsidP="00DF64C7">
      <w:pPr>
        <w:jc w:val="left"/>
      </w:pPr>
      <w:r>
        <w:rPr>
          <w:noProof/>
          <w:lang w:eastAsia="pl-PL"/>
        </w:rPr>
        <w:drawing>
          <wp:inline distT="0" distB="0" distL="0" distR="0" wp14:anchorId="66A57E84" wp14:editId="75F38D07">
            <wp:extent cx="5753100" cy="1485900"/>
            <wp:effectExtent l="0" t="0" r="19050" b="19050"/>
            <wp:docPr id="45" name="Wykres 45" descr="Wykres przedstawia procentowy rozkład odpowiedzi beneficjentów na pytanie: &quot;Jak oceniają Państwo wysokość kosztów, których podjęcie było niezbędne dla zachowania trwałości projektu?&quot;. Wartości przedstwione zostały na wykresie kolumnowym: zdecydowanie wysokie (4,9%), wysokie (40,9%), przeciętne (44,8%), raczej niewysokie (6,9%), zdecydowanie niewysokie (2,6%)." title="Jak oceniają Państwo wysokość kosztów, których podjęcie było niezbędne dla zachowania trwałości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6F4D64" w14:textId="77777777" w:rsidR="001B2B41" w:rsidRPr="00F00A2B" w:rsidRDefault="00E73C33" w:rsidP="00DF64C7">
      <w:pPr>
        <w:pStyle w:val="podpisrdailustracji"/>
        <w:spacing w:line="271" w:lineRule="auto"/>
        <w:jc w:val="left"/>
      </w:pPr>
      <w:r>
        <w:t>Źródło: opracowanie własne na podstawie badania CAWI/CATI z beneficjentami, n=467.</w:t>
      </w:r>
    </w:p>
    <w:p w14:paraId="25F8B3E5" w14:textId="77777777" w:rsidR="00773113" w:rsidRDefault="00773113" w:rsidP="00DF64C7">
      <w:pPr>
        <w:jc w:val="left"/>
        <w:rPr>
          <w:rFonts w:eastAsiaTheme="minorHAnsi" w:cs="Arial"/>
        </w:rPr>
      </w:pPr>
      <w:r>
        <w:t xml:space="preserve">W celu podniesienia trwałości projektów konieczne jest wdrożenie działań wspomnianych przy okazji wskazywania czynników, które przyczyniają się do realizacji założonych celów, m.in. zwiększenie wiedzy na temat procesu projektowania i realizacji projektu, </w:t>
      </w:r>
      <w:r w:rsidRPr="0012062E">
        <w:t>wzrost umiejętności stosowania instrumentów</w:t>
      </w:r>
      <w:r w:rsidRPr="005C79AD">
        <w:t xml:space="preserve"> </w:t>
      </w:r>
      <w:r w:rsidRPr="0012062E">
        <w:t>diagnozowania ryzyka i identyfikacji wynikających z niego zagrożeń,  zwiększenie umiejętności diagnozowania lokalnych potrzeb i projektowania innowacyjnych sposobów ich zaspokajania.</w:t>
      </w:r>
      <w:r>
        <w:t xml:space="preserve"> </w:t>
      </w:r>
      <w:r>
        <w:rPr>
          <w:rFonts w:eastAsiaTheme="minorHAnsi" w:cs="Arial"/>
        </w:rPr>
        <w:t>Biorąc pod uwagę, że realizacja jednego projektu zazwyczaj nie gwarantuje zaspokojenia wszystkich potrzeb, czy wyczerpania danego zagadnienia, t</w:t>
      </w:r>
      <w:r w:rsidRPr="006B7354">
        <w:rPr>
          <w:rFonts w:eastAsiaTheme="minorHAnsi" w:cs="Arial"/>
        </w:rPr>
        <w:t>rwałość rezultatów oznacza</w:t>
      </w:r>
      <w:r>
        <w:rPr>
          <w:rFonts w:eastAsiaTheme="minorHAnsi" w:cs="Arial"/>
        </w:rPr>
        <w:t>ć może</w:t>
      </w:r>
      <w:r w:rsidRPr="006B7354">
        <w:rPr>
          <w:rFonts w:eastAsiaTheme="minorHAnsi" w:cs="Arial"/>
        </w:rPr>
        <w:t xml:space="preserve"> również prowadzenie kolejnych projektów – w ramach </w:t>
      </w:r>
      <w:r>
        <w:rPr>
          <w:rFonts w:eastAsiaTheme="minorHAnsi" w:cs="Arial"/>
        </w:rPr>
        <w:t>innych programów edukacyjnych, czy</w:t>
      </w:r>
      <w:r w:rsidRPr="006B7354">
        <w:rPr>
          <w:rFonts w:eastAsiaTheme="minorHAnsi" w:cs="Arial"/>
        </w:rPr>
        <w:t xml:space="preserve"> inicjatyw</w:t>
      </w:r>
      <w:r>
        <w:rPr>
          <w:rFonts w:eastAsiaTheme="minorHAnsi" w:cs="Arial"/>
        </w:rPr>
        <w:t>. Realizacja niezależnych</w:t>
      </w:r>
      <w:r>
        <w:rPr>
          <w:rFonts w:cs="Arial"/>
        </w:rPr>
        <w:t xml:space="preserve"> </w:t>
      </w:r>
      <w:r w:rsidRPr="00825B65">
        <w:rPr>
          <w:rFonts w:eastAsiaTheme="minorHAnsi" w:cs="Arial"/>
        </w:rPr>
        <w:t>od sie</w:t>
      </w:r>
      <w:r>
        <w:rPr>
          <w:rFonts w:eastAsiaTheme="minorHAnsi" w:cs="Arial"/>
        </w:rPr>
        <w:t>bie przedsięwzięć, ale powiązanych</w:t>
      </w:r>
      <w:r w:rsidRPr="00825B65">
        <w:rPr>
          <w:rFonts w:eastAsiaTheme="minorHAnsi" w:cs="Arial"/>
        </w:rPr>
        <w:t xml:space="preserve"> ze sobą, </w:t>
      </w:r>
      <w:r>
        <w:rPr>
          <w:rFonts w:eastAsiaTheme="minorHAnsi" w:cs="Arial"/>
        </w:rPr>
        <w:t>może również pozytywnie wpływać na</w:t>
      </w:r>
      <w:r w:rsidRPr="00825B65">
        <w:rPr>
          <w:rFonts w:eastAsiaTheme="minorHAnsi" w:cs="Arial"/>
        </w:rPr>
        <w:t xml:space="preserve"> trwałość rezultatów.</w:t>
      </w:r>
    </w:p>
    <w:p w14:paraId="511A255E" w14:textId="77777777" w:rsidR="000C3BE9" w:rsidRPr="007B5F7E" w:rsidRDefault="000C3BE9" w:rsidP="00DF64C7">
      <w:pPr>
        <w:jc w:val="left"/>
      </w:pPr>
    </w:p>
    <w:p w14:paraId="73186FEF" w14:textId="77777777" w:rsidR="00EA2E51" w:rsidRPr="00773113" w:rsidRDefault="00EA2E51" w:rsidP="00DF64C7">
      <w:pPr>
        <w:jc w:val="left"/>
        <w:rPr>
          <w:b/>
          <w:bCs/>
          <w:color w:val="E36C0A" w:themeColor="accent6" w:themeShade="BF"/>
          <w:u w:val="single" w:color="984806" w:themeColor="accent6" w:themeShade="80"/>
        </w:rPr>
      </w:pPr>
      <w:r w:rsidRPr="00EA2E51">
        <w:rPr>
          <w:rStyle w:val="Odwoanieintensywne"/>
        </w:rPr>
        <w:t>Podsumowanie</w:t>
      </w:r>
    </w:p>
    <w:p w14:paraId="0B8B11D3" w14:textId="35779E90" w:rsidR="00EA2E51" w:rsidRDefault="00591415" w:rsidP="00DF64C7">
      <w:pPr>
        <w:jc w:val="left"/>
      </w:pPr>
      <w:r>
        <w:t>O</w:t>
      </w:r>
      <w:r w:rsidRPr="000A1906">
        <w:t xml:space="preserve"> wysokim poziomie trwałości projektów dotyczących wzmocnienia potencjału edukacyjnego oraz infrastruktury edukacyjnej</w:t>
      </w:r>
      <w:r>
        <w:t xml:space="preserve"> świadczą wyniki zrealizowanych badań. Niemal 92% beneficjentów wsparcia wyraziło przekonanie, że efekty realizowanego projektu utrzymają się w </w:t>
      </w:r>
      <w:r w:rsidR="0046049C">
        <w:t xml:space="preserve">dłuższej </w:t>
      </w:r>
      <w:r>
        <w:t xml:space="preserve">perspektywie czasu, przy czym większość odpowiedzi dotyczyła okresu trzech lat i dłużej. Zdaniem przedstawicieli IZ oraz IP efekty projektów mają szansę </w:t>
      </w:r>
      <w:r w:rsidR="00F85B08">
        <w:t>utrzymać się w okresie dłuższym</w:t>
      </w:r>
      <w:r>
        <w:t xml:space="preserve"> niż 5 lat. W przypadku rodzaju interwencji cechującej się największą trwałością uwagę zwrócono na działania realizowane w ramach OP XII z uwagi na infrastrukturalny charakter realizowanych w ramach tej </w:t>
      </w:r>
      <w:r w:rsidR="00F85B08">
        <w:t>O</w:t>
      </w:r>
      <w:r>
        <w:t xml:space="preserve">si projektów. Wśród czynników wpływających na utrzymanie trwałości efektów projektów wskazać należy przede wszystkim analizę potrzeb, wsparcie instytucjonalne, </w:t>
      </w:r>
      <w:r w:rsidRPr="009A5C3A">
        <w:t>planowanie i monitorowanie trwałości rezultatów</w:t>
      </w:r>
      <w:r>
        <w:t xml:space="preserve">, </w:t>
      </w:r>
      <w:r w:rsidRPr="009A5C3A">
        <w:t>duże zapotrzebowanie na miejsca przedszkolne</w:t>
      </w:r>
      <w:r>
        <w:t xml:space="preserve">, zakup sprzętu wysokiej jakości, </w:t>
      </w:r>
      <w:r w:rsidRPr="009A5C3A">
        <w:t>wzrost kompetencji nauczycieli połączo</w:t>
      </w:r>
      <w:r>
        <w:t>ny z małą rotacją pracowników w placówkach.</w:t>
      </w:r>
    </w:p>
    <w:p w14:paraId="713771A3" w14:textId="77777777" w:rsidR="00EA2E51" w:rsidRDefault="00EA2E51" w:rsidP="00DF64C7">
      <w:pPr>
        <w:jc w:val="left"/>
      </w:pPr>
    </w:p>
    <w:p w14:paraId="770F7DF0" w14:textId="77777777" w:rsidR="00A464CB" w:rsidRDefault="00A464CB" w:rsidP="00DF64C7">
      <w:pPr>
        <w:pStyle w:val="Nagwek3"/>
        <w:spacing w:line="271" w:lineRule="auto"/>
        <w:ind w:left="426"/>
        <w:jc w:val="left"/>
        <w:rPr>
          <w:rFonts w:eastAsia="Arial"/>
        </w:rPr>
      </w:pPr>
      <w:bookmarkStart w:id="67" w:name="_Toc24466792"/>
      <w:bookmarkStart w:id="68" w:name="_Toc25664299"/>
      <w:bookmarkStart w:id="69" w:name="_Toc26526280"/>
      <w:bookmarkStart w:id="70" w:name="_Toc38035012"/>
      <w:r w:rsidRPr="00610089">
        <w:rPr>
          <w:rFonts w:eastAsia="Arial"/>
        </w:rPr>
        <w:t>Czy</w:t>
      </w:r>
      <w:r>
        <w:rPr>
          <w:rFonts w:eastAsia="Arial"/>
        </w:rPr>
        <w:t xml:space="preserve"> w </w:t>
      </w:r>
      <w:r w:rsidRPr="00610089">
        <w:rPr>
          <w:rFonts w:eastAsia="Arial"/>
        </w:rPr>
        <w:t>wyniku realizacji projektów ujawniły się niezamierzone efekty (negatywne/ pozytywne) – np. deadweight, au</w:t>
      </w:r>
      <w:r>
        <w:rPr>
          <w:rFonts w:eastAsia="Arial"/>
        </w:rPr>
        <w:t>t</w:t>
      </w:r>
      <w:r w:rsidRPr="00610089">
        <w:rPr>
          <w:rFonts w:eastAsia="Arial"/>
        </w:rPr>
        <w:t>oselekcji, creamingu, souringu? Jak można przeciwdziałać zidentyfikowanym efektom negatywnym,</w:t>
      </w:r>
      <w:r>
        <w:rPr>
          <w:rFonts w:eastAsia="Arial"/>
        </w:rPr>
        <w:t xml:space="preserve"> a </w:t>
      </w:r>
      <w:r w:rsidRPr="00610089">
        <w:rPr>
          <w:rFonts w:eastAsia="Arial"/>
        </w:rPr>
        <w:t>wzmacniać efekty pozytywne</w:t>
      </w:r>
      <w:r>
        <w:rPr>
          <w:rFonts w:eastAsia="Arial"/>
        </w:rPr>
        <w:t xml:space="preserve"> w </w:t>
      </w:r>
      <w:r w:rsidRPr="00610089">
        <w:rPr>
          <w:rFonts w:eastAsia="Arial"/>
        </w:rPr>
        <w:t>ramach RPO WSL?</w:t>
      </w:r>
      <w:bookmarkEnd w:id="67"/>
      <w:bookmarkEnd w:id="68"/>
      <w:bookmarkEnd w:id="69"/>
      <w:bookmarkEnd w:id="70"/>
    </w:p>
    <w:p w14:paraId="285F469E" w14:textId="08E072A8" w:rsidR="007D4F90" w:rsidRDefault="007D4F90" w:rsidP="00DF64C7">
      <w:pPr>
        <w:jc w:val="left"/>
      </w:pPr>
      <w:r>
        <w:t>Istotną kwestią</w:t>
      </w:r>
      <w:r w:rsidR="00DC26C0">
        <w:t xml:space="preserve"> </w:t>
      </w:r>
      <w:r w:rsidR="00B140A9">
        <w:t>ewaluacji</w:t>
      </w:r>
      <w:r w:rsidR="00152065">
        <w:t xml:space="preserve"> jest analiza niezamierzonych efektów </w:t>
      </w:r>
      <w:r w:rsidR="00B140A9">
        <w:t>realizowanych i zrealizowanych</w:t>
      </w:r>
      <w:r w:rsidR="00152065">
        <w:t xml:space="preserve"> projektów</w:t>
      </w:r>
      <w:r w:rsidR="00F85B08">
        <w:t>, które dzięki wsparciu w ramach RPO WSL na lata 2014-2020 przyczyniły się do osiągnięcia celów OP XI Wzmocnienie potencjału edukacyjnego oraz OP XII Infrastruktura edukacyjna</w:t>
      </w:r>
      <w:r w:rsidR="00152065">
        <w:t xml:space="preserve">. </w:t>
      </w:r>
      <w:r>
        <w:t>W pierwszej kolejności o ni</w:t>
      </w:r>
      <w:r w:rsidR="00B140A9">
        <w:t>ezamierzone efekty, negatywne i pozytywne,</w:t>
      </w:r>
      <w:r>
        <w:t xml:space="preserve"> zapytani</w:t>
      </w:r>
      <w:r w:rsidR="00B140A9">
        <w:t xml:space="preserve"> zostali</w:t>
      </w:r>
      <w:r>
        <w:t xml:space="preserve"> beneficjenci wsparcia.</w:t>
      </w:r>
    </w:p>
    <w:p w14:paraId="6A24DA90" w14:textId="77777777" w:rsidR="00796502" w:rsidRDefault="00735216" w:rsidP="00DF64C7">
      <w:pPr>
        <w:jc w:val="left"/>
      </w:pPr>
      <w:r>
        <w:t xml:space="preserve">Ponad połowa </w:t>
      </w:r>
      <w:r w:rsidR="007D4F90">
        <w:t>respondentów</w:t>
      </w:r>
      <w:r>
        <w:t xml:space="preserve"> (54%) nie zidentyfikował</w:t>
      </w:r>
      <w:r w:rsidR="001813B1">
        <w:t>a</w:t>
      </w:r>
      <w:r>
        <w:t xml:space="preserve"> w ramach realizowanych projektów żadnych niezamierzonych we wnioskach o dofinansowanie efektów, a 39% respondentów nie potrafiło wskazać jednoznacznej odpowiedzi. Z kolei 6% badanych wskazało na wystąpienie pozytywnych, niezamierzonych efektów, a 1% - na efekty negatywne. Odpowiedzi beneficjentów świadczą przede wszystkim o efektywnym identyfikowaniu wszystkich możliwych </w:t>
      </w:r>
      <w:r w:rsidR="00B140A9">
        <w:t>rezultatów</w:t>
      </w:r>
      <w:r>
        <w:t xml:space="preserve"> realizacji projektów na etapie wnioskowania o wsparcie oraz </w:t>
      </w:r>
      <w:r w:rsidR="00990DF9">
        <w:t>przeprowadzeniu prawidłowej analizy odziaływania projektów na odbiorców wsparcia.</w:t>
      </w:r>
      <w:r w:rsidR="00F57BB0">
        <w:t xml:space="preserve"> Podobne odpowiedzi wskazane zostały podczas wywiadów indywidualnych.</w:t>
      </w:r>
    </w:p>
    <w:p w14:paraId="22E1A4E0" w14:textId="77777777" w:rsidR="007D4F90" w:rsidRDefault="00735216" w:rsidP="00DF64C7">
      <w:pPr>
        <w:jc w:val="left"/>
      </w:pPr>
      <w:r w:rsidRPr="007D4F90">
        <w:t>Do</w:t>
      </w:r>
      <w:r w:rsidR="00B140A9">
        <w:t xml:space="preserve"> wskazywanych przez beneficjentów pozytywnych</w:t>
      </w:r>
      <w:r w:rsidRPr="007D4F90">
        <w:t xml:space="preserve"> efektów zaliczyć można:</w:t>
      </w:r>
      <w:r w:rsidR="00DC26C0">
        <w:t xml:space="preserve"> </w:t>
      </w:r>
    </w:p>
    <w:p w14:paraId="457EE1B1" w14:textId="77777777" w:rsidR="007D4F90" w:rsidRDefault="00F91E40" w:rsidP="00DF64C7">
      <w:pPr>
        <w:pStyle w:val="Akapitzlist"/>
        <w:numPr>
          <w:ilvl w:val="0"/>
          <w:numId w:val="36"/>
        </w:numPr>
        <w:jc w:val="left"/>
      </w:pPr>
      <w:r>
        <w:t>b</w:t>
      </w:r>
      <w:r w:rsidR="00EF5D4A" w:rsidRPr="00EF5D4A">
        <w:t>udowanie</w:t>
      </w:r>
      <w:r w:rsidR="005019A2">
        <w:t xml:space="preserve"> w środowisku lokalnym</w:t>
      </w:r>
      <w:r w:rsidR="00EF5D4A" w:rsidRPr="00EF5D4A">
        <w:t xml:space="preserve"> pozytywnego wizerunku </w:t>
      </w:r>
      <w:r w:rsidR="00152065">
        <w:t>zarówno Unii Europejskiej, jak również jed</w:t>
      </w:r>
      <w:r w:rsidR="001813B1">
        <w:t>nostek samorządu terytorialnego;</w:t>
      </w:r>
    </w:p>
    <w:p w14:paraId="2FA5259C" w14:textId="77777777" w:rsidR="00152065" w:rsidRDefault="00152065" w:rsidP="00DF64C7">
      <w:pPr>
        <w:pStyle w:val="Akapitzlist"/>
        <w:numPr>
          <w:ilvl w:val="0"/>
          <w:numId w:val="36"/>
        </w:numPr>
        <w:jc w:val="left"/>
      </w:pPr>
      <w:r>
        <w:t>zwiększenie zainteresowania, wśród potencjalnych odbiorców wsparcia, projektami realizowanymi prz</w:t>
      </w:r>
      <w:r w:rsidR="001813B1">
        <w:t>y współudziale środków UE;</w:t>
      </w:r>
    </w:p>
    <w:p w14:paraId="6DA09122" w14:textId="77777777" w:rsidR="00152065" w:rsidRDefault="00152065" w:rsidP="00DF64C7">
      <w:pPr>
        <w:pStyle w:val="Akapitzlist"/>
        <w:numPr>
          <w:ilvl w:val="0"/>
          <w:numId w:val="36"/>
        </w:numPr>
        <w:jc w:val="left"/>
      </w:pPr>
      <w:r>
        <w:t>promocj</w:t>
      </w:r>
      <w:r w:rsidR="001813B1">
        <w:t>ę</w:t>
      </w:r>
      <w:r>
        <w:t xml:space="preserve"> oraz </w:t>
      </w:r>
      <w:r w:rsidR="000044D4">
        <w:t>budowanie pozytywne</w:t>
      </w:r>
      <w:r w:rsidR="00B6429B">
        <w:t>go</w:t>
      </w:r>
      <w:r w:rsidR="000044D4">
        <w:t xml:space="preserve"> wizerunku placówek w </w:t>
      </w:r>
      <w:r w:rsidR="001813B1">
        <w:t>środowisku lokalnym;</w:t>
      </w:r>
    </w:p>
    <w:p w14:paraId="43ECBFC9" w14:textId="77777777" w:rsidR="00F57BB0" w:rsidRDefault="000044D4" w:rsidP="00DF64C7">
      <w:pPr>
        <w:pStyle w:val="Akapitzlist"/>
        <w:numPr>
          <w:ilvl w:val="0"/>
          <w:numId w:val="36"/>
        </w:numPr>
        <w:jc w:val="left"/>
      </w:pPr>
      <w:r>
        <w:t>wzrost poziomu wiedzy wśród odbiorców wsparcia</w:t>
      </w:r>
      <w:r w:rsidR="00F57BB0">
        <w:t>;</w:t>
      </w:r>
    </w:p>
    <w:p w14:paraId="6C86545D" w14:textId="77777777" w:rsidR="00B6429B" w:rsidRPr="00B6429B" w:rsidRDefault="00EF5D4A" w:rsidP="00DF64C7">
      <w:pPr>
        <w:pStyle w:val="Akapitzlist"/>
        <w:numPr>
          <w:ilvl w:val="0"/>
          <w:numId w:val="36"/>
        </w:numPr>
        <w:jc w:val="left"/>
      </w:pPr>
      <w:r w:rsidRPr="00EF5D4A">
        <w:t xml:space="preserve">rozwój współpracy </w:t>
      </w:r>
      <w:r w:rsidR="00B6429B">
        <w:t>z rodzicami uczniów, którzy wzięli udział w projektach</w:t>
      </w:r>
      <w:r w:rsidR="005019A2">
        <w:t xml:space="preserve"> (większe zaangażowanie rodziców w sprawy szkolne)</w:t>
      </w:r>
      <w:r w:rsidR="00B6429B">
        <w:rPr>
          <w:color w:val="000000" w:themeColor="text1"/>
        </w:rPr>
        <w:t>.</w:t>
      </w:r>
    </w:p>
    <w:p w14:paraId="785F6586" w14:textId="77777777" w:rsidR="00F57BB0" w:rsidRDefault="00B6429B" w:rsidP="00DF64C7">
      <w:pPr>
        <w:jc w:val="left"/>
      </w:pPr>
      <w:r>
        <w:t>W celu wzmacniania pozytywnych efektów projektów beneficjenci podejmowali takie działania jak: promocja projektu w mediach, w środowisku lokalnym, wśród rodziców uczniów, realizacja projektów komplementarnych czy przekazanie uczestnikom certyfikatów na zakończenie udziału w projekcie, jako podkreślen</w:t>
      </w:r>
      <w:r w:rsidR="00BE18EA">
        <w:t>ia znaczenia ich uczestnictwa w </w:t>
      </w:r>
      <w:r>
        <w:t>inwestycji.</w:t>
      </w:r>
      <w:r w:rsidR="00F57BB0">
        <w:t xml:space="preserve"> </w:t>
      </w:r>
    </w:p>
    <w:p w14:paraId="7EC6BBB0" w14:textId="77777777" w:rsidR="00990DF9" w:rsidRDefault="00B6429B" w:rsidP="00DF64C7">
      <w:pPr>
        <w:jc w:val="left"/>
      </w:pPr>
      <w:r>
        <w:t>W</w:t>
      </w:r>
      <w:r w:rsidR="00990DF9" w:rsidRPr="000044D4">
        <w:t>śród negatywnych efek</w:t>
      </w:r>
      <w:r w:rsidR="000044D4">
        <w:t>tów beneficjenci wyszczególni</w:t>
      </w:r>
      <w:r w:rsidR="00BE18EA">
        <w:t xml:space="preserve">li wyłącznie kwestie związane </w:t>
      </w:r>
      <w:r w:rsidR="00EF5D4A" w:rsidRPr="00EF5D4A">
        <w:t xml:space="preserve">z niedoszacowaniem </w:t>
      </w:r>
      <w:r w:rsidR="005019A2">
        <w:t xml:space="preserve">przez nich </w:t>
      </w:r>
      <w:r w:rsidR="00EF5D4A" w:rsidRPr="00EF5D4A">
        <w:t>budżetu</w:t>
      </w:r>
      <w:r w:rsidR="005019A2">
        <w:t xml:space="preserve"> (na etapie sporządzania dokumentacji aplikacyjnej)</w:t>
      </w:r>
      <w:r w:rsidR="000044D4">
        <w:t>.</w:t>
      </w:r>
      <w:r w:rsidR="00B11986">
        <w:t xml:space="preserve"> Należy zwrócić uwagę, że fakt niedoszacowania budżetów przez beneficjentów nie stanowi faktycznego negatywnego zjawiska, lecz może być przyczyną ich wystąpienia (np. braku </w:t>
      </w:r>
      <w:r w:rsidR="00F91E40">
        <w:t>wystarczających</w:t>
      </w:r>
      <w:r w:rsidR="00B11986">
        <w:t xml:space="preserve"> środków na całość zaplanowanych działań).</w:t>
      </w:r>
    </w:p>
    <w:p w14:paraId="291B5270" w14:textId="2D9AE0ED" w:rsidR="001364C7" w:rsidRDefault="001364C7" w:rsidP="00DF64C7">
      <w:pPr>
        <w:pStyle w:val="Legenda"/>
        <w:spacing w:line="271" w:lineRule="auto"/>
        <w:jc w:val="left"/>
      </w:pPr>
      <w:bookmarkStart w:id="71" w:name="_Toc33459801"/>
      <w:r>
        <w:t xml:space="preserve">Wykres </w:t>
      </w:r>
      <w:r w:rsidR="007C04CD">
        <w:rPr>
          <w:noProof/>
        </w:rPr>
        <w:fldChar w:fldCharType="begin"/>
      </w:r>
      <w:r w:rsidR="007C04CD">
        <w:rPr>
          <w:noProof/>
        </w:rPr>
        <w:instrText xml:space="preserve"> SEQ Wykres \* ARABIC </w:instrText>
      </w:r>
      <w:r w:rsidR="007C04CD">
        <w:rPr>
          <w:noProof/>
        </w:rPr>
        <w:fldChar w:fldCharType="separate"/>
      </w:r>
      <w:r w:rsidR="00A8147E">
        <w:rPr>
          <w:noProof/>
        </w:rPr>
        <w:t>20</w:t>
      </w:r>
      <w:r w:rsidR="007C04CD">
        <w:rPr>
          <w:noProof/>
        </w:rPr>
        <w:fldChar w:fldCharType="end"/>
      </w:r>
      <w:r w:rsidR="00BE18EA">
        <w:rPr>
          <w:noProof/>
        </w:rPr>
        <w:t>.</w:t>
      </w:r>
      <w:r>
        <w:t xml:space="preserve"> </w:t>
      </w:r>
      <w:r w:rsidRPr="00622292">
        <w:t>Czy w ramach realizowanego przez Państwa projektu wystąpiły jakieś niezamierzone we wnioskach o dofinansowanie efekty?</w:t>
      </w:r>
      <w:bookmarkEnd w:id="71"/>
    </w:p>
    <w:p w14:paraId="18366423" w14:textId="77777777" w:rsidR="001364C7" w:rsidRDefault="001813B1" w:rsidP="00DF64C7">
      <w:pPr>
        <w:jc w:val="left"/>
      </w:pPr>
      <w:r>
        <w:rPr>
          <w:noProof/>
          <w:lang w:eastAsia="pl-PL"/>
        </w:rPr>
        <w:drawing>
          <wp:inline distT="0" distB="0" distL="0" distR="0" wp14:anchorId="1B764825" wp14:editId="23BA7DFF">
            <wp:extent cx="5676900" cy="1304925"/>
            <wp:effectExtent l="0" t="0" r="19050" b="9525"/>
            <wp:docPr id="46" name="Wykres 46" descr="Wykres przedstawia procentowy rozkład odpowiedzi beneficjentów na pytanie: &quot;Czy w ramach realizowanego przez Państwa projektu wystąpiły jakieś niezamierzone we wnioskach o dofinansowanie efekty?&quot;. Rozkład odpowiedzi beneficjentów przedstwiony zostal na wykresie kolumnowym: tak, pozytywnie (6,0%), tak, negatywnie (1,0%), nie (54,0%), trudno powiedzieć (39,0%)." title="Czy w ramach realizowanego przez Państwa projektu wystąpiły jakieś niezamierzone we wnioskach o dofinansowanie efek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AC5732" w14:textId="77777777" w:rsidR="00441730" w:rsidRDefault="00E73C33" w:rsidP="00DF64C7">
      <w:pPr>
        <w:pStyle w:val="podpisrdailustracji"/>
        <w:spacing w:line="271" w:lineRule="auto"/>
        <w:jc w:val="left"/>
      </w:pPr>
      <w:r>
        <w:t>Źródło: opracowanie własne na podstawie badania CAWI/CATI z beneficjentami, n=467.</w:t>
      </w:r>
    </w:p>
    <w:p w14:paraId="639A1A1D" w14:textId="77777777" w:rsidR="00441730" w:rsidRDefault="00B11986" w:rsidP="00DF64C7">
      <w:pPr>
        <w:jc w:val="left"/>
      </w:pPr>
      <w:r>
        <w:t xml:space="preserve">Zjawiskiem </w:t>
      </w:r>
      <w:r w:rsidR="00441730">
        <w:t xml:space="preserve">którego beneficjenci się nie spodziewali, był wzrost kosztów projektu, które, przynajmniej częściowo, musieli zaspokoić z własnych środków. Powodowało to </w:t>
      </w:r>
      <w:r>
        <w:t xml:space="preserve">negatywne efekty, tj. </w:t>
      </w:r>
      <w:r w:rsidR="00441730">
        <w:t>konieczność przesunięcia środków finansowych między innymi działaniami prowadzonymi przez beneficjenta. Ponadto, wielu beneficjentów nie uwzględnia</w:t>
      </w:r>
      <w:r>
        <w:t>ło</w:t>
      </w:r>
      <w:r w:rsidR="00441730">
        <w:t xml:space="preserve"> w kosztach projektowych innych wydatków, m.in. stworzenia zespołu projektowego z dodatkowym wynagrodzeniem, co przekłada</w:t>
      </w:r>
      <w:r>
        <w:t>ło</w:t>
      </w:r>
      <w:r w:rsidR="00441730">
        <w:t xml:space="preserve"> się na</w:t>
      </w:r>
      <w:r>
        <w:t xml:space="preserve"> kolejne efekty o charakterze negatywnym, np.</w:t>
      </w:r>
      <w:r w:rsidR="00441730">
        <w:t xml:space="preserve"> brak motywacji pracowników do zaangażowania się w realizację projektu ponadnormatywnie. </w:t>
      </w:r>
    </w:p>
    <w:p w14:paraId="29E8BB9B" w14:textId="77777777" w:rsidR="00987016" w:rsidRDefault="00545AAC" w:rsidP="00DF64C7">
      <w:pPr>
        <w:jc w:val="left"/>
      </w:pPr>
      <w:r>
        <w:t xml:space="preserve">Przeprowadzone badanie </w:t>
      </w:r>
      <w:r w:rsidR="00347D20">
        <w:t xml:space="preserve">z beneficjentami </w:t>
      </w:r>
      <w:r>
        <w:t>wykazało, że w ramach OP XI i OP XII efekt jałowej straty wystąpił w bardzo niewielkim stopniu – jedynie 1% beneficjentów wskazał, że w przypadku braku dofinansowania i tak zrealizowałby planowane działanie. Kolejne 6,9% prawdopodobnie także podjęłoby się realizacji projektu.</w:t>
      </w:r>
      <w:r w:rsidR="002B6743">
        <w:t xml:space="preserve"> Projekty te realizowane </w:t>
      </w:r>
      <w:r w:rsidR="00EF5D4A" w:rsidRPr="00EF5D4A">
        <w:t>były</w:t>
      </w:r>
      <w:r w:rsidR="005019A2">
        <w:t>by</w:t>
      </w:r>
      <w:r w:rsidR="002B6743">
        <w:t xml:space="preserve"> jednak głównie ze środków samorządowych (76,0%), w znacznie mniejszym stopniu były</w:t>
      </w:r>
      <w:r w:rsidR="0057440D">
        <w:t>by</w:t>
      </w:r>
      <w:r w:rsidR="002B6743">
        <w:t xml:space="preserve"> zaś finansowane w ramach środków prywatnych (22,0%).</w:t>
      </w:r>
      <w:r w:rsidR="00347D20">
        <w:t xml:space="preserve"> </w:t>
      </w:r>
      <w:r w:rsidR="00B11986">
        <w:t>Badani p</w:t>
      </w:r>
      <w:r w:rsidR="00347D20">
        <w:t xml:space="preserve">rzedstawiciele IZ oraz IP </w:t>
      </w:r>
      <w:r w:rsidR="00B11986">
        <w:t xml:space="preserve">byli natomiast przeciwnego zdania. Wskazali bowiem, </w:t>
      </w:r>
      <w:r w:rsidR="00347D20">
        <w:t>że w przypadku niektórych działań (szczególnie tych dotyczących miejsc przedszkolnych) efekt jałowe</w:t>
      </w:r>
      <w:r w:rsidR="00590567">
        <w:t>j</w:t>
      </w:r>
      <w:r w:rsidR="00347D20">
        <w:t xml:space="preserve"> straty </w:t>
      </w:r>
      <w:r w:rsidR="00B11986">
        <w:t xml:space="preserve">faktycznie </w:t>
      </w:r>
      <w:r w:rsidR="00347D20">
        <w:t xml:space="preserve">wystąpił. O wsparcie ubiegały się większe podmioty (w tym duże miasta), które również bez oferowanego wsparcia byłyby w stanie zrealizować projekty. Należy przy tym zauważyć, że w przypadku liczby miejsc przedszkolnych zapotrzebowanie było tak wysokie, że samorządy (ze wsparciem lub bez niego) i tak musiałyby sobie z tym problemem w jakiś sposób poradzić. </w:t>
      </w:r>
      <w:r w:rsidR="00EF5D4A" w:rsidRPr="00EF5D4A">
        <w:t>Tym samym z jednej strony można mówić o efekcie negatywnym</w:t>
      </w:r>
      <w:r w:rsidR="0057440D">
        <w:t xml:space="preserve"> (przy czym jego skala była stosunkowo niewielka)</w:t>
      </w:r>
      <w:r w:rsidR="00B955B0">
        <w:t>, lecz z </w:t>
      </w:r>
      <w:r w:rsidR="00347D20">
        <w:t>drugiej jednak, wsparcie w znacznym stopniu odpowiadało na rzeczywiste potrzeby potencjalnych beneficjentów.</w:t>
      </w:r>
    </w:p>
    <w:p w14:paraId="6071E074" w14:textId="23EE73A0" w:rsidR="00545AAC" w:rsidRDefault="00545AAC" w:rsidP="00DF64C7">
      <w:pPr>
        <w:pStyle w:val="Legenda"/>
        <w:spacing w:line="271" w:lineRule="auto"/>
        <w:jc w:val="left"/>
      </w:pPr>
      <w:bookmarkStart w:id="72" w:name="_Toc33459802"/>
      <w:r>
        <w:t xml:space="preserve">Wykres </w:t>
      </w:r>
      <w:r w:rsidR="00A57FB6">
        <w:rPr>
          <w:noProof/>
        </w:rPr>
        <w:fldChar w:fldCharType="begin"/>
      </w:r>
      <w:r w:rsidR="00A57FB6">
        <w:rPr>
          <w:noProof/>
        </w:rPr>
        <w:instrText xml:space="preserve"> SEQ Wykres \* ARABIC </w:instrText>
      </w:r>
      <w:r w:rsidR="00A57FB6">
        <w:rPr>
          <w:noProof/>
        </w:rPr>
        <w:fldChar w:fldCharType="separate"/>
      </w:r>
      <w:r w:rsidR="00A8147E">
        <w:rPr>
          <w:noProof/>
        </w:rPr>
        <w:t>21</w:t>
      </w:r>
      <w:r w:rsidR="00A57FB6">
        <w:rPr>
          <w:noProof/>
        </w:rPr>
        <w:fldChar w:fldCharType="end"/>
      </w:r>
      <w:r w:rsidR="004B4DD0">
        <w:rPr>
          <w:noProof/>
        </w:rPr>
        <w:t>.</w:t>
      </w:r>
      <w:r>
        <w:t xml:space="preserve"> </w:t>
      </w:r>
      <w:r w:rsidRPr="00545AAC">
        <w:t>Czy jeżeli nie otrzymaliby Państwo dofinansowania na realizację tego projektu, to pomimo tego realizowaliby Państwo zaplanowane w nim działania?</w:t>
      </w:r>
      <w:bookmarkEnd w:id="72"/>
    </w:p>
    <w:p w14:paraId="0BBCB65C" w14:textId="77777777" w:rsidR="00987016" w:rsidRDefault="00545AAC" w:rsidP="00DF64C7">
      <w:pPr>
        <w:jc w:val="left"/>
      </w:pPr>
      <w:r>
        <w:rPr>
          <w:noProof/>
          <w:lang w:eastAsia="pl-PL"/>
        </w:rPr>
        <w:drawing>
          <wp:inline distT="0" distB="0" distL="0" distR="0" wp14:anchorId="44806F36" wp14:editId="0E3740B7">
            <wp:extent cx="5676900" cy="1447800"/>
            <wp:effectExtent l="0" t="0" r="19050" b="19050"/>
            <wp:docPr id="47" name="Wykres 47" descr="Wykres przedstawia procentowy rozkład odpowiedzi beneficjentów na pytanie: &quot;Czy jeżeli nie otrzymaliby Państwo dofinansowania na realizację tego projektu, to pomimo tego realizowaliby Państwo zaplanowane w nim działania?&quot;. Rozkład odpowiedzi przedstawiony został na wykresie kolumnowym: zdecydowanie tak (1,1%), raczej tak (6,9%), trudno powiedzieć (26,6%), raczej nie (29,6%), zdecydowanie nie (36,0%)." title="Czy jeżeli nie otrzymaliby Państwo dofinansowania na realizację tego projektu, to pomimo tego realizowaliby Państwo zaplanowane w nim działa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1AC9055" w14:textId="77777777" w:rsidR="00987016" w:rsidRDefault="00545AAC" w:rsidP="00DF64C7">
      <w:pPr>
        <w:pStyle w:val="podpisrdailustracji"/>
        <w:spacing w:line="271" w:lineRule="auto"/>
        <w:jc w:val="left"/>
      </w:pPr>
      <w:r>
        <w:t>Źródło: opracowanie własne na podstawie badania CAWI/CATI z beneficjentami, n=467.</w:t>
      </w:r>
    </w:p>
    <w:p w14:paraId="3429ED76" w14:textId="77777777" w:rsidR="00441730" w:rsidRPr="007B5F7E" w:rsidRDefault="007C04CD" w:rsidP="00DF64C7">
      <w:pPr>
        <w:jc w:val="left"/>
        <w:rPr>
          <w:rFonts w:ascii="Calibri" w:hAnsi="Calibri" w:cs="Calibri"/>
          <w:sz w:val="20"/>
          <w:szCs w:val="20"/>
        </w:rPr>
      </w:pPr>
      <w:r>
        <w:t xml:space="preserve">W znacznie większym stopniu </w:t>
      </w:r>
      <w:r w:rsidR="00B11986">
        <w:t>wystąpił natomiast</w:t>
      </w:r>
      <w:r>
        <w:t xml:space="preserve"> efekt spijania śmietanki, tj. wyboru placówek posiadających doświadczenie, które poprzez udział w Programie mogły osiągnąć największe e</w:t>
      </w:r>
      <w:r w:rsidRPr="00BA2595">
        <w:t xml:space="preserve">fekty. </w:t>
      </w:r>
      <w:r w:rsidR="00BA2595" w:rsidRPr="00BA2595">
        <w:t>Analiza kryteriów oceny wykazała, że efekt ten występuje dzięki zastosowaniu następującego kryterium: „</w:t>
      </w:r>
      <w:r w:rsidR="00BA2595" w:rsidRPr="007B5F7E">
        <w:t>Czy projektodawca posiada doświadczenie i potencjał pozwalające na efektywną realizację projektu?</w:t>
      </w:r>
      <w:r w:rsidR="00BA2595" w:rsidRPr="00BA2595">
        <w:t xml:space="preserve">”. </w:t>
      </w:r>
      <w:r>
        <w:t xml:space="preserve">Z jednej strony, taki wybór wydaje się zasadny, dzięki temu możliwe jest osiągnięcie (a nawet przekroczenie) założonych celów i wsparcie jak największej liczby osób, z drugiej jednak może stanowić dyskryminację placówek o mniejszym doświadczeniu czy potencjale. </w:t>
      </w:r>
      <w:r w:rsidR="00441730">
        <w:t>Efekt kwaszenia, tj. wybór do projektu osób znajdujących się w najtrudniejszej sytuacji</w:t>
      </w:r>
      <w:r w:rsidR="0057440D">
        <w:t xml:space="preserve"> dotyczy 45% badanych beneficjentów, któr</w:t>
      </w:r>
      <w:r w:rsidR="00197D49">
        <w:t>zy potwierdzili taki dobór podmiotów do projektów</w:t>
      </w:r>
      <w:r w:rsidR="0057440D">
        <w:t>. Efekt ten szczególnie</w:t>
      </w:r>
      <w:r w:rsidR="00441730">
        <w:t xml:space="preserve"> widoczny jest</w:t>
      </w:r>
      <w:r w:rsidR="004B4DD0">
        <w:t xml:space="preserve"> w </w:t>
      </w:r>
      <w:r w:rsidR="00441730">
        <w:t>przypadku Działania 11.4, gdzie wśród odbiorców powinny</w:t>
      </w:r>
      <w:r w:rsidR="0057440D">
        <w:t>, zgodnie z założeniami)</w:t>
      </w:r>
      <w:r w:rsidR="00441730">
        <w:t xml:space="preserve"> znaleźć się </w:t>
      </w:r>
      <w:r w:rsidR="0057440D">
        <w:t xml:space="preserve">właśnie </w:t>
      </w:r>
      <w:r w:rsidR="00441730">
        <w:t>osoby o niskich kwalifikacjach oraz powyżej 50 roku życia</w:t>
      </w:r>
      <w:r w:rsidR="0057440D">
        <w:t xml:space="preserve"> (w przypadku tego działania efekt kwaszenia wskazany został przez 86% badanych)</w:t>
      </w:r>
      <w:r w:rsidR="00441730">
        <w:t>.</w:t>
      </w:r>
    </w:p>
    <w:p w14:paraId="4787A6E0" w14:textId="77777777" w:rsidR="00441730" w:rsidRDefault="00197D49" w:rsidP="00DF64C7">
      <w:pPr>
        <w:jc w:val="left"/>
      </w:pPr>
      <w:r>
        <w:t>O wystąpieniu efektu</w:t>
      </w:r>
      <w:r w:rsidR="00E42AB4">
        <w:t xml:space="preserve"> autoselekcji</w:t>
      </w:r>
      <w:r>
        <w:t xml:space="preserve"> można mówić w przypadku</w:t>
      </w:r>
      <w:r w:rsidR="00E42AB4">
        <w:t xml:space="preserve"> 39%</w:t>
      </w:r>
      <w:r>
        <w:t xml:space="preserve"> badanych</w:t>
      </w:r>
      <w:r w:rsidR="00E42AB4">
        <w:t xml:space="preserve"> beneficjentów </w:t>
      </w:r>
      <w:r>
        <w:t>, którzy w przeprowadzonym badaniu potwierdzili</w:t>
      </w:r>
      <w:r w:rsidR="00E42AB4">
        <w:t xml:space="preserve">, że </w:t>
      </w:r>
      <w:r w:rsidR="001E678E">
        <w:t xml:space="preserve">część </w:t>
      </w:r>
      <w:r w:rsidR="00E42AB4">
        <w:t>podmiotów zabiegał</w:t>
      </w:r>
      <w:r>
        <w:t>a</w:t>
      </w:r>
      <w:r w:rsidR="00E42AB4">
        <w:t xml:space="preserve"> o to, by dostać się do projektu.</w:t>
      </w:r>
    </w:p>
    <w:p w14:paraId="3A19C581" w14:textId="7C6E22E7" w:rsidR="001A3B17" w:rsidRDefault="001A3B17" w:rsidP="00DF64C7">
      <w:pPr>
        <w:pStyle w:val="Legenda"/>
        <w:spacing w:line="271" w:lineRule="auto"/>
        <w:jc w:val="left"/>
      </w:pPr>
      <w:bookmarkStart w:id="73" w:name="_Toc33459803"/>
      <w:r>
        <w:t xml:space="preserve">Wykres </w:t>
      </w:r>
      <w:r w:rsidR="00A83EB8">
        <w:rPr>
          <w:noProof/>
        </w:rPr>
        <w:fldChar w:fldCharType="begin"/>
      </w:r>
      <w:r w:rsidR="00A83EB8">
        <w:rPr>
          <w:noProof/>
        </w:rPr>
        <w:instrText xml:space="preserve"> SEQ Wykres \* ARABIC </w:instrText>
      </w:r>
      <w:r w:rsidR="00A83EB8">
        <w:rPr>
          <w:noProof/>
        </w:rPr>
        <w:fldChar w:fldCharType="separate"/>
      </w:r>
      <w:r w:rsidR="00A8147E">
        <w:rPr>
          <w:noProof/>
        </w:rPr>
        <w:t>22</w:t>
      </w:r>
      <w:r w:rsidR="00A83EB8">
        <w:rPr>
          <w:noProof/>
        </w:rPr>
        <w:fldChar w:fldCharType="end"/>
      </w:r>
      <w:r w:rsidR="004B4DD0">
        <w:rPr>
          <w:noProof/>
        </w:rPr>
        <w:t>.</w:t>
      </w:r>
      <w:r>
        <w:t xml:space="preserve"> </w:t>
      </w:r>
      <w:r w:rsidRPr="001A3B17">
        <w:t>Proszę wskazać, które zdanie jest prawdziwe, jeśli chodzi o realizowany przez Państwa projekt.</w:t>
      </w:r>
      <w:bookmarkEnd w:id="73"/>
    </w:p>
    <w:p w14:paraId="09BAAF72" w14:textId="77777777" w:rsidR="001A3B17" w:rsidRDefault="001A3B17" w:rsidP="00DF64C7">
      <w:pPr>
        <w:jc w:val="left"/>
      </w:pPr>
      <w:r>
        <w:rPr>
          <w:noProof/>
          <w:lang w:eastAsia="pl-PL"/>
        </w:rPr>
        <w:drawing>
          <wp:inline distT="0" distB="0" distL="0" distR="0" wp14:anchorId="78BA54A4" wp14:editId="1F4DFF35">
            <wp:extent cx="5743575" cy="2066925"/>
            <wp:effectExtent l="0" t="0" r="9525" b="9525"/>
            <wp:docPr id="2" name="Wykres 2" descr="Wykres przedstawia deklaracje beneficjentów co do sposobu wyboru placówek do realizowanych przez nich projektów. Do zaprezentowania danych wykorzystany zostal wykres słupkowy: wybierajc placówki do udziału w projekcie dobieraliśmy takie podmioty, które poprzez udział mogły osiągnąć największe efekty (82,0%), wyberając placówki do udziału w projekcie dobieraliśmy takie podmioty, które znajdują się w natrudniejszej sytuacji (45,0%), niektóre spośród podmiotów same zabiegały o to, by uczestniczyć w projekcie (39,0%)." title="Proszę wskazać, które zdanie jest prawdziwe, jeśli chodzi o realizowany przez Państwa projekt"/>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E96A20" w14:textId="77777777" w:rsidR="001A3B17" w:rsidRDefault="001A3B17" w:rsidP="00DF64C7">
      <w:pPr>
        <w:pStyle w:val="podpisrdailustracji"/>
        <w:spacing w:line="271" w:lineRule="auto"/>
        <w:jc w:val="left"/>
      </w:pPr>
      <w:r>
        <w:t>Źródło: opracowanie własne na podstawie badania CAW</w:t>
      </w:r>
      <w:r w:rsidR="00441730">
        <w:t>I/CATI z beneficjentami, n=467.</w:t>
      </w:r>
    </w:p>
    <w:p w14:paraId="6A9932ED" w14:textId="21B73B6D" w:rsidR="00A36F1E" w:rsidRDefault="00A36F1E" w:rsidP="00DF64C7">
      <w:pPr>
        <w:jc w:val="left"/>
      </w:pPr>
      <w:r>
        <w:t>Aby zidentyfikować projekty, w których osiągnięto dodatkowe efekty pozytywne, analizie poddano dane dotyczące wartości wskaźników zakładanych oraz uzyskanych w ramach poszczególnych projektów zrealizowanych w ramach OP XI i XII RPO WSL 2014-2020. W tym celu zidentyfikowane zostały te projekty, w ramach których osiągnięto wyższe wartości wskaźników, niż założone we wniosku wartości docelowe</w:t>
      </w:r>
      <w:r>
        <w:rPr>
          <w:rStyle w:val="Odwoanieprzypisudolnego"/>
        </w:rPr>
        <w:footnoteReference w:id="80"/>
      </w:r>
      <w:r>
        <w:t xml:space="preserve">. </w:t>
      </w:r>
      <w:r w:rsidR="002F44AC">
        <w:t xml:space="preserve">Tabela z wykazem projektów znajduje się w </w:t>
      </w:r>
      <w:r w:rsidR="00C35045">
        <w:t>Aneksie</w:t>
      </w:r>
      <w:r w:rsidR="002F44AC">
        <w:t>, w podpunkcie</w:t>
      </w:r>
      <w:r w:rsidR="00876708">
        <w:t xml:space="preserve"> 1.1 f)</w:t>
      </w:r>
      <w:r w:rsidR="000E3272">
        <w:t>. Na podstawie analizy można wskazać, że osiąganie wyższych</w:t>
      </w:r>
      <w:r w:rsidR="00D41921">
        <w:t>,</w:t>
      </w:r>
      <w:r w:rsidR="000E3272">
        <w:t xml:space="preserve"> niż zakładano wartości wskaźników jest zjawiskiem powszechnym </w:t>
      </w:r>
      <w:r w:rsidR="000E3272" w:rsidRPr="000E3272">
        <w:t xml:space="preserve">(przekroczenie zakładanego poziomu wartości docelowych zidentyfikowano w ramach </w:t>
      </w:r>
      <w:r w:rsidR="000741B1">
        <w:t xml:space="preserve">niemal </w:t>
      </w:r>
      <w:r w:rsidR="000E3272" w:rsidRPr="000E3272">
        <w:t>każdego Działania/Poddziałania</w:t>
      </w:r>
      <w:r w:rsidR="000741B1">
        <w:t>, tj. za wyjątkiem działania 11.4</w:t>
      </w:r>
      <w:r w:rsidR="000E3272" w:rsidRPr="000E3272">
        <w:t>). Skala zjawiska jest jednak silnie skorelowana z liczbą projektów, realizowanych w ramach poszczególnych Działań/Poddziałań. Tym samym, najwyższa liczba projektów, w której od</w:t>
      </w:r>
      <w:r w:rsidR="00AB76EA">
        <w:t>notowano ww. przekroczenie zakła</w:t>
      </w:r>
      <w:r w:rsidR="000E3272" w:rsidRPr="000E3272">
        <w:t>danych wartości, odnotowano w przypadku Poddziałania 11.1.4 (aż 175 projektów, w których przekroczono łącznie 482 wskaźniki).</w:t>
      </w:r>
      <w:r w:rsidR="00AB76EA">
        <w:t xml:space="preserve"> </w:t>
      </w:r>
    </w:p>
    <w:p w14:paraId="12439E1E" w14:textId="77777777" w:rsidR="00441730" w:rsidRDefault="00753003" w:rsidP="00DF64C7">
      <w:pPr>
        <w:jc w:val="left"/>
      </w:pPr>
      <w:r>
        <w:t>Pozytywnym e</w:t>
      </w:r>
      <w:r w:rsidR="0039563C">
        <w:t xml:space="preserve">fektem niezamierzonym był </w:t>
      </w:r>
      <w:r w:rsidR="0014130C">
        <w:t xml:space="preserve">także </w:t>
      </w:r>
      <w:r w:rsidR="0039563C">
        <w:t>fakt</w:t>
      </w:r>
      <w:r w:rsidR="00275B84">
        <w:t xml:space="preserve"> (potwierdzono podczas badań przeprowadzonych z nauczycielami)</w:t>
      </w:r>
      <w:r w:rsidR="0039563C">
        <w:t>, iż nauczyciele, którzy mieli możliwość podniesienia swoich kompetencji i kwalifikacji, po zakończeniu udziału w projekcie kontynuują dokształcanie się w zakresie nowoczesnych metod pracy z uczniem czy wykorzystania TIK w nauczaniu.</w:t>
      </w:r>
      <w:r w:rsidR="00441730">
        <w:t xml:space="preserve"> Przedstawiciele IZ oraz IP wskazali także na niezamierzone efekty widoczne z szerszej perspektywy, głównie na wzrost współpracy regionalnej (nawiązywanie partnerstw) w celu ubiegania się o dofinansowanie.</w:t>
      </w:r>
    </w:p>
    <w:p w14:paraId="4715AD94" w14:textId="77777777" w:rsidR="004A0B2D" w:rsidRDefault="004A0B2D" w:rsidP="00DF64C7">
      <w:pPr>
        <w:jc w:val="left"/>
      </w:pPr>
    </w:p>
    <w:p w14:paraId="25B0E7F3" w14:textId="77777777" w:rsidR="004A0B2D" w:rsidRDefault="004A0B2D" w:rsidP="00DF64C7">
      <w:pPr>
        <w:jc w:val="left"/>
      </w:pPr>
      <w:r>
        <w:t>Z kolei d</w:t>
      </w:r>
      <w:r w:rsidRPr="005900C1">
        <w:t xml:space="preserve">ziałania </w:t>
      </w:r>
      <w:r>
        <w:t>mające na</w:t>
      </w:r>
      <w:r w:rsidRPr="005900C1">
        <w:t> </w:t>
      </w:r>
      <w:r>
        <w:t>celu zniwelowanie</w:t>
      </w:r>
      <w:r w:rsidRPr="005900C1">
        <w:t xml:space="preserve"> negatywnego wpływu </w:t>
      </w:r>
      <w:r>
        <w:t>nieprzewidzianych wcześniej efektów, które zostały podejmowane</w:t>
      </w:r>
      <w:r w:rsidRPr="005900C1">
        <w:t xml:space="preserve"> w innych programach operacyjnych, </w:t>
      </w:r>
      <w:r>
        <w:t>a które można</w:t>
      </w:r>
      <w:r w:rsidRPr="005900C1">
        <w:t xml:space="preserve"> wykorzystać</w:t>
      </w:r>
      <w:r>
        <w:t xml:space="preserve"> podczas realizacji RPO WSL to przede wszystkim działania związane z:</w:t>
      </w:r>
    </w:p>
    <w:p w14:paraId="0EBF1F4F" w14:textId="77777777" w:rsidR="004A0B2D" w:rsidRDefault="004A0B2D" w:rsidP="00DF64C7">
      <w:pPr>
        <w:pStyle w:val="Akapitzlist"/>
        <w:numPr>
          <w:ilvl w:val="0"/>
          <w:numId w:val="74"/>
        </w:numPr>
        <w:jc w:val="left"/>
      </w:pPr>
      <w:r>
        <w:t>Efektem creamingu i zjawiskiem autoselekcji – podejmowane działanie związane z przekazywaniem ws</w:t>
      </w:r>
      <w:r w:rsidR="001518D3">
        <w:t>p</w:t>
      </w:r>
      <w:r>
        <w:t>arcia odbiorcom, którzy rzeczywiście potrzebują wsparcia, nie zaś do odbiorców, którzy deklarują wolę udziału w projekcie</w:t>
      </w:r>
      <w:r>
        <w:rPr>
          <w:rStyle w:val="Odwoanieprzypisudolnego"/>
        </w:rPr>
        <w:footnoteReference w:id="81"/>
      </w:r>
      <w:r>
        <w:t>.</w:t>
      </w:r>
    </w:p>
    <w:p w14:paraId="5520DEDB" w14:textId="77777777" w:rsidR="004A0B2D" w:rsidRDefault="004A0B2D" w:rsidP="00DF64C7">
      <w:pPr>
        <w:pStyle w:val="Akapitzlist"/>
        <w:numPr>
          <w:ilvl w:val="0"/>
          <w:numId w:val="74"/>
        </w:numPr>
        <w:jc w:val="left"/>
      </w:pPr>
      <w:r>
        <w:t xml:space="preserve">Zjawiskiem jałowej straty – </w:t>
      </w:r>
      <w:r w:rsidR="00876708">
        <w:t>w przypadku zjawiska jałowej straty należy postępować analogicznie jak w przypadku zidentyfikowania zjawiska creamingu</w:t>
      </w:r>
      <w:r>
        <w:rPr>
          <w:rStyle w:val="Odwoanieprzypisudolnego"/>
        </w:rPr>
        <w:footnoteReference w:id="82"/>
      </w:r>
      <w:r>
        <w:t>.</w:t>
      </w:r>
    </w:p>
    <w:p w14:paraId="69126A7F" w14:textId="77777777" w:rsidR="004A0B2D" w:rsidRDefault="00876708" w:rsidP="00DF64C7">
      <w:pPr>
        <w:pStyle w:val="Akapitzlist"/>
        <w:numPr>
          <w:ilvl w:val="0"/>
          <w:numId w:val="74"/>
        </w:numPr>
        <w:jc w:val="left"/>
      </w:pPr>
      <w:r>
        <w:t>Zidentyfikowanymi negatywnymi skutkami podziału środków na formy wsparcia przed rekrutacją uczestników i diagnozą ich potrzeb, które realizowane są przez jeden typ beneficjentów (np. PUP) – negatywne skutki były częściowo kompensowane przez bardziej elastyczne, dopasowane do potrzeb uczestników możliwości finansowania aktywizacji odbiorców poprzez działania realizowane przez innych beneficjentów</w:t>
      </w:r>
      <w:r w:rsidR="004A0B2D">
        <w:rPr>
          <w:rStyle w:val="Odwoanieprzypisudolnego"/>
        </w:rPr>
        <w:footnoteReference w:id="83"/>
      </w:r>
      <w:r w:rsidR="004A0B2D">
        <w:rPr>
          <w:vertAlign w:val="superscript"/>
        </w:rPr>
        <w:t xml:space="preserve">, </w:t>
      </w:r>
      <w:r w:rsidR="004A0B2D">
        <w:rPr>
          <w:rStyle w:val="Odwoanieprzypisudolnego"/>
        </w:rPr>
        <w:footnoteReference w:id="84"/>
      </w:r>
      <w:r w:rsidR="004A0B2D">
        <w:t>.</w:t>
      </w:r>
    </w:p>
    <w:p w14:paraId="028C7C68" w14:textId="77777777" w:rsidR="004A0B2D" w:rsidRDefault="004A0B2D" w:rsidP="00DF64C7">
      <w:pPr>
        <w:pStyle w:val="Akapitzlist"/>
        <w:numPr>
          <w:ilvl w:val="0"/>
          <w:numId w:val="74"/>
        </w:numPr>
        <w:jc w:val="left"/>
      </w:pPr>
      <w:r>
        <w:t xml:space="preserve">Niwelowaniem negatywnego wpływu efektów nieprzewidzianych ogółem – działania związane ze wzbudzeniem w uczestnikach motywacji do podejmowania kształcenia, które obejmowały m.in. równoległe </w:t>
      </w:r>
      <w:r w:rsidR="008705CD">
        <w:t>w</w:t>
      </w:r>
      <w:r w:rsidRPr="00F03CFB">
        <w:t>sparcie o charakterze psychologicznym, mające na celu chociażby podniesienie samooceny uczestnika</w:t>
      </w:r>
      <w:r>
        <w:t xml:space="preserve">, czy wprowadzenie bonów szkoleniowych, </w:t>
      </w:r>
      <w:r w:rsidR="008705CD">
        <w:t>t</w:t>
      </w:r>
      <w:r w:rsidRPr="00F03CFB">
        <w:t>ak aby to uczestnik mógł określić swoje potrzeby</w:t>
      </w:r>
      <w:r>
        <w:rPr>
          <w:rStyle w:val="Odwoanieprzypisudolnego"/>
        </w:rPr>
        <w:footnoteReference w:id="85"/>
      </w:r>
      <w:r w:rsidRPr="00F03CFB">
        <w:t>.</w:t>
      </w:r>
    </w:p>
    <w:p w14:paraId="628D5555" w14:textId="77777777" w:rsidR="00EA2E51" w:rsidRDefault="00EA2E51" w:rsidP="00DF64C7">
      <w:pPr>
        <w:jc w:val="left"/>
      </w:pPr>
    </w:p>
    <w:p w14:paraId="630F7685" w14:textId="77777777" w:rsidR="00EA2E51" w:rsidRDefault="00EA2E51" w:rsidP="00DF64C7">
      <w:pPr>
        <w:jc w:val="left"/>
        <w:rPr>
          <w:rStyle w:val="Odwoanieintensywne"/>
        </w:rPr>
      </w:pPr>
      <w:r w:rsidRPr="00EA2E51">
        <w:rPr>
          <w:rStyle w:val="Odwoanieintensywne"/>
        </w:rPr>
        <w:t>Podsumowanie</w:t>
      </w:r>
    </w:p>
    <w:p w14:paraId="6342B896" w14:textId="41B90FBE" w:rsidR="001E678E" w:rsidRDefault="00591415" w:rsidP="00DF64C7">
      <w:pPr>
        <w:jc w:val="left"/>
      </w:pPr>
      <w:r>
        <w:t xml:space="preserve">Beneficjenci wsparcia uczestniczący w badaniu nie identyfikowali żadnych niezamierzonych efektów osiągniętych w wyniku realizacji projektów – efekty takie wskazało zaledwie 7% respondentów. </w:t>
      </w:r>
      <w:r w:rsidR="001E678E">
        <w:t>Badani</w:t>
      </w:r>
      <w:r w:rsidR="00D41921">
        <w:t>,</w:t>
      </w:r>
      <w:r w:rsidR="001E678E">
        <w:t xml:space="preserve"> co prawda</w:t>
      </w:r>
      <w:r w:rsidR="00D41921">
        <w:t>,</w:t>
      </w:r>
      <w:r w:rsidR="001E678E">
        <w:t xml:space="preserve"> nie identyfikowali zjawiska występowania jałowej straty, lecz w przypadku niektórych działań (szczególnie tych dotyczących miejsc przedszkolnych) efekt ten faktycznie wystąpił. O wsparcie ubiegały się większe podmioty (w tym duże miasta), które również bez oferowanego wsparcia byłyby w stanie zrealizować projekty. Należy przy tym zauważyć, że w przypadku liczby miejsc przedszkolnych zapotrzebowanie było tak wysokie, że samorządy (ze wsparciem lub bez niego) i tak musiałyby sobie z tym problemem w jakiś sposób poradzić. Świadczy to o tym, że z jednej strony można mówić o faktycznym efekcie negatywnym – jałowa strata wystąpiła (przy czym jego skala była stosunkowo niewielka), lecz z drugiej jednak, wsparcie w znacznym stopniu odpowiadało na rzeczywiste potrzeby potencjalnych beneficjentów.</w:t>
      </w:r>
    </w:p>
    <w:p w14:paraId="11B03E64" w14:textId="77777777" w:rsidR="001E678E" w:rsidRDefault="001E678E" w:rsidP="00DF64C7">
      <w:pPr>
        <w:jc w:val="left"/>
      </w:pPr>
      <w:r>
        <w:t>Efekt kwaszenia, tj. wybór do projektu osób znajdujących się w najtrudniejszej sytuacji dotyczył z kolei 45% badanych beneficjentów, którzy potwierdzili taki dobór podmiotów do projektów. Efekt ten szczególnie widoczny jest w przypadku Działania 11.4, gdzie wśród odbiorców powinny (zgodnie z założeniami) znaleźć się właśnie osoby o niskich kwalifikacjach oraz powyżej 50 roku życia (w przypadku tego działania efekt kwaszenia wskazany został przez 86% badanych, przy czym jednocześnie zwracano uwagę na problemy z rekrutacją tejże grupy odbiorców).</w:t>
      </w:r>
    </w:p>
    <w:p w14:paraId="31564B62" w14:textId="77777777" w:rsidR="001E678E" w:rsidRDefault="001E678E" w:rsidP="00DF64C7">
      <w:pPr>
        <w:spacing w:after="840"/>
        <w:jc w:val="left"/>
      </w:pPr>
      <w:r>
        <w:t>Z kolei o wystąpieniu efektu autoselekcji można mówić w przypadku 39% badanych beneficjentów, którzy w przeprowadzonym badaniu potwierdzili, że część podmiotów sama zabiegała o to, by dostać się do projektu.</w:t>
      </w:r>
    </w:p>
    <w:p w14:paraId="5696CC43" w14:textId="77777777" w:rsidR="00776AF7" w:rsidRDefault="00776AF7" w:rsidP="00DF64C7">
      <w:pPr>
        <w:jc w:val="left"/>
      </w:pPr>
    </w:p>
    <w:p w14:paraId="72270220" w14:textId="77777777" w:rsidR="00A36F1E" w:rsidRPr="00591415" w:rsidRDefault="00A464CB" w:rsidP="00DF64C7">
      <w:pPr>
        <w:pStyle w:val="Nagwek3"/>
        <w:spacing w:line="271" w:lineRule="auto"/>
        <w:ind w:left="426"/>
        <w:jc w:val="left"/>
        <w:rPr>
          <w:rFonts w:eastAsia="Arial"/>
        </w:rPr>
      </w:pPr>
      <w:bookmarkStart w:id="74" w:name="_Toc38035013"/>
      <w:bookmarkStart w:id="75" w:name="_Toc24466803"/>
      <w:bookmarkStart w:id="76" w:name="_Toc25664300"/>
      <w:bookmarkStart w:id="77" w:name="_Toc26526281"/>
      <w:r w:rsidRPr="00610089">
        <w:rPr>
          <w:rFonts w:eastAsia="Arial"/>
        </w:rPr>
        <w:t>W jakim stopniu zmiany</w:t>
      </w:r>
      <w:r>
        <w:rPr>
          <w:rFonts w:eastAsia="Arial"/>
        </w:rPr>
        <w:t xml:space="preserve"> i </w:t>
      </w:r>
      <w:r w:rsidRPr="00610089">
        <w:rPr>
          <w:rFonts w:eastAsia="Arial"/>
        </w:rPr>
        <w:t>efekty (zarówno te planowane, jak</w:t>
      </w:r>
      <w:r>
        <w:rPr>
          <w:rFonts w:eastAsia="Arial"/>
        </w:rPr>
        <w:t xml:space="preserve"> i </w:t>
      </w:r>
      <w:r w:rsidRPr="00610089">
        <w:rPr>
          <w:rFonts w:eastAsia="Arial"/>
        </w:rPr>
        <w:t>nieplanowane) przypisane uczestnikom/odbiorcom ostatecznym wsparcia</w:t>
      </w:r>
      <w:r>
        <w:rPr>
          <w:rFonts w:eastAsia="Arial"/>
        </w:rPr>
        <w:t xml:space="preserve"> i </w:t>
      </w:r>
      <w:r w:rsidRPr="00610089">
        <w:rPr>
          <w:rFonts w:eastAsia="Arial"/>
        </w:rPr>
        <w:t>beneficjentom są rzeczywistym wynikiem udzielonego wsparcia</w:t>
      </w:r>
      <w:r>
        <w:rPr>
          <w:rFonts w:eastAsia="Arial"/>
        </w:rPr>
        <w:t xml:space="preserve"> w </w:t>
      </w:r>
      <w:r w:rsidRPr="00610089">
        <w:rPr>
          <w:rFonts w:eastAsia="Arial"/>
        </w:rPr>
        <w:t>ramach RPO WSL 2014-2020?</w:t>
      </w:r>
      <w:bookmarkEnd w:id="74"/>
      <w:r w:rsidR="00063AFF" w:rsidRPr="00610089" w:rsidDel="00063AFF">
        <w:rPr>
          <w:rFonts w:eastAsia="Arial"/>
        </w:rPr>
        <w:t xml:space="preserve"> </w:t>
      </w:r>
      <w:bookmarkEnd w:id="75"/>
      <w:bookmarkEnd w:id="76"/>
      <w:bookmarkEnd w:id="77"/>
    </w:p>
    <w:p w14:paraId="5D897305" w14:textId="77777777" w:rsidR="0014130C" w:rsidRPr="006119B9" w:rsidRDefault="00BD16AE" w:rsidP="00DF64C7">
      <w:pPr>
        <w:jc w:val="left"/>
        <w:rPr>
          <w:rFonts w:eastAsia="Arial"/>
        </w:rPr>
      </w:pPr>
      <w:r>
        <w:rPr>
          <w:rFonts w:eastAsia="Arial" w:cs="Arial"/>
        </w:rPr>
        <w:t>A</w:t>
      </w:r>
      <w:r w:rsidR="0014130C">
        <w:rPr>
          <w:rFonts w:eastAsia="Arial"/>
        </w:rPr>
        <w:t>nalizą objęte zostały</w:t>
      </w:r>
      <w:r w:rsidR="0014130C" w:rsidRPr="006119B9">
        <w:rPr>
          <w:rFonts w:eastAsia="Arial"/>
        </w:rPr>
        <w:t xml:space="preserve"> wniosk</w:t>
      </w:r>
      <w:r w:rsidR="0014130C">
        <w:rPr>
          <w:rFonts w:eastAsia="Arial"/>
        </w:rPr>
        <w:t xml:space="preserve">i o dofinansowanie projektów, na podstawie których zidentyfikowano </w:t>
      </w:r>
      <w:r w:rsidR="00A31731">
        <w:rPr>
          <w:rFonts w:eastAsia="Arial"/>
        </w:rPr>
        <w:t xml:space="preserve">zadania </w:t>
      </w:r>
      <w:r w:rsidR="00AB76EA">
        <w:rPr>
          <w:rFonts w:eastAsia="Arial"/>
        </w:rPr>
        <w:t>planowane do osiągnięcia w ramach projektów w podziale na</w:t>
      </w:r>
      <w:r w:rsidR="0014130C">
        <w:rPr>
          <w:rFonts w:eastAsia="Arial"/>
        </w:rPr>
        <w:t xml:space="preserve"> </w:t>
      </w:r>
      <w:r w:rsidR="00AB76EA">
        <w:rPr>
          <w:rFonts w:eastAsia="Arial"/>
        </w:rPr>
        <w:t>poszczególne</w:t>
      </w:r>
      <w:r w:rsidR="0014130C">
        <w:rPr>
          <w:rFonts w:eastAsia="Arial"/>
        </w:rPr>
        <w:t xml:space="preserve"> działa</w:t>
      </w:r>
      <w:r w:rsidR="00AB76EA">
        <w:rPr>
          <w:rFonts w:eastAsia="Arial"/>
        </w:rPr>
        <w:t>nia</w:t>
      </w:r>
      <w:r w:rsidR="0014130C">
        <w:rPr>
          <w:rFonts w:eastAsia="Arial"/>
        </w:rPr>
        <w:t xml:space="preserve"> i poddziała</w:t>
      </w:r>
      <w:r w:rsidR="00AB76EA">
        <w:rPr>
          <w:rFonts w:eastAsia="Arial"/>
        </w:rPr>
        <w:t>nia</w:t>
      </w:r>
      <w:r w:rsidR="0014130C">
        <w:rPr>
          <w:rFonts w:eastAsia="Arial"/>
        </w:rPr>
        <w:t>.</w:t>
      </w:r>
      <w:r w:rsidR="002140CD">
        <w:rPr>
          <w:rFonts w:eastAsia="Arial"/>
        </w:rPr>
        <w:t xml:space="preserve"> Lista zamierzonych do </w:t>
      </w:r>
      <w:r w:rsidR="00A31731">
        <w:rPr>
          <w:rFonts w:eastAsia="Arial"/>
        </w:rPr>
        <w:t>zrealizowania zadań</w:t>
      </w:r>
      <w:r w:rsidR="002140CD">
        <w:rPr>
          <w:rFonts w:eastAsia="Arial"/>
        </w:rPr>
        <w:t xml:space="preserve"> w ramach OP XI oraz OP XII znajduje się w Aneksie, w podpunkcie</w:t>
      </w:r>
      <w:r w:rsidR="00D67F39">
        <w:rPr>
          <w:rFonts w:eastAsia="Arial"/>
        </w:rPr>
        <w:t xml:space="preserve"> 1.1 g)</w:t>
      </w:r>
      <w:r w:rsidR="002140CD">
        <w:rPr>
          <w:rFonts w:eastAsia="Arial"/>
        </w:rPr>
        <w:t>.</w:t>
      </w:r>
      <w:r w:rsidR="000A1C1F">
        <w:rPr>
          <w:rFonts w:eastAsia="Arial"/>
        </w:rPr>
        <w:t xml:space="preserve"> Wykaz działań koresponduje z osiągniętymi dzięki nim efektami wsparcia.</w:t>
      </w:r>
    </w:p>
    <w:p w14:paraId="7D0E6825" w14:textId="77777777" w:rsidR="00E659CD" w:rsidRDefault="00151C42" w:rsidP="00DF64C7">
      <w:pPr>
        <w:jc w:val="left"/>
      </w:pPr>
      <w:r>
        <w:t xml:space="preserve">Dyrektorzy i nauczyciele </w:t>
      </w:r>
      <w:r w:rsidR="004E2451">
        <w:t xml:space="preserve">wskazali, iż </w:t>
      </w:r>
      <w:r w:rsidR="000A1C1F">
        <w:t>wśród efektów</w:t>
      </w:r>
      <w:r w:rsidR="004E2451">
        <w:t>, któr</w:t>
      </w:r>
      <w:r w:rsidR="000F5278">
        <w:t>e</w:t>
      </w:r>
      <w:r w:rsidR="004E2451">
        <w:t xml:space="preserve"> nie był</w:t>
      </w:r>
      <w:r w:rsidR="000F5278">
        <w:t>y</w:t>
      </w:r>
      <w:r w:rsidR="004E2451">
        <w:t>by możliw</w:t>
      </w:r>
      <w:r w:rsidR="000F5278">
        <w:t>e</w:t>
      </w:r>
      <w:r w:rsidR="004E2451">
        <w:t xml:space="preserve"> do osiągnięcia bez środków RPO WSL, </w:t>
      </w:r>
      <w:r w:rsidR="000A1C1F">
        <w:t>znajduje się przede wszystkim</w:t>
      </w:r>
      <w:r w:rsidR="004E2451">
        <w:t xml:space="preserve"> stworzenie w szkołach warunków do kształcenia zawodu, które odzwierciedlają naturalne warunki pracy</w:t>
      </w:r>
      <w:r w:rsidR="000F5278">
        <w:t>, w tym doposażenie pracowni oraz organizację specjalistycznych szkoleń i kursów</w:t>
      </w:r>
      <w:r w:rsidR="00E659CD">
        <w:t xml:space="preserve"> (</w:t>
      </w:r>
      <w:r w:rsidR="00E659CD" w:rsidRPr="00E659CD">
        <w:t>we wnioskach o dofinansowanie wskazywano na szeroki zakres prac remontowo-budowlanych (obejmujących m.in. pracownie mechatroniczne, obrabiarek sterowanych numerycznie, branży samochodowej, elektrycznej, elektronicznej, mechanicznej czy gastronomicznej) oraz zakup wymaganego wy</w:t>
      </w:r>
      <w:r w:rsidR="00E659CD">
        <w:t>posażenia (oraz oprogramowania)</w:t>
      </w:r>
      <w:r w:rsidR="004E2451">
        <w:t xml:space="preserve">. Oprócz tego, </w:t>
      </w:r>
      <w:r w:rsidR="005B288A">
        <w:t>prawdopodobnie nie udałoby się stworzyć nowych miejsc wychowania przedszkolnego oraz rozszerzyć ofert</w:t>
      </w:r>
      <w:r w:rsidR="000A1C1F">
        <w:t>y</w:t>
      </w:r>
      <w:r w:rsidR="005B288A">
        <w:t xml:space="preserve"> o dodatkowe zajęcia, mające wyrównać szanse edukacyjne dzieci</w:t>
      </w:r>
      <w:r w:rsidR="00E659CD">
        <w:t xml:space="preserve"> (we wnioskach o dofinansowanie zidentyfikowano w tym zakresie bardzo szeroki zakres działań-  </w:t>
      </w:r>
      <w:r w:rsidR="00E659CD" w:rsidRPr="00E659CD">
        <w:t>od typowych zajęć dodatkowych w postaci np. zajęć logopedycznych, czy gimnastyki korekcyjnej, do szerokiej oferty zajęć specjalistycznych (terapia Biofeedback, zajęcia terapeutyczne, hipoterapia, dogoterapia, terapia w grupie, terapia indywidualna, zajęcia rozwijające kompetencje społeczno-emocjonalne przy wykorzystaniu metod Klanzy lub równoważnych, zajęcia socjoterapeutyczne, artterapia, zajęcia z elementami terapii W. Sherborne, zajęcia z elementami terapii Integracji Sensorycznej, zajęcia terapeutyczne dla dzieci nieradzących sobie z agresją, zajęcia z komunikacji alternatywnej wspomagającej sposoby komunikowania, zajęcia specjalistyczne wspomagające dziecko z zaburzeniami ze spektrum autyzmu lub innymi trudnościami w budowaniu relacji społecznych (afazja, alalia), terapia ręki)</w:t>
      </w:r>
      <w:r w:rsidR="005B288A">
        <w:t>.</w:t>
      </w:r>
    </w:p>
    <w:p w14:paraId="2CBE51C6" w14:textId="77777777" w:rsidR="004E2451" w:rsidRDefault="00E659CD" w:rsidP="00DF64C7">
      <w:pPr>
        <w:jc w:val="left"/>
      </w:pPr>
      <w:r>
        <w:t>Z kolei d</w:t>
      </w:r>
      <w:r w:rsidR="0002087A">
        <w:t>o działań, które prawdopodobnie i tak zostałyby zrealizowane, należą zajęcia z doradztwa zawodowego czy szkolenia dla nauczycieli.</w:t>
      </w:r>
    </w:p>
    <w:p w14:paraId="1C53D600" w14:textId="739BBCA4" w:rsidR="00151C42" w:rsidRDefault="00151C42" w:rsidP="00DF64C7">
      <w:pPr>
        <w:pStyle w:val="Legenda"/>
        <w:spacing w:line="271" w:lineRule="auto"/>
        <w:jc w:val="left"/>
      </w:pPr>
      <w:bookmarkStart w:id="78" w:name="_Toc33457227"/>
      <w:r>
        <w:t xml:space="preserve">Tabela </w:t>
      </w:r>
      <w:r w:rsidR="00AB65C6">
        <w:rPr>
          <w:noProof/>
        </w:rPr>
        <w:fldChar w:fldCharType="begin"/>
      </w:r>
      <w:r w:rsidR="00AB65C6">
        <w:rPr>
          <w:noProof/>
        </w:rPr>
        <w:instrText xml:space="preserve"> SEQ Tabela \* ARABIC </w:instrText>
      </w:r>
      <w:r w:rsidR="00AB65C6">
        <w:rPr>
          <w:noProof/>
        </w:rPr>
        <w:fldChar w:fldCharType="separate"/>
      </w:r>
      <w:r w:rsidR="00A8147E">
        <w:rPr>
          <w:noProof/>
        </w:rPr>
        <w:t>28</w:t>
      </w:r>
      <w:r w:rsidR="00AB65C6">
        <w:rPr>
          <w:noProof/>
        </w:rPr>
        <w:fldChar w:fldCharType="end"/>
      </w:r>
      <w:r w:rsidR="004B4DD0">
        <w:rPr>
          <w:noProof/>
        </w:rPr>
        <w:t>.</w:t>
      </w:r>
      <w:r>
        <w:t xml:space="preserve"> Czy </w:t>
      </w:r>
      <w:r w:rsidRPr="00421A47">
        <w:t>Państwa zdaniem bez realizacji projektu współfinansowanego ze środków RPO WSL możliwe byłoby: (% odpowiedzi „nie”</w:t>
      </w:r>
      <w:r>
        <w:t>, wszystkie działania)</w:t>
      </w:r>
      <w:bookmarkEnd w:id="78"/>
    </w:p>
    <w:tbl>
      <w:tblPr>
        <w:tblStyle w:val="Tabelalisty3akcent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zy Państwa zdaniem bez realizacji projektu współfinansowanego ze środków RPO WSL możliwe byłoby: (% odpowiedzi „nie”, wszystkie działania)"/>
        <w:tblDescription w:val="Tabela przedstawia procentowy rozkład odpowiedzi nauczycieli i dyrektorów na pytanie wielokrotnego wyboru: &quot;Czy Państwa zdaniem bez realizacji projektu współfinansowanego ze środków RPO WSL możliwe byłoby:...&quot; - w którym podano możliwe do uzyskania efekty realizacji projektu współfinnsowanego ze środków RPO WSL."/>
      </w:tblPr>
      <w:tblGrid>
        <w:gridCol w:w="6925"/>
        <w:gridCol w:w="2135"/>
      </w:tblGrid>
      <w:tr w:rsidR="00151C42" w:rsidRPr="00151C42" w14:paraId="5B619396" w14:textId="77777777" w:rsidTr="00F04F98">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7054" w:type="dxa"/>
          </w:tcPr>
          <w:p w14:paraId="574572E6" w14:textId="77777777" w:rsidR="00151C42" w:rsidRPr="00151C42" w:rsidRDefault="00151C42" w:rsidP="00DF64C7">
            <w:pPr>
              <w:jc w:val="left"/>
              <w:rPr>
                <w:rFonts w:cs="Arial"/>
                <w:sz w:val="20"/>
                <w:szCs w:val="20"/>
              </w:rPr>
            </w:pPr>
            <w:r w:rsidRPr="00151C42">
              <w:rPr>
                <w:rFonts w:cs="Arial"/>
                <w:sz w:val="20"/>
                <w:szCs w:val="20"/>
              </w:rPr>
              <w:t>Efekt projektu współfinansowanego ze środków RPO WSL</w:t>
            </w:r>
          </w:p>
        </w:tc>
        <w:tc>
          <w:tcPr>
            <w:tcW w:w="2158" w:type="dxa"/>
            <w:vAlign w:val="center"/>
          </w:tcPr>
          <w:p w14:paraId="1E55C48A" w14:textId="77777777" w:rsidR="00151C42" w:rsidRPr="00151C42" w:rsidRDefault="00151C42"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151C42">
              <w:rPr>
                <w:rFonts w:cs="Arial"/>
                <w:sz w:val="20"/>
                <w:szCs w:val="20"/>
              </w:rPr>
              <w:t>% odpowiedzi „nie”</w:t>
            </w:r>
          </w:p>
        </w:tc>
      </w:tr>
      <w:tr w:rsidR="00151C42" w:rsidRPr="00151C42" w14:paraId="227E922D"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54" w:type="dxa"/>
          </w:tcPr>
          <w:p w14:paraId="4967B6D6" w14:textId="77777777" w:rsidR="00151C42" w:rsidRPr="00151C42" w:rsidRDefault="00151C42" w:rsidP="00DF64C7">
            <w:pPr>
              <w:jc w:val="left"/>
              <w:rPr>
                <w:rFonts w:cs="Arial"/>
                <w:b w:val="0"/>
                <w:sz w:val="20"/>
                <w:szCs w:val="20"/>
              </w:rPr>
            </w:pPr>
            <w:r w:rsidRPr="00151C42">
              <w:rPr>
                <w:rFonts w:cs="Arial"/>
                <w:b w:val="0"/>
                <w:sz w:val="20"/>
                <w:szCs w:val="20"/>
              </w:rPr>
              <w:t>Stworzenie w szkole i placówkach prowadzących kształcenie zawodowe warunków kształcenia zawodu, odzwierciedlających naturalne warunki pracy</w:t>
            </w:r>
          </w:p>
        </w:tc>
        <w:tc>
          <w:tcPr>
            <w:tcW w:w="2158" w:type="dxa"/>
            <w:vAlign w:val="center"/>
          </w:tcPr>
          <w:p w14:paraId="2ADE0550" w14:textId="77777777" w:rsidR="00151C42" w:rsidRPr="00151C42" w:rsidRDefault="00151C42" w:rsidP="003E5E36">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51C42">
              <w:rPr>
                <w:rFonts w:cs="Arial"/>
                <w:sz w:val="20"/>
                <w:szCs w:val="20"/>
              </w:rPr>
              <w:t>96,0%</w:t>
            </w:r>
          </w:p>
        </w:tc>
      </w:tr>
      <w:tr w:rsidR="00151C42" w:rsidRPr="00151C42" w14:paraId="70C52062" w14:textId="77777777" w:rsidTr="00F04F98">
        <w:trPr>
          <w:trHeight w:val="113"/>
        </w:trPr>
        <w:tc>
          <w:tcPr>
            <w:cnfStyle w:val="001000000000" w:firstRow="0" w:lastRow="0" w:firstColumn="1" w:lastColumn="0" w:oddVBand="0" w:evenVBand="0" w:oddHBand="0" w:evenHBand="0" w:firstRowFirstColumn="0" w:firstRowLastColumn="0" w:lastRowFirstColumn="0" w:lastRowLastColumn="0"/>
            <w:tcW w:w="7054" w:type="dxa"/>
          </w:tcPr>
          <w:p w14:paraId="6CBA8018" w14:textId="77777777" w:rsidR="00151C42" w:rsidRPr="00151C42" w:rsidRDefault="00151C42" w:rsidP="00DF64C7">
            <w:pPr>
              <w:jc w:val="left"/>
              <w:rPr>
                <w:rFonts w:cs="Arial"/>
                <w:b w:val="0"/>
                <w:sz w:val="20"/>
                <w:szCs w:val="20"/>
              </w:rPr>
            </w:pPr>
            <w:r w:rsidRPr="00151C42">
              <w:rPr>
                <w:rFonts w:cs="Arial"/>
                <w:b w:val="0"/>
                <w:sz w:val="20"/>
                <w:szCs w:val="20"/>
              </w:rPr>
              <w:t>Dodatkowe zajęcia specjalistyczne (szkolenia i kursy zawodowe)</w:t>
            </w:r>
          </w:p>
        </w:tc>
        <w:tc>
          <w:tcPr>
            <w:tcW w:w="2158" w:type="dxa"/>
            <w:vAlign w:val="center"/>
          </w:tcPr>
          <w:p w14:paraId="49D0F7F4" w14:textId="77777777" w:rsidR="00151C42" w:rsidRPr="00151C42" w:rsidRDefault="00151C42" w:rsidP="003E5E36">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51C42">
              <w:rPr>
                <w:rFonts w:cs="Arial"/>
                <w:sz w:val="20"/>
                <w:szCs w:val="20"/>
              </w:rPr>
              <w:t>92,0%</w:t>
            </w:r>
          </w:p>
        </w:tc>
      </w:tr>
      <w:tr w:rsidR="00151C42" w:rsidRPr="00151C42" w14:paraId="577080F4"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54" w:type="dxa"/>
          </w:tcPr>
          <w:p w14:paraId="55783A26" w14:textId="77777777" w:rsidR="00151C42" w:rsidRPr="00151C42" w:rsidRDefault="00151C42" w:rsidP="00DF64C7">
            <w:pPr>
              <w:jc w:val="left"/>
              <w:rPr>
                <w:rFonts w:cs="Arial"/>
                <w:b w:val="0"/>
                <w:sz w:val="20"/>
                <w:szCs w:val="20"/>
              </w:rPr>
            </w:pPr>
            <w:r w:rsidRPr="00151C42">
              <w:rPr>
                <w:rFonts w:cs="Arial"/>
                <w:b w:val="0"/>
                <w:sz w:val="20"/>
                <w:szCs w:val="20"/>
              </w:rPr>
              <w:t>Doposażenie pracowni praktycznej nauki zawodu w nowoczesny sprzęt i materiały dydaktyczne</w:t>
            </w:r>
          </w:p>
        </w:tc>
        <w:tc>
          <w:tcPr>
            <w:tcW w:w="2158" w:type="dxa"/>
            <w:vAlign w:val="center"/>
          </w:tcPr>
          <w:p w14:paraId="005BA909" w14:textId="77777777" w:rsidR="00151C42" w:rsidRPr="00151C42" w:rsidRDefault="00151C42" w:rsidP="003E5E36">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51C42">
              <w:rPr>
                <w:rFonts w:cs="Arial"/>
                <w:sz w:val="20"/>
                <w:szCs w:val="20"/>
              </w:rPr>
              <w:t>89,0%</w:t>
            </w:r>
          </w:p>
        </w:tc>
      </w:tr>
      <w:tr w:rsidR="00151C42" w:rsidRPr="00151C42" w14:paraId="38552CAA" w14:textId="77777777" w:rsidTr="00F04F98">
        <w:trPr>
          <w:trHeight w:val="113"/>
        </w:trPr>
        <w:tc>
          <w:tcPr>
            <w:cnfStyle w:val="001000000000" w:firstRow="0" w:lastRow="0" w:firstColumn="1" w:lastColumn="0" w:oddVBand="0" w:evenVBand="0" w:oddHBand="0" w:evenHBand="0" w:firstRowFirstColumn="0" w:firstRowLastColumn="0" w:lastRowFirstColumn="0" w:lastRowLastColumn="0"/>
            <w:tcW w:w="7054" w:type="dxa"/>
          </w:tcPr>
          <w:p w14:paraId="121003CF" w14:textId="77777777" w:rsidR="00151C42" w:rsidRPr="00151C42" w:rsidRDefault="00151C42" w:rsidP="00DF64C7">
            <w:pPr>
              <w:jc w:val="left"/>
              <w:rPr>
                <w:rFonts w:cs="Arial"/>
                <w:b w:val="0"/>
                <w:sz w:val="20"/>
                <w:szCs w:val="20"/>
              </w:rPr>
            </w:pPr>
            <w:r w:rsidRPr="00151C42">
              <w:rPr>
                <w:rFonts w:cs="Arial"/>
                <w:b w:val="0"/>
                <w:sz w:val="20"/>
                <w:szCs w:val="20"/>
              </w:rPr>
              <w:t>Rozszerzenie oferty o dodatkowe zajęcia wyrównujące szanse edukacyjne dzieci</w:t>
            </w:r>
          </w:p>
        </w:tc>
        <w:tc>
          <w:tcPr>
            <w:tcW w:w="2158" w:type="dxa"/>
            <w:vAlign w:val="center"/>
          </w:tcPr>
          <w:p w14:paraId="0B6EE508" w14:textId="77777777" w:rsidR="00151C42" w:rsidRPr="00151C42" w:rsidRDefault="00151C42" w:rsidP="003E5E36">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51C42">
              <w:rPr>
                <w:rFonts w:cs="Arial"/>
                <w:sz w:val="20"/>
                <w:szCs w:val="20"/>
              </w:rPr>
              <w:t>87,6%</w:t>
            </w:r>
          </w:p>
        </w:tc>
      </w:tr>
      <w:tr w:rsidR="00151C42" w:rsidRPr="00151C42" w14:paraId="708A3A19"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54" w:type="dxa"/>
          </w:tcPr>
          <w:p w14:paraId="369F378C" w14:textId="77777777" w:rsidR="00151C42" w:rsidRPr="00151C42" w:rsidRDefault="00151C42" w:rsidP="00DF64C7">
            <w:pPr>
              <w:jc w:val="left"/>
              <w:rPr>
                <w:rFonts w:cs="Arial"/>
                <w:b w:val="0"/>
                <w:sz w:val="20"/>
                <w:szCs w:val="20"/>
              </w:rPr>
            </w:pPr>
            <w:r w:rsidRPr="00151C42">
              <w:rPr>
                <w:rFonts w:cs="Arial"/>
                <w:b w:val="0"/>
                <w:sz w:val="20"/>
                <w:szCs w:val="20"/>
              </w:rPr>
              <w:t>Doposażenie placówki w niezbędny sprzęt i materiały dydaktyczne</w:t>
            </w:r>
          </w:p>
        </w:tc>
        <w:tc>
          <w:tcPr>
            <w:tcW w:w="2158" w:type="dxa"/>
            <w:vAlign w:val="center"/>
          </w:tcPr>
          <w:p w14:paraId="1522BBC5" w14:textId="77777777" w:rsidR="00151C42" w:rsidRPr="00151C42" w:rsidRDefault="00151C42" w:rsidP="003E5E36">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51C42">
              <w:rPr>
                <w:rFonts w:cs="Arial"/>
                <w:sz w:val="20"/>
                <w:szCs w:val="20"/>
              </w:rPr>
              <w:t>83,3%</w:t>
            </w:r>
          </w:p>
        </w:tc>
      </w:tr>
      <w:tr w:rsidR="00151C42" w:rsidRPr="00151C42" w14:paraId="1813FC8F" w14:textId="77777777" w:rsidTr="00F04F98">
        <w:trPr>
          <w:trHeight w:val="113"/>
        </w:trPr>
        <w:tc>
          <w:tcPr>
            <w:cnfStyle w:val="001000000000" w:firstRow="0" w:lastRow="0" w:firstColumn="1" w:lastColumn="0" w:oddVBand="0" w:evenVBand="0" w:oddHBand="0" w:evenHBand="0" w:firstRowFirstColumn="0" w:firstRowLastColumn="0" w:lastRowFirstColumn="0" w:lastRowLastColumn="0"/>
            <w:tcW w:w="7054" w:type="dxa"/>
          </w:tcPr>
          <w:p w14:paraId="01E3C081" w14:textId="77777777" w:rsidR="00151C42" w:rsidRPr="00151C42" w:rsidRDefault="00151C42" w:rsidP="00DF64C7">
            <w:pPr>
              <w:jc w:val="left"/>
              <w:rPr>
                <w:rFonts w:cs="Arial"/>
                <w:b w:val="0"/>
                <w:sz w:val="20"/>
                <w:szCs w:val="20"/>
              </w:rPr>
            </w:pPr>
            <w:r w:rsidRPr="00151C42">
              <w:rPr>
                <w:rFonts w:cs="Arial"/>
                <w:b w:val="0"/>
                <w:sz w:val="20"/>
                <w:szCs w:val="20"/>
              </w:rPr>
              <w:t>Tworzenie nowych miejsc wychowania przedszkolnego</w:t>
            </w:r>
          </w:p>
        </w:tc>
        <w:tc>
          <w:tcPr>
            <w:tcW w:w="2158" w:type="dxa"/>
            <w:vAlign w:val="center"/>
          </w:tcPr>
          <w:p w14:paraId="195CCC3D" w14:textId="77777777" w:rsidR="00151C42" w:rsidRPr="00151C42" w:rsidRDefault="00151C42" w:rsidP="003E5E36">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51C42">
              <w:rPr>
                <w:rFonts w:cs="Arial"/>
                <w:sz w:val="20"/>
                <w:szCs w:val="20"/>
              </w:rPr>
              <w:t>82,5%</w:t>
            </w:r>
          </w:p>
        </w:tc>
      </w:tr>
      <w:tr w:rsidR="00151C42" w:rsidRPr="00151C42" w14:paraId="1F2B9A59"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54" w:type="dxa"/>
          </w:tcPr>
          <w:p w14:paraId="51CCAD80" w14:textId="77777777" w:rsidR="00151C42" w:rsidRPr="00151C42" w:rsidRDefault="00151C42" w:rsidP="00DF64C7">
            <w:pPr>
              <w:jc w:val="left"/>
              <w:rPr>
                <w:rFonts w:cs="Arial"/>
                <w:b w:val="0"/>
                <w:sz w:val="20"/>
                <w:szCs w:val="20"/>
              </w:rPr>
            </w:pPr>
            <w:r w:rsidRPr="00151C42">
              <w:rPr>
                <w:rFonts w:cs="Arial"/>
                <w:b w:val="0"/>
                <w:sz w:val="20"/>
                <w:szCs w:val="20"/>
              </w:rPr>
              <w:t>Dostosowanie istniejących miejsc wychowania przedszkolnego do potrzeb dzieci z niepełnosprawnościami lub realizacja dodatkowej oferty dla takich dzieci</w:t>
            </w:r>
          </w:p>
        </w:tc>
        <w:tc>
          <w:tcPr>
            <w:tcW w:w="2158" w:type="dxa"/>
            <w:vAlign w:val="center"/>
          </w:tcPr>
          <w:p w14:paraId="3428E024" w14:textId="77777777" w:rsidR="00151C42" w:rsidRPr="00151C42" w:rsidRDefault="00151C42" w:rsidP="003E5E36">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51C42">
              <w:rPr>
                <w:rFonts w:cs="Arial"/>
                <w:sz w:val="20"/>
                <w:szCs w:val="20"/>
              </w:rPr>
              <w:t>77,7%</w:t>
            </w:r>
          </w:p>
        </w:tc>
      </w:tr>
      <w:tr w:rsidR="00151C42" w:rsidRPr="00151C42" w14:paraId="3CB0D1D2" w14:textId="77777777" w:rsidTr="00F04F98">
        <w:trPr>
          <w:trHeight w:val="113"/>
        </w:trPr>
        <w:tc>
          <w:tcPr>
            <w:cnfStyle w:val="001000000000" w:firstRow="0" w:lastRow="0" w:firstColumn="1" w:lastColumn="0" w:oddVBand="0" w:evenVBand="0" w:oddHBand="0" w:evenHBand="0" w:firstRowFirstColumn="0" w:firstRowLastColumn="0" w:lastRowFirstColumn="0" w:lastRowLastColumn="0"/>
            <w:tcW w:w="7054" w:type="dxa"/>
          </w:tcPr>
          <w:p w14:paraId="66CD16EE" w14:textId="77777777" w:rsidR="00151C42" w:rsidRPr="00151C42" w:rsidRDefault="00151C42" w:rsidP="00DF64C7">
            <w:pPr>
              <w:jc w:val="left"/>
              <w:rPr>
                <w:rFonts w:cs="Arial"/>
                <w:b w:val="0"/>
                <w:sz w:val="20"/>
                <w:szCs w:val="20"/>
              </w:rPr>
            </w:pPr>
            <w:r w:rsidRPr="00151C42">
              <w:rPr>
                <w:rFonts w:cs="Arial"/>
                <w:b w:val="0"/>
                <w:sz w:val="20"/>
                <w:szCs w:val="20"/>
              </w:rPr>
              <w:t>Podnoszenie umiejętności oraz uzyskiwanie kwalifikacji zawodowych przez uczniów i wzmacnianie ich zdolności do zatrudnienia</w:t>
            </w:r>
          </w:p>
        </w:tc>
        <w:tc>
          <w:tcPr>
            <w:tcW w:w="2158" w:type="dxa"/>
            <w:vAlign w:val="center"/>
          </w:tcPr>
          <w:p w14:paraId="64F5970E" w14:textId="77777777" w:rsidR="00151C42" w:rsidRPr="00151C42" w:rsidRDefault="00151C42" w:rsidP="003E5E36">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51C42">
              <w:rPr>
                <w:rFonts w:cs="Arial"/>
                <w:sz w:val="20"/>
                <w:szCs w:val="20"/>
              </w:rPr>
              <w:t>77,7%</w:t>
            </w:r>
          </w:p>
        </w:tc>
      </w:tr>
      <w:tr w:rsidR="00151C42" w:rsidRPr="00151C42" w14:paraId="2859B3C6"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54" w:type="dxa"/>
          </w:tcPr>
          <w:p w14:paraId="666E480B" w14:textId="77777777" w:rsidR="00151C42" w:rsidRPr="00151C42" w:rsidRDefault="00151C42" w:rsidP="00DF64C7">
            <w:pPr>
              <w:jc w:val="left"/>
              <w:rPr>
                <w:rFonts w:cs="Arial"/>
                <w:b w:val="0"/>
                <w:sz w:val="20"/>
                <w:szCs w:val="20"/>
              </w:rPr>
            </w:pPr>
            <w:r w:rsidRPr="00151C42">
              <w:rPr>
                <w:rFonts w:cs="Arial"/>
                <w:b w:val="0"/>
                <w:sz w:val="20"/>
                <w:szCs w:val="20"/>
              </w:rPr>
              <w:t>Stworzenie warunków do nauczania opartego na metodzie eksperymentu</w:t>
            </w:r>
          </w:p>
        </w:tc>
        <w:tc>
          <w:tcPr>
            <w:tcW w:w="2158" w:type="dxa"/>
            <w:vAlign w:val="center"/>
          </w:tcPr>
          <w:p w14:paraId="2FCEB746" w14:textId="77777777" w:rsidR="00151C42" w:rsidRPr="00151C42" w:rsidRDefault="00151C42" w:rsidP="003E5E36">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51C42">
              <w:rPr>
                <w:rFonts w:cs="Arial"/>
                <w:sz w:val="20"/>
                <w:szCs w:val="20"/>
              </w:rPr>
              <w:t>74,2%</w:t>
            </w:r>
          </w:p>
        </w:tc>
      </w:tr>
      <w:tr w:rsidR="00151C42" w:rsidRPr="00151C42" w14:paraId="18BFBC6D" w14:textId="77777777" w:rsidTr="00F04F98">
        <w:trPr>
          <w:trHeight w:val="113"/>
        </w:trPr>
        <w:tc>
          <w:tcPr>
            <w:cnfStyle w:val="001000000000" w:firstRow="0" w:lastRow="0" w:firstColumn="1" w:lastColumn="0" w:oddVBand="0" w:evenVBand="0" w:oddHBand="0" w:evenHBand="0" w:firstRowFirstColumn="0" w:firstRowLastColumn="0" w:lastRowFirstColumn="0" w:lastRowLastColumn="0"/>
            <w:tcW w:w="7054" w:type="dxa"/>
          </w:tcPr>
          <w:p w14:paraId="14528760" w14:textId="77777777" w:rsidR="00151C42" w:rsidRPr="00151C42" w:rsidRDefault="00151C42" w:rsidP="00DF64C7">
            <w:pPr>
              <w:jc w:val="left"/>
              <w:rPr>
                <w:rFonts w:cs="Arial"/>
                <w:b w:val="0"/>
                <w:sz w:val="20"/>
                <w:szCs w:val="20"/>
              </w:rPr>
            </w:pPr>
            <w:r w:rsidRPr="00151C42">
              <w:rPr>
                <w:rFonts w:cs="Arial"/>
                <w:b w:val="0"/>
                <w:sz w:val="20"/>
                <w:szCs w:val="20"/>
              </w:rPr>
              <w:t>Wydłużenie godzin pracy przedszkola</w:t>
            </w:r>
          </w:p>
        </w:tc>
        <w:tc>
          <w:tcPr>
            <w:tcW w:w="2158" w:type="dxa"/>
            <w:vAlign w:val="center"/>
          </w:tcPr>
          <w:p w14:paraId="3D203C8D" w14:textId="77777777" w:rsidR="00151C42" w:rsidRPr="00151C42" w:rsidRDefault="00151C42" w:rsidP="003E5E36">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51C42">
              <w:rPr>
                <w:rFonts w:cs="Arial"/>
                <w:sz w:val="20"/>
                <w:szCs w:val="20"/>
              </w:rPr>
              <w:t>60,6%</w:t>
            </w:r>
          </w:p>
        </w:tc>
      </w:tr>
      <w:tr w:rsidR="00151C42" w:rsidRPr="00151C42" w14:paraId="234C221F"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54" w:type="dxa"/>
          </w:tcPr>
          <w:p w14:paraId="0EAC54DA" w14:textId="77777777" w:rsidR="00151C42" w:rsidRPr="00151C42" w:rsidRDefault="00151C42" w:rsidP="00DF64C7">
            <w:pPr>
              <w:jc w:val="left"/>
              <w:rPr>
                <w:rFonts w:cs="Arial"/>
                <w:b w:val="0"/>
                <w:sz w:val="20"/>
                <w:szCs w:val="20"/>
              </w:rPr>
            </w:pPr>
            <w:r w:rsidRPr="00151C42">
              <w:rPr>
                <w:rFonts w:cs="Arial"/>
                <w:b w:val="0"/>
                <w:sz w:val="20"/>
                <w:szCs w:val="20"/>
              </w:rPr>
              <w:t>Oferowanie zajęć dla uczniów z zakresu kształtowania kompetencji kluczowych i umiejętności uniwersalnych</w:t>
            </w:r>
            <w:r w:rsidR="00DC26C0">
              <w:rPr>
                <w:rFonts w:cs="Arial"/>
                <w:b w:val="0"/>
                <w:sz w:val="20"/>
                <w:szCs w:val="20"/>
              </w:rPr>
              <w:t xml:space="preserve"> </w:t>
            </w:r>
            <w:r w:rsidRPr="00151C42">
              <w:rPr>
                <w:rFonts w:cs="Arial"/>
                <w:b w:val="0"/>
                <w:sz w:val="20"/>
                <w:szCs w:val="20"/>
              </w:rPr>
              <w:t>niezbędnych na rynku pracy</w:t>
            </w:r>
          </w:p>
        </w:tc>
        <w:tc>
          <w:tcPr>
            <w:tcW w:w="2158" w:type="dxa"/>
            <w:vAlign w:val="center"/>
          </w:tcPr>
          <w:p w14:paraId="043FEBF7" w14:textId="77777777" w:rsidR="00151C42" w:rsidRPr="00151C42" w:rsidRDefault="00151C42" w:rsidP="003E5E36">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51C42">
              <w:rPr>
                <w:rFonts w:cs="Arial"/>
                <w:sz w:val="20"/>
                <w:szCs w:val="20"/>
              </w:rPr>
              <w:t>60,3%</w:t>
            </w:r>
          </w:p>
        </w:tc>
      </w:tr>
      <w:tr w:rsidR="00151C42" w:rsidRPr="00151C42" w14:paraId="4E17E2E0" w14:textId="77777777" w:rsidTr="00F04F98">
        <w:trPr>
          <w:trHeight w:val="113"/>
        </w:trPr>
        <w:tc>
          <w:tcPr>
            <w:cnfStyle w:val="001000000000" w:firstRow="0" w:lastRow="0" w:firstColumn="1" w:lastColumn="0" w:oddVBand="0" w:evenVBand="0" w:oddHBand="0" w:evenHBand="0" w:firstRowFirstColumn="0" w:firstRowLastColumn="0" w:lastRowFirstColumn="0" w:lastRowLastColumn="0"/>
            <w:tcW w:w="7054" w:type="dxa"/>
          </w:tcPr>
          <w:p w14:paraId="3AC5CC5D" w14:textId="77777777" w:rsidR="00151C42" w:rsidRPr="00151C42" w:rsidRDefault="00151C42" w:rsidP="00DF64C7">
            <w:pPr>
              <w:jc w:val="left"/>
              <w:rPr>
                <w:rFonts w:cs="Arial"/>
                <w:b w:val="0"/>
                <w:sz w:val="20"/>
                <w:szCs w:val="20"/>
              </w:rPr>
            </w:pPr>
            <w:r w:rsidRPr="00151C42">
              <w:rPr>
                <w:rFonts w:cs="Arial"/>
                <w:b w:val="0"/>
                <w:sz w:val="20"/>
                <w:szCs w:val="20"/>
              </w:rPr>
              <w:t>Realizacja zajęć z zakresu doradztwa edukacyjno-zawodowego</w:t>
            </w:r>
          </w:p>
        </w:tc>
        <w:tc>
          <w:tcPr>
            <w:tcW w:w="2158" w:type="dxa"/>
            <w:vAlign w:val="center"/>
          </w:tcPr>
          <w:p w14:paraId="513DE21A" w14:textId="77777777" w:rsidR="00151C42" w:rsidRPr="00151C42" w:rsidRDefault="00151C42" w:rsidP="003E5E36">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51C42">
              <w:rPr>
                <w:rFonts w:cs="Arial"/>
                <w:sz w:val="20"/>
                <w:szCs w:val="20"/>
              </w:rPr>
              <w:t>59,4%</w:t>
            </w:r>
          </w:p>
        </w:tc>
      </w:tr>
      <w:tr w:rsidR="00151C42" w:rsidRPr="00151C42" w14:paraId="27B89BFB"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54" w:type="dxa"/>
          </w:tcPr>
          <w:p w14:paraId="056786A4" w14:textId="77777777" w:rsidR="00151C42" w:rsidRPr="00151C42" w:rsidRDefault="00151C42" w:rsidP="00DF64C7">
            <w:pPr>
              <w:jc w:val="left"/>
              <w:rPr>
                <w:rFonts w:cs="Arial"/>
                <w:b w:val="0"/>
                <w:sz w:val="20"/>
                <w:szCs w:val="20"/>
              </w:rPr>
            </w:pPr>
            <w:r w:rsidRPr="00151C42">
              <w:rPr>
                <w:rFonts w:cs="Arial"/>
                <w:b w:val="0"/>
                <w:sz w:val="20"/>
                <w:szCs w:val="20"/>
              </w:rPr>
              <w:t>Stworzenie oferty zajęć rozwijających dla uczniów uzdolnionych</w:t>
            </w:r>
          </w:p>
        </w:tc>
        <w:tc>
          <w:tcPr>
            <w:tcW w:w="2158" w:type="dxa"/>
            <w:vAlign w:val="center"/>
          </w:tcPr>
          <w:p w14:paraId="6FA4FE31" w14:textId="77777777" w:rsidR="00151C42" w:rsidRPr="00151C42" w:rsidRDefault="00151C42" w:rsidP="003E5E36">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51C42">
              <w:rPr>
                <w:rFonts w:cs="Arial"/>
                <w:sz w:val="20"/>
                <w:szCs w:val="20"/>
              </w:rPr>
              <w:t>55,7%</w:t>
            </w:r>
          </w:p>
        </w:tc>
      </w:tr>
      <w:tr w:rsidR="00151C42" w:rsidRPr="00151C42" w14:paraId="45FFA44B" w14:textId="77777777" w:rsidTr="00F04F98">
        <w:trPr>
          <w:trHeight w:val="113"/>
        </w:trPr>
        <w:tc>
          <w:tcPr>
            <w:cnfStyle w:val="001000000000" w:firstRow="0" w:lastRow="0" w:firstColumn="1" w:lastColumn="0" w:oddVBand="0" w:evenVBand="0" w:oddHBand="0" w:evenHBand="0" w:firstRowFirstColumn="0" w:firstRowLastColumn="0" w:lastRowFirstColumn="0" w:lastRowLastColumn="0"/>
            <w:tcW w:w="7054" w:type="dxa"/>
          </w:tcPr>
          <w:p w14:paraId="7044C186" w14:textId="77777777" w:rsidR="00151C42" w:rsidRPr="00151C42" w:rsidRDefault="00151C42" w:rsidP="00DF64C7">
            <w:pPr>
              <w:jc w:val="left"/>
              <w:rPr>
                <w:rFonts w:cs="Arial"/>
                <w:b w:val="0"/>
                <w:sz w:val="20"/>
                <w:szCs w:val="20"/>
              </w:rPr>
            </w:pPr>
            <w:r w:rsidRPr="00151C42">
              <w:rPr>
                <w:rFonts w:cs="Arial"/>
                <w:b w:val="0"/>
                <w:sz w:val="20"/>
                <w:szCs w:val="20"/>
              </w:rPr>
              <w:t>Rozwój współpracy szkół z pracodawcami (praktyki i staże zawodowe u pracodawców)</w:t>
            </w:r>
          </w:p>
        </w:tc>
        <w:tc>
          <w:tcPr>
            <w:tcW w:w="2158" w:type="dxa"/>
            <w:vAlign w:val="center"/>
          </w:tcPr>
          <w:p w14:paraId="18C12D9D" w14:textId="77777777" w:rsidR="00151C42" w:rsidRPr="00151C42" w:rsidRDefault="00151C42" w:rsidP="003E5E36">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51C42">
              <w:rPr>
                <w:rFonts w:cs="Arial"/>
                <w:sz w:val="20"/>
                <w:szCs w:val="20"/>
              </w:rPr>
              <w:t>52,1%</w:t>
            </w:r>
          </w:p>
        </w:tc>
      </w:tr>
      <w:tr w:rsidR="00151C42" w:rsidRPr="00151C42" w14:paraId="7B28A2A6"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54" w:type="dxa"/>
          </w:tcPr>
          <w:p w14:paraId="7B4EBD4A" w14:textId="77777777" w:rsidR="00151C42" w:rsidRPr="00151C42" w:rsidRDefault="00151C42" w:rsidP="00DF64C7">
            <w:pPr>
              <w:jc w:val="left"/>
              <w:rPr>
                <w:rFonts w:cs="Arial"/>
                <w:b w:val="0"/>
                <w:sz w:val="20"/>
                <w:szCs w:val="20"/>
              </w:rPr>
            </w:pPr>
            <w:r w:rsidRPr="00151C42">
              <w:rPr>
                <w:rFonts w:cs="Arial"/>
                <w:b w:val="0"/>
                <w:sz w:val="20"/>
                <w:szCs w:val="20"/>
              </w:rPr>
              <w:t>Doskonalenie umiejętności i kompetencji zawodowych nauczycieli zawodu i instruktorów praktycznej nauki zawodu</w:t>
            </w:r>
          </w:p>
        </w:tc>
        <w:tc>
          <w:tcPr>
            <w:tcW w:w="2158" w:type="dxa"/>
            <w:vAlign w:val="center"/>
          </w:tcPr>
          <w:p w14:paraId="16C0BD3E" w14:textId="77777777" w:rsidR="00151C42" w:rsidRPr="00151C42" w:rsidRDefault="00151C42" w:rsidP="003E5E36">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51C42">
              <w:rPr>
                <w:rFonts w:cs="Arial"/>
                <w:sz w:val="20"/>
                <w:szCs w:val="20"/>
              </w:rPr>
              <w:t>49,1%</w:t>
            </w:r>
          </w:p>
        </w:tc>
      </w:tr>
      <w:tr w:rsidR="00151C42" w:rsidRPr="00151C42" w14:paraId="662652D6" w14:textId="77777777" w:rsidTr="00F04F98">
        <w:trPr>
          <w:trHeight w:val="113"/>
        </w:trPr>
        <w:tc>
          <w:tcPr>
            <w:cnfStyle w:val="001000000000" w:firstRow="0" w:lastRow="0" w:firstColumn="1" w:lastColumn="0" w:oddVBand="0" w:evenVBand="0" w:oddHBand="0" w:evenHBand="0" w:firstRowFirstColumn="0" w:firstRowLastColumn="0" w:lastRowFirstColumn="0" w:lastRowLastColumn="0"/>
            <w:tcW w:w="7054" w:type="dxa"/>
          </w:tcPr>
          <w:p w14:paraId="60F4C42C" w14:textId="77777777" w:rsidR="00151C42" w:rsidRPr="00151C42" w:rsidRDefault="00151C42" w:rsidP="00DF64C7">
            <w:pPr>
              <w:jc w:val="left"/>
              <w:rPr>
                <w:rFonts w:cs="Arial"/>
                <w:b w:val="0"/>
                <w:sz w:val="20"/>
                <w:szCs w:val="20"/>
              </w:rPr>
            </w:pPr>
            <w:r w:rsidRPr="00151C42">
              <w:rPr>
                <w:rFonts w:cs="Arial"/>
                <w:b w:val="0"/>
                <w:sz w:val="20"/>
                <w:szCs w:val="20"/>
              </w:rPr>
              <w:t>Doskonalenie umiejętności, kompetencji lub kwalifikacji nauczycieli ośrodków wychowania przedszkolnego</w:t>
            </w:r>
          </w:p>
        </w:tc>
        <w:tc>
          <w:tcPr>
            <w:tcW w:w="2158" w:type="dxa"/>
            <w:vAlign w:val="center"/>
          </w:tcPr>
          <w:p w14:paraId="2916AE38" w14:textId="77777777" w:rsidR="00151C42" w:rsidRPr="00151C42" w:rsidRDefault="00151C42" w:rsidP="003E5E36">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51C42">
              <w:rPr>
                <w:rFonts w:cs="Arial"/>
                <w:sz w:val="20"/>
                <w:szCs w:val="20"/>
              </w:rPr>
              <w:t>47,8%</w:t>
            </w:r>
          </w:p>
        </w:tc>
      </w:tr>
      <w:tr w:rsidR="00151C42" w:rsidRPr="00151C42" w14:paraId="1AC7CE4A"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54" w:type="dxa"/>
          </w:tcPr>
          <w:p w14:paraId="6744DA4B" w14:textId="77777777" w:rsidR="00151C42" w:rsidRPr="00151C42" w:rsidRDefault="00151C42" w:rsidP="00DF64C7">
            <w:pPr>
              <w:jc w:val="left"/>
              <w:rPr>
                <w:rFonts w:cs="Arial"/>
                <w:b w:val="0"/>
                <w:sz w:val="20"/>
                <w:szCs w:val="20"/>
              </w:rPr>
            </w:pPr>
            <w:r w:rsidRPr="00151C42">
              <w:rPr>
                <w:rFonts w:cs="Arial"/>
                <w:b w:val="0"/>
                <w:sz w:val="20"/>
                <w:szCs w:val="20"/>
              </w:rPr>
              <w:t>Oferowanie dodatkowych zajęć dydaktyczno-wyrównawczych dla uczniów</w:t>
            </w:r>
          </w:p>
        </w:tc>
        <w:tc>
          <w:tcPr>
            <w:tcW w:w="2158" w:type="dxa"/>
            <w:vAlign w:val="center"/>
          </w:tcPr>
          <w:p w14:paraId="5777676E" w14:textId="77777777" w:rsidR="00151C42" w:rsidRPr="00151C42" w:rsidRDefault="00151C42" w:rsidP="003E5E36">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51C42">
              <w:rPr>
                <w:rFonts w:cs="Arial"/>
                <w:sz w:val="20"/>
                <w:szCs w:val="20"/>
              </w:rPr>
              <w:t>46,4%</w:t>
            </w:r>
          </w:p>
        </w:tc>
      </w:tr>
      <w:tr w:rsidR="00151C42" w:rsidRPr="00151C42" w14:paraId="41538C2D" w14:textId="77777777" w:rsidTr="00F04F98">
        <w:trPr>
          <w:trHeight w:val="113"/>
        </w:trPr>
        <w:tc>
          <w:tcPr>
            <w:cnfStyle w:val="001000000000" w:firstRow="0" w:lastRow="0" w:firstColumn="1" w:lastColumn="0" w:oddVBand="0" w:evenVBand="0" w:oddHBand="0" w:evenHBand="0" w:firstRowFirstColumn="0" w:firstRowLastColumn="0" w:lastRowFirstColumn="0" w:lastRowLastColumn="0"/>
            <w:tcW w:w="7054" w:type="dxa"/>
          </w:tcPr>
          <w:p w14:paraId="7E41B2DD" w14:textId="77777777" w:rsidR="00151C42" w:rsidRPr="00151C42" w:rsidRDefault="00151C42" w:rsidP="00DF64C7">
            <w:pPr>
              <w:jc w:val="left"/>
              <w:rPr>
                <w:rFonts w:cs="Arial"/>
                <w:b w:val="0"/>
                <w:sz w:val="20"/>
                <w:szCs w:val="20"/>
              </w:rPr>
            </w:pPr>
            <w:r w:rsidRPr="00151C42">
              <w:rPr>
                <w:rFonts w:cs="Arial"/>
                <w:b w:val="0"/>
                <w:sz w:val="20"/>
                <w:szCs w:val="20"/>
              </w:rPr>
              <w:t>Wsparcie uczniów młodszych</w:t>
            </w:r>
          </w:p>
        </w:tc>
        <w:tc>
          <w:tcPr>
            <w:tcW w:w="2158" w:type="dxa"/>
            <w:vAlign w:val="center"/>
          </w:tcPr>
          <w:p w14:paraId="3977BB27" w14:textId="77777777" w:rsidR="00151C42" w:rsidRPr="00151C42" w:rsidRDefault="00151C42" w:rsidP="003E5E36">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51C42">
              <w:rPr>
                <w:rFonts w:cs="Arial"/>
                <w:sz w:val="20"/>
                <w:szCs w:val="20"/>
              </w:rPr>
              <w:t>41,8%</w:t>
            </w:r>
          </w:p>
        </w:tc>
      </w:tr>
      <w:tr w:rsidR="00151C42" w:rsidRPr="00151C42" w14:paraId="2A5FD846"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54" w:type="dxa"/>
          </w:tcPr>
          <w:p w14:paraId="3D357F5A" w14:textId="77777777" w:rsidR="00151C42" w:rsidRPr="00151C42" w:rsidRDefault="00151C42" w:rsidP="00DF64C7">
            <w:pPr>
              <w:jc w:val="left"/>
              <w:rPr>
                <w:rFonts w:cs="Arial"/>
                <w:b w:val="0"/>
                <w:sz w:val="20"/>
                <w:szCs w:val="20"/>
              </w:rPr>
            </w:pPr>
            <w:r w:rsidRPr="00151C42">
              <w:rPr>
                <w:rFonts w:cs="Arial"/>
                <w:b w:val="0"/>
                <w:sz w:val="20"/>
                <w:szCs w:val="20"/>
              </w:rPr>
              <w:t>Realizacja programu z zakresu indywidualizacji pracy z uczniem ze specjalnymi potrzebami edukacyjnymi</w:t>
            </w:r>
          </w:p>
        </w:tc>
        <w:tc>
          <w:tcPr>
            <w:tcW w:w="2158" w:type="dxa"/>
            <w:vAlign w:val="center"/>
          </w:tcPr>
          <w:p w14:paraId="486373D7" w14:textId="77777777" w:rsidR="00151C42" w:rsidRPr="00151C42" w:rsidRDefault="00151C42" w:rsidP="003E5E36">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51C42">
              <w:rPr>
                <w:rFonts w:cs="Arial"/>
                <w:sz w:val="20"/>
                <w:szCs w:val="20"/>
              </w:rPr>
              <w:t>36,1%</w:t>
            </w:r>
          </w:p>
        </w:tc>
      </w:tr>
      <w:tr w:rsidR="00151C42" w:rsidRPr="00151C42" w14:paraId="1550B681" w14:textId="77777777" w:rsidTr="00F04F98">
        <w:trPr>
          <w:trHeight w:val="113"/>
        </w:trPr>
        <w:tc>
          <w:tcPr>
            <w:cnfStyle w:val="001000000000" w:firstRow="0" w:lastRow="0" w:firstColumn="1" w:lastColumn="0" w:oddVBand="0" w:evenVBand="0" w:oddHBand="0" w:evenHBand="0" w:firstRowFirstColumn="0" w:firstRowLastColumn="0" w:lastRowFirstColumn="0" w:lastRowLastColumn="0"/>
            <w:tcW w:w="7054" w:type="dxa"/>
          </w:tcPr>
          <w:p w14:paraId="39F8AEC0" w14:textId="77777777" w:rsidR="00151C42" w:rsidRPr="00151C42" w:rsidRDefault="00151C42" w:rsidP="00DF64C7">
            <w:pPr>
              <w:jc w:val="left"/>
              <w:rPr>
                <w:rFonts w:cs="Arial"/>
                <w:b w:val="0"/>
                <w:sz w:val="20"/>
                <w:szCs w:val="20"/>
              </w:rPr>
            </w:pPr>
            <w:r w:rsidRPr="00151C42">
              <w:rPr>
                <w:rFonts w:cs="Arial"/>
                <w:b w:val="0"/>
                <w:sz w:val="20"/>
                <w:szCs w:val="20"/>
              </w:rPr>
              <w:t>Doskonalenie kompetencji i umiejętności zawodowych nauczycieli</w:t>
            </w:r>
          </w:p>
        </w:tc>
        <w:tc>
          <w:tcPr>
            <w:tcW w:w="2158" w:type="dxa"/>
            <w:vAlign w:val="center"/>
          </w:tcPr>
          <w:p w14:paraId="1454D3DE" w14:textId="77777777" w:rsidR="00151C42" w:rsidRPr="00151C42" w:rsidRDefault="00151C42" w:rsidP="003E5E36">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151C42">
              <w:rPr>
                <w:rFonts w:cs="Arial"/>
                <w:sz w:val="20"/>
                <w:szCs w:val="20"/>
              </w:rPr>
              <w:t>21,6%</w:t>
            </w:r>
          </w:p>
        </w:tc>
      </w:tr>
      <w:tr w:rsidR="00151C42" w:rsidRPr="00151C42" w14:paraId="6973167C" w14:textId="77777777" w:rsidTr="00F04F9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7054" w:type="dxa"/>
          </w:tcPr>
          <w:p w14:paraId="547637F2" w14:textId="77777777" w:rsidR="00151C42" w:rsidRPr="00151C42" w:rsidRDefault="00151C42" w:rsidP="00DF64C7">
            <w:pPr>
              <w:jc w:val="left"/>
              <w:rPr>
                <w:rFonts w:cs="Arial"/>
                <w:b w:val="0"/>
                <w:sz w:val="20"/>
                <w:szCs w:val="20"/>
              </w:rPr>
            </w:pPr>
            <w:r w:rsidRPr="00151C42">
              <w:rPr>
                <w:rFonts w:cs="Arial"/>
                <w:b w:val="0"/>
                <w:sz w:val="20"/>
                <w:szCs w:val="20"/>
              </w:rPr>
              <w:t>Prowadzenie doradztwa edukacyjno-zawodowego dla uczniów</w:t>
            </w:r>
          </w:p>
        </w:tc>
        <w:tc>
          <w:tcPr>
            <w:tcW w:w="2158" w:type="dxa"/>
            <w:vAlign w:val="center"/>
          </w:tcPr>
          <w:p w14:paraId="564D2AE2" w14:textId="77777777" w:rsidR="00151C42" w:rsidRPr="00151C42" w:rsidRDefault="00151C42" w:rsidP="003E5E36">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151C42">
              <w:rPr>
                <w:rFonts w:cs="Arial"/>
                <w:sz w:val="20"/>
                <w:szCs w:val="20"/>
              </w:rPr>
              <w:t>14,9%</w:t>
            </w:r>
          </w:p>
        </w:tc>
      </w:tr>
    </w:tbl>
    <w:p w14:paraId="7F3292F2" w14:textId="77777777" w:rsidR="004B4DD0" w:rsidRDefault="004B4DD0" w:rsidP="00DF64C7">
      <w:pPr>
        <w:pStyle w:val="podpisrdailustracji"/>
        <w:spacing w:line="271" w:lineRule="auto"/>
        <w:jc w:val="left"/>
      </w:pPr>
      <w:r>
        <w:t>Źródło: opracowanie własne na podstawie badania CAWI/CATI z nauczycielami i dyrektorami wspartych placówek, n=691.</w:t>
      </w:r>
    </w:p>
    <w:p w14:paraId="523C5070" w14:textId="77777777" w:rsidR="00CC3BA8" w:rsidRDefault="00CC3BA8" w:rsidP="00DF64C7">
      <w:pPr>
        <w:spacing w:after="240"/>
        <w:jc w:val="left"/>
      </w:pPr>
      <w:r>
        <w:t>Jedynie dwóch spośród wszystkich respondentów badania reprezentujących placówki</w:t>
      </w:r>
      <w:r w:rsidR="00DC26C0">
        <w:t xml:space="preserve"> </w:t>
      </w:r>
      <w:r>
        <w:t>edukacyjne (działania 12.2 oraz 11.1.4) uznało, iż w wyniku realizacji projektu wystąpiły negatywne efekty. Wskazać jednakże należy, iż wskazane n</w:t>
      </w:r>
      <w:r w:rsidR="00B52932">
        <w:t>egatywne efekty związane były z </w:t>
      </w:r>
      <w:r>
        <w:t xml:space="preserve">trudnościami napotkanymi przez respondentów, nie zaś z faktycznym oddziaływaniem realizowanego projektu – respondenci wskazali na nadmierną ilość koniecznej dokumentacji i </w:t>
      </w:r>
      <w:r w:rsidRPr="004518EE">
        <w:t>biurokracj</w:t>
      </w:r>
      <w:r>
        <w:t>ę, oraz na niezadowolenie z jakości zakupionego sprzętu.</w:t>
      </w:r>
    </w:p>
    <w:p w14:paraId="6EE6C2B5" w14:textId="77777777" w:rsidR="00A31731" w:rsidRDefault="00A31731" w:rsidP="00DF64C7">
      <w:pPr>
        <w:spacing w:after="240"/>
        <w:jc w:val="left"/>
      </w:pPr>
      <w:r>
        <w:t>Przedstawiciele IZ i IP wskazali, że na osiągnięte efekty wśród beneficjentów i odbiorców, wpływ mogły mieć czynniki zewnętrzne, m.in. zmiany w szkolnictwie, wprowadzenie szkół branżowych, szeroka promocja kształcenia zawodowego, zmiany przepisów prawa, korzystne zmiany na rynku pracy (znaczny spadek bezrobocia) czy pojawiające się problemy z wyłonieniem wykonawcy robót budowlanych (brak wystarczającej liczby podmiotów tego rodzaju na rynku). Beneficjenci dodali, iż stwierdzenie, który z czynników miał decydujący wpływ na osiągnięte efekty jest szczególnie problematyczne w przypadku projektów miękkich. W większości przypadków oceny dokonywane są na zasadzie deklaracji uczestników i obserwacji nauczycieli oraz najbliższego środowiska. Każdy z rozmówców podkreślił jednak, że zgodnie z ich przekonaniem, udział w projektach miał bardzo duże znaczenie w przypadku efektów uzyskiwanych przez wszystkich odbiorców. Na pewno w zakresie pozyskiwanej wiedzy czy uprawnień. Największy wpływ w tym zakresie dostrzegano w przypadku uczniów o specjalnych potrzebach edukacyjnych, którzy byli pozbawieni dodatkowego wsparcia, zanim przystąpili do projektów. Udział w zajęciach dodatkowych w znacznym stopniu pozwolił im na dokonanie postępów w edukacji</w:t>
      </w:r>
      <w:r w:rsidR="00233A67">
        <w:t xml:space="preserve"> i</w:t>
      </w:r>
      <w:r>
        <w:t xml:space="preserve"> terapii.</w:t>
      </w:r>
    </w:p>
    <w:p w14:paraId="25C89AC8" w14:textId="77777777" w:rsidR="00820C4C" w:rsidRDefault="00BD16AE" w:rsidP="00DF64C7">
      <w:pPr>
        <w:jc w:val="left"/>
      </w:pPr>
      <w:r>
        <w:t xml:space="preserve">W przypadku działania </w:t>
      </w:r>
      <w:r w:rsidR="00820C4C">
        <w:t>12.2 Infrastruktura kształcenia zawodowego dodatkow</w:t>
      </w:r>
      <w:r w:rsidR="00B50E01">
        <w:t xml:space="preserve">o </w:t>
      </w:r>
      <w:r w:rsidR="00820C4C">
        <w:t>obliczony został efekt netto</w:t>
      </w:r>
      <w:r w:rsidR="00820C4C">
        <w:rPr>
          <w:rStyle w:val="Odwoanieprzypisudolnego"/>
        </w:rPr>
        <w:footnoteReference w:id="86"/>
      </w:r>
      <w:r w:rsidR="00820C4C">
        <w:t xml:space="preserve"> wsparcia RPO WSL 2014-2020 wraz ze wskazaniem w jakim stopniu zwiększyły się kompetencje uczniów szkół kształcących w zawodach. O</w:t>
      </w:r>
      <w:r w:rsidR="00B140A9">
        <w:t>bliczenie efektu netto umożliwiło</w:t>
      </w:r>
      <w:r w:rsidR="00820C4C">
        <w:t xml:space="preserve"> </w:t>
      </w:r>
      <w:r w:rsidR="00B140A9">
        <w:t>pozyskać</w:t>
      </w:r>
      <w:r w:rsidR="00820C4C" w:rsidRPr="00820C4C">
        <w:t xml:space="preserve"> informacje na temat nieobciążonych wpływem innych czynników interwencji.</w:t>
      </w:r>
    </w:p>
    <w:p w14:paraId="1BE6BC68" w14:textId="77777777" w:rsidR="000E6D91" w:rsidRDefault="00820C4C" w:rsidP="00DF64C7">
      <w:pPr>
        <w:jc w:val="left"/>
      </w:pPr>
      <w:r w:rsidRPr="00820C4C">
        <w:t xml:space="preserve">Do analizy </w:t>
      </w:r>
      <w:r>
        <w:t>wykorzystane zostały</w:t>
      </w:r>
      <w:r w:rsidRPr="00820C4C">
        <w:t xml:space="preserve"> wybrane pytania z kwestionariusza ankiety dla podmiotów, które skorzystały ze wsparcia (Kwestionariusz badania CAW/CATI z nauczycielami </w:t>
      </w:r>
      <w:r w:rsidR="00B52932">
        <w:t xml:space="preserve">oraz dyrektorami </w:t>
      </w:r>
      <w:r w:rsidRPr="00820C4C">
        <w:t>placówek, które otrzymały wsparcie w ramach RPO WSL – Szkoły i placówki prowadzące kształcenie zawodowe (dz. 12.2) – oraz tożsame pytania z kwestionariusza ankiety dla metody kontrfaktycznej (Kwestionariusz badania CAWI/</w:t>
      </w:r>
      <w:r w:rsidR="00B52932">
        <w:t>CATI z </w:t>
      </w:r>
      <w:r w:rsidR="002E32ED">
        <w:t>dyrekcją/nauczycielami w </w:t>
      </w:r>
      <w:r w:rsidRPr="00820C4C">
        <w:t>ramach metody kontrfaktycznej).</w:t>
      </w:r>
    </w:p>
    <w:p w14:paraId="7DD69BC6" w14:textId="77777777" w:rsidR="00BD483B" w:rsidRDefault="00BD483B" w:rsidP="00DF64C7">
      <w:pPr>
        <w:jc w:val="left"/>
      </w:pPr>
      <w:r>
        <w:t>Jak wynika z analizy efektu netto wsparcia w ramach XII osi priorytetowych Regionalnego Programu Operacyjnego Województw</w:t>
      </w:r>
      <w:r w:rsidR="00B140A9">
        <w:t>a Śląskiego na lata 2014-2020 w </w:t>
      </w:r>
      <w:r>
        <w:t xml:space="preserve">przypadku badania </w:t>
      </w:r>
      <w:r w:rsidR="00403333">
        <w:t xml:space="preserve">podmiotów korzystających ze wsparcia </w:t>
      </w:r>
      <w:r>
        <w:t xml:space="preserve">poprawie uległy zarówno wszystkie oceniane aspekty jakości kształcenia zawodowego, jak również wiedza uczniów uczestniczących w zajęciach organizowanych przez badane podmioty. Natomiast w przypadku podmiotów, które nie korzystały ze wsparcia </w:t>
      </w:r>
      <w:r w:rsidR="00403333">
        <w:t>ze środków unijnych</w:t>
      </w:r>
      <w:r>
        <w:t xml:space="preserve"> regres odnotowano wśród 5 ocenianych aspektów. Dodatkowo warto zwrócić uwagę na zdecydowanie wyższy przyrost ocen po/ w trakcie otrzymywania wparcia wśród podmiotów, które otrzymały wsparcie w relacji do podmiotów, które z takiego wsparcia nie korzystały.</w:t>
      </w:r>
    </w:p>
    <w:p w14:paraId="2D22EB66" w14:textId="77777777" w:rsidR="00BD483B" w:rsidRDefault="00BD483B" w:rsidP="00DF64C7">
      <w:pPr>
        <w:jc w:val="left"/>
      </w:pPr>
      <w:r>
        <w:t>W przypadku aspektów dotyczących jakości kształcenia zawodowego najwyższy wskaźnik efektu netto odnotowano przy ocenie wyposażenia sal i pracowni praktycznej nauki zawodu (1,81), oferta edukacyjna szkoły (0,98) oraz dostępność placówki i obiektów do potrzeb osób z</w:t>
      </w:r>
      <w:r w:rsidR="00151C42">
        <w:t xml:space="preserve"> niepełnosprawnościami (0,78). </w:t>
      </w:r>
      <w:r>
        <w:t xml:space="preserve">Powyższe wyniki świadczą przede wszystkim wprost proporcjonalnym wpływie środków z RPO WSL 2014-2020 na poprawę warunków edukacyjnych w szkołach (w tym dla osób z niepełnosprawnościami) oraz zwiększenie możliwości (oferty) edukacyjnej podmiotów korzystających ze wsparcia. W konsekwencji warto zwrócić uwagę, że wsparcie w ramach Działania 12.2 Regionalnego Programu Operacyjnego wpływa przede wszystkim na zwiększenie praktycznych umiejętności zawodowych odbiorców wsparcia (0,60), zwiększenia poziomu wiedzy specjalistycznej związanej z kształceniem w danym zawodzie (0,56) oraz poprawy znajomości środowiska pracy u pracodawcy (0,54). </w:t>
      </w:r>
    </w:p>
    <w:p w14:paraId="2FAD7442" w14:textId="77777777" w:rsidR="001B4BEC" w:rsidRDefault="00BD483B" w:rsidP="00DF64C7">
      <w:pPr>
        <w:jc w:val="left"/>
      </w:pPr>
      <w:r>
        <w:t>W związku z powyższym</w:t>
      </w:r>
      <w:r w:rsidR="00DC26C0">
        <w:t xml:space="preserve"> </w:t>
      </w:r>
      <w:r>
        <w:t>można stwierdzić, że wsparcie w ramach Działania 12.2 RPO WSL oddziałuje na zwiększenie kompetencji zawodowych uczniów śląskich szkół, zwiększenia ich szans na rynku pracy, zwiększenia efektywności kształcenia zawodowego i w konsekwencji do zapewnienia wysoko wykwalifikowanych specja</w:t>
      </w:r>
      <w:r w:rsidR="00BD16AE">
        <w:t xml:space="preserve">listów na lokalnym rynku pracy. </w:t>
      </w:r>
    </w:p>
    <w:p w14:paraId="2C51D767" w14:textId="7EAB5D5B" w:rsidR="001B2B41" w:rsidRDefault="001B2B41" w:rsidP="00DF64C7">
      <w:pPr>
        <w:pStyle w:val="Legenda"/>
        <w:spacing w:line="271" w:lineRule="auto"/>
        <w:jc w:val="left"/>
      </w:pPr>
      <w:bookmarkStart w:id="79" w:name="_Toc33457228"/>
      <w:r>
        <w:t xml:space="preserve">Tabela </w:t>
      </w:r>
      <w:r w:rsidR="00A83EB8">
        <w:rPr>
          <w:noProof/>
        </w:rPr>
        <w:fldChar w:fldCharType="begin"/>
      </w:r>
      <w:r w:rsidR="00A83EB8">
        <w:rPr>
          <w:noProof/>
        </w:rPr>
        <w:instrText xml:space="preserve"> SEQ Tabela \* ARABIC </w:instrText>
      </w:r>
      <w:r w:rsidR="00A83EB8">
        <w:rPr>
          <w:noProof/>
        </w:rPr>
        <w:fldChar w:fldCharType="separate"/>
      </w:r>
      <w:r w:rsidR="00A8147E">
        <w:rPr>
          <w:noProof/>
        </w:rPr>
        <w:t>29</w:t>
      </w:r>
      <w:r w:rsidR="00A83EB8">
        <w:rPr>
          <w:noProof/>
        </w:rPr>
        <w:fldChar w:fldCharType="end"/>
      </w:r>
      <w:r w:rsidR="00B52932">
        <w:rPr>
          <w:noProof/>
        </w:rPr>
        <w:t>.</w:t>
      </w:r>
      <w:r>
        <w:t xml:space="preserve"> Efekt netto wsparcia w ramach działania 12.2 RPO WSL 2014-2020</w:t>
      </w:r>
      <w:bookmarkEnd w:id="79"/>
    </w:p>
    <w:tbl>
      <w:tblPr>
        <w:tblStyle w:val="Tabelasiatki5ciemnaakcent61"/>
        <w:tblW w:w="9180" w:type="dxa"/>
        <w:tblLayout w:type="fixed"/>
        <w:tblLook w:val="04A0" w:firstRow="1" w:lastRow="0" w:firstColumn="1" w:lastColumn="0" w:noHBand="0" w:noVBand="1"/>
        <w:tblCaption w:val="Efekt netto wsparcia w ramach działania 12.2 RPO WSL 2014-2020"/>
        <w:tblDescription w:val="W tabeli przedstawiono dane dotyczące obliczenia efektu netto wsparcia w ramach działania 12.2 RPO WSL 2014-2020. Efekt netto opracowano w oparciu o badanie nauczycieli i dyrektorów placówek, które otrzymały wsparcie w ramach Działania 12.2 oraz nauczycieli i dyrektorów badanych w ramach metody kontrfaktycznej, tj. reprezentujących placówki, które nie korzystały ze wsparcia w ramach Działania 12.2 RPO WSL."/>
      </w:tblPr>
      <w:tblGrid>
        <w:gridCol w:w="3369"/>
        <w:gridCol w:w="708"/>
        <w:gridCol w:w="36"/>
        <w:gridCol w:w="25"/>
        <w:gridCol w:w="1073"/>
        <w:gridCol w:w="709"/>
        <w:gridCol w:w="567"/>
        <w:gridCol w:w="1134"/>
        <w:gridCol w:w="709"/>
        <w:gridCol w:w="850"/>
      </w:tblGrid>
      <w:tr w:rsidR="00820C4C" w:rsidRPr="001B2B41" w14:paraId="44872B7F" w14:textId="77777777" w:rsidTr="007B5F7E">
        <w:trPr>
          <w:cnfStyle w:val="100000000000" w:firstRow="1" w:lastRow="0" w:firstColumn="0" w:lastColumn="0" w:oddVBand="0" w:evenVBand="0" w:oddHBand="0" w:evenHBand="0" w:firstRowFirstColumn="0" w:firstRowLastColumn="0" w:lastRowFirstColumn="0" w:lastRowLastColumn="0"/>
          <w:trHeight w:val="188"/>
          <w:tblHeader/>
        </w:trPr>
        <w:tc>
          <w:tcPr>
            <w:cnfStyle w:val="001000000000" w:firstRow="0" w:lastRow="0" w:firstColumn="1" w:lastColumn="0" w:oddVBand="0" w:evenVBand="0" w:oddHBand="0" w:evenHBand="0" w:firstRowFirstColumn="0" w:firstRowLastColumn="0" w:lastRowFirstColumn="0" w:lastRowLastColumn="0"/>
            <w:tcW w:w="3369" w:type="dxa"/>
            <w:vMerge w:val="restart"/>
            <w:noWrap/>
            <w:hideMark/>
          </w:tcPr>
          <w:p w14:paraId="5AC15293" w14:textId="77777777" w:rsidR="00820C4C" w:rsidRPr="0002087A" w:rsidRDefault="00820C4C" w:rsidP="00DF64C7">
            <w:pPr>
              <w:jc w:val="left"/>
              <w:rPr>
                <w:rFonts w:ascii="Calibri" w:eastAsia="Times New Roman" w:hAnsi="Calibri" w:cs="Calibri"/>
                <w:sz w:val="18"/>
                <w:lang w:eastAsia="pl-PL"/>
              </w:rPr>
            </w:pPr>
            <w:bookmarkStart w:id="80" w:name="_Toc24466804"/>
            <w:bookmarkStart w:id="81" w:name="_Toc25664301"/>
            <w:bookmarkStart w:id="82" w:name="_Toc26526282"/>
            <w:r w:rsidRPr="0002087A">
              <w:rPr>
                <w:rFonts w:ascii="Calibri" w:eastAsia="Times New Roman" w:hAnsi="Calibri" w:cs="Calibri"/>
                <w:sz w:val="18"/>
                <w:lang w:eastAsia="pl-PL"/>
              </w:rPr>
              <w:t>Oceniany aspekt</w:t>
            </w:r>
          </w:p>
        </w:tc>
        <w:tc>
          <w:tcPr>
            <w:tcW w:w="2551" w:type="dxa"/>
            <w:gridSpan w:val="5"/>
            <w:noWrap/>
            <w:hideMark/>
          </w:tcPr>
          <w:p w14:paraId="4589A82B" w14:textId="77777777" w:rsidR="00820C4C" w:rsidRPr="0002087A" w:rsidRDefault="00820C4C"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2087A">
              <w:rPr>
                <w:rFonts w:ascii="Calibri" w:eastAsia="Times New Roman" w:hAnsi="Calibri" w:cs="Calibri"/>
                <w:sz w:val="18"/>
                <w:lang w:eastAsia="pl-PL"/>
              </w:rPr>
              <w:t>Beneficjenci</w:t>
            </w:r>
          </w:p>
        </w:tc>
        <w:tc>
          <w:tcPr>
            <w:tcW w:w="2410" w:type="dxa"/>
            <w:gridSpan w:val="3"/>
            <w:noWrap/>
            <w:hideMark/>
          </w:tcPr>
          <w:p w14:paraId="4D05607F" w14:textId="77777777" w:rsidR="00820C4C" w:rsidRPr="0002087A" w:rsidRDefault="002663C6"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2087A">
              <w:rPr>
                <w:rFonts w:ascii="Calibri" w:eastAsia="Times New Roman" w:hAnsi="Calibri" w:cs="Calibri"/>
                <w:sz w:val="18"/>
                <w:lang w:eastAsia="pl-PL"/>
              </w:rPr>
              <w:t>Pozostałe podmioty</w:t>
            </w:r>
          </w:p>
        </w:tc>
        <w:tc>
          <w:tcPr>
            <w:tcW w:w="850" w:type="dxa"/>
            <w:vMerge w:val="restart"/>
            <w:noWrap/>
            <w:hideMark/>
          </w:tcPr>
          <w:p w14:paraId="6253D109" w14:textId="77777777" w:rsidR="00820C4C" w:rsidRPr="0002087A" w:rsidRDefault="00820C4C"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2087A">
              <w:rPr>
                <w:rFonts w:ascii="Calibri" w:eastAsia="Times New Roman" w:hAnsi="Calibri" w:cs="Calibri"/>
                <w:sz w:val="18"/>
                <w:lang w:eastAsia="pl-PL"/>
              </w:rPr>
              <w:t>Efekt netto</w:t>
            </w:r>
          </w:p>
        </w:tc>
      </w:tr>
      <w:tr w:rsidR="002E32ED" w:rsidRPr="001B2B41" w14:paraId="3F0CB5C3" w14:textId="77777777" w:rsidTr="007B5F7E">
        <w:trPr>
          <w:cnfStyle w:val="100000000000" w:firstRow="1" w:lastRow="0" w:firstColumn="0" w:lastColumn="0" w:oddVBand="0" w:evenVBand="0" w:oddHBand="0" w:evenHBand="0" w:firstRowFirstColumn="0" w:firstRowLastColumn="0" w:lastRowFirstColumn="0" w:lastRowLastColumn="0"/>
          <w:trHeight w:val="188"/>
          <w:tblHeader/>
        </w:trPr>
        <w:tc>
          <w:tcPr>
            <w:cnfStyle w:val="001000000000" w:firstRow="0" w:lastRow="0" w:firstColumn="1" w:lastColumn="0" w:oddVBand="0" w:evenVBand="0" w:oddHBand="0" w:evenHBand="0" w:firstRowFirstColumn="0" w:firstRowLastColumn="0" w:lastRowFirstColumn="0" w:lastRowLastColumn="0"/>
            <w:tcW w:w="3369" w:type="dxa"/>
            <w:vMerge/>
            <w:noWrap/>
            <w:hideMark/>
          </w:tcPr>
          <w:p w14:paraId="109C9030" w14:textId="77777777" w:rsidR="00820C4C" w:rsidRPr="0002087A" w:rsidRDefault="00820C4C" w:rsidP="00DF64C7">
            <w:pPr>
              <w:jc w:val="left"/>
              <w:rPr>
                <w:rFonts w:ascii="Calibri" w:eastAsia="Times New Roman" w:hAnsi="Calibri" w:cs="Calibri"/>
                <w:sz w:val="18"/>
                <w:lang w:eastAsia="pl-PL"/>
              </w:rPr>
            </w:pPr>
          </w:p>
        </w:tc>
        <w:tc>
          <w:tcPr>
            <w:tcW w:w="769" w:type="dxa"/>
            <w:gridSpan w:val="3"/>
            <w:noWrap/>
            <w:hideMark/>
          </w:tcPr>
          <w:p w14:paraId="61544E3D" w14:textId="77777777" w:rsidR="00820C4C" w:rsidRPr="0002087A" w:rsidRDefault="00820C4C"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5"/>
                <w:szCs w:val="15"/>
                <w:lang w:eastAsia="pl-PL"/>
              </w:rPr>
            </w:pPr>
            <w:r w:rsidRPr="0002087A">
              <w:rPr>
                <w:rFonts w:ascii="Calibri" w:eastAsia="Times New Roman" w:hAnsi="Calibri" w:cs="Calibri"/>
                <w:sz w:val="15"/>
                <w:szCs w:val="15"/>
                <w:lang w:eastAsia="pl-PL"/>
              </w:rPr>
              <w:t>Przed</w:t>
            </w:r>
          </w:p>
        </w:tc>
        <w:tc>
          <w:tcPr>
            <w:tcW w:w="1073" w:type="dxa"/>
            <w:noWrap/>
            <w:hideMark/>
          </w:tcPr>
          <w:p w14:paraId="7A4A5AF7" w14:textId="77777777" w:rsidR="00820C4C" w:rsidRPr="0002087A" w:rsidRDefault="00820C4C"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5"/>
                <w:szCs w:val="15"/>
                <w:lang w:eastAsia="pl-PL"/>
              </w:rPr>
            </w:pPr>
            <w:r w:rsidRPr="0002087A">
              <w:rPr>
                <w:rFonts w:ascii="Calibri" w:eastAsia="Times New Roman" w:hAnsi="Calibri" w:cs="Calibri"/>
                <w:sz w:val="15"/>
                <w:szCs w:val="15"/>
                <w:lang w:eastAsia="pl-PL"/>
              </w:rPr>
              <w:t>Po/ w trakcie</w:t>
            </w:r>
          </w:p>
        </w:tc>
        <w:tc>
          <w:tcPr>
            <w:tcW w:w="709" w:type="dxa"/>
            <w:noWrap/>
            <w:hideMark/>
          </w:tcPr>
          <w:p w14:paraId="1190A9A6" w14:textId="77777777" w:rsidR="00820C4C" w:rsidRPr="0002087A" w:rsidRDefault="00820C4C"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5"/>
                <w:szCs w:val="15"/>
                <w:lang w:eastAsia="pl-PL"/>
              </w:rPr>
            </w:pPr>
            <w:r w:rsidRPr="0002087A">
              <w:rPr>
                <w:rFonts w:ascii="Calibri" w:eastAsia="Times New Roman" w:hAnsi="Calibri" w:cs="Calibri"/>
                <w:sz w:val="15"/>
                <w:szCs w:val="15"/>
                <w:lang w:eastAsia="pl-PL"/>
              </w:rPr>
              <w:t>Zmiana</w:t>
            </w:r>
          </w:p>
        </w:tc>
        <w:tc>
          <w:tcPr>
            <w:tcW w:w="567" w:type="dxa"/>
            <w:noWrap/>
            <w:hideMark/>
          </w:tcPr>
          <w:p w14:paraId="75C8F8C7" w14:textId="77777777" w:rsidR="00820C4C" w:rsidRPr="0002087A" w:rsidRDefault="00820C4C"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5"/>
                <w:szCs w:val="15"/>
                <w:lang w:eastAsia="pl-PL"/>
              </w:rPr>
            </w:pPr>
            <w:r w:rsidRPr="0002087A">
              <w:rPr>
                <w:rFonts w:ascii="Calibri" w:eastAsia="Times New Roman" w:hAnsi="Calibri" w:cs="Calibri"/>
                <w:sz w:val="15"/>
                <w:szCs w:val="15"/>
                <w:lang w:eastAsia="pl-PL"/>
              </w:rPr>
              <w:t>Przed</w:t>
            </w:r>
          </w:p>
        </w:tc>
        <w:tc>
          <w:tcPr>
            <w:tcW w:w="1134" w:type="dxa"/>
            <w:noWrap/>
            <w:hideMark/>
          </w:tcPr>
          <w:p w14:paraId="39FCE254" w14:textId="77777777" w:rsidR="00820C4C" w:rsidRPr="0002087A" w:rsidRDefault="00820C4C"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5"/>
                <w:szCs w:val="15"/>
                <w:lang w:eastAsia="pl-PL"/>
              </w:rPr>
            </w:pPr>
            <w:r w:rsidRPr="0002087A">
              <w:rPr>
                <w:rFonts w:ascii="Calibri" w:eastAsia="Times New Roman" w:hAnsi="Calibri" w:cs="Calibri"/>
                <w:sz w:val="15"/>
                <w:szCs w:val="15"/>
                <w:lang w:eastAsia="pl-PL"/>
              </w:rPr>
              <w:t>Po/ w trakcie</w:t>
            </w:r>
          </w:p>
        </w:tc>
        <w:tc>
          <w:tcPr>
            <w:tcW w:w="709" w:type="dxa"/>
            <w:noWrap/>
            <w:hideMark/>
          </w:tcPr>
          <w:p w14:paraId="35838A0E" w14:textId="77777777" w:rsidR="00820C4C" w:rsidRPr="0002087A" w:rsidRDefault="00820C4C"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15"/>
                <w:szCs w:val="15"/>
                <w:lang w:eastAsia="pl-PL"/>
              </w:rPr>
            </w:pPr>
            <w:r w:rsidRPr="0002087A">
              <w:rPr>
                <w:rFonts w:ascii="Calibri" w:eastAsia="Times New Roman" w:hAnsi="Calibri" w:cs="Calibri"/>
                <w:sz w:val="15"/>
                <w:szCs w:val="15"/>
                <w:lang w:eastAsia="pl-PL"/>
              </w:rPr>
              <w:t>Zmiana</w:t>
            </w:r>
          </w:p>
        </w:tc>
        <w:tc>
          <w:tcPr>
            <w:tcW w:w="850" w:type="dxa"/>
            <w:vMerge/>
            <w:noWrap/>
            <w:hideMark/>
          </w:tcPr>
          <w:p w14:paraId="12541740" w14:textId="77777777" w:rsidR="00820C4C" w:rsidRPr="0002087A" w:rsidRDefault="00820C4C"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p>
        </w:tc>
      </w:tr>
      <w:tr w:rsidR="00820C4C" w:rsidRPr="001B2B41" w14:paraId="23BF8284" w14:textId="77777777" w:rsidTr="007B5F7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9180" w:type="dxa"/>
            <w:gridSpan w:val="10"/>
            <w:noWrap/>
            <w:hideMark/>
          </w:tcPr>
          <w:p w14:paraId="65A5C690"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Calibri"/>
                <w:sz w:val="18"/>
                <w:lang w:eastAsia="pl-PL"/>
              </w:rPr>
              <w:t>Jak oceniają Państwo jakość kształcenia zawodowego w reprezentowanej przez siebie placówce</w:t>
            </w:r>
          </w:p>
        </w:tc>
      </w:tr>
      <w:tr w:rsidR="002E32ED" w:rsidRPr="001B2B41" w14:paraId="3ACB6F21" w14:textId="77777777" w:rsidTr="007B5F7E">
        <w:trPr>
          <w:trHeight w:val="188"/>
        </w:trPr>
        <w:tc>
          <w:tcPr>
            <w:cnfStyle w:val="001000000000" w:firstRow="0" w:lastRow="0" w:firstColumn="1" w:lastColumn="0" w:oddVBand="0" w:evenVBand="0" w:oddHBand="0" w:evenHBand="0" w:firstRowFirstColumn="0" w:firstRowLastColumn="0" w:lastRowFirstColumn="0" w:lastRowLastColumn="0"/>
            <w:tcW w:w="3369" w:type="dxa"/>
            <w:hideMark/>
          </w:tcPr>
          <w:p w14:paraId="04FED3A1"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Calibri"/>
                <w:sz w:val="18"/>
                <w:lang w:eastAsia="pl-PL"/>
              </w:rPr>
              <w:t>Oferta edukacyjna szkoły</w:t>
            </w:r>
          </w:p>
        </w:tc>
        <w:tc>
          <w:tcPr>
            <w:tcW w:w="708" w:type="dxa"/>
            <w:noWrap/>
            <w:hideMark/>
          </w:tcPr>
          <w:p w14:paraId="3F097A84"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3,87</w:t>
            </w:r>
          </w:p>
        </w:tc>
        <w:tc>
          <w:tcPr>
            <w:tcW w:w="1134" w:type="dxa"/>
            <w:gridSpan w:val="3"/>
            <w:noWrap/>
            <w:hideMark/>
          </w:tcPr>
          <w:p w14:paraId="69ADE82D"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4,85</w:t>
            </w:r>
          </w:p>
        </w:tc>
        <w:tc>
          <w:tcPr>
            <w:tcW w:w="709" w:type="dxa"/>
            <w:noWrap/>
            <w:hideMark/>
          </w:tcPr>
          <w:p w14:paraId="4FB0F876"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0,98</w:t>
            </w:r>
          </w:p>
        </w:tc>
        <w:tc>
          <w:tcPr>
            <w:tcW w:w="567" w:type="dxa"/>
            <w:noWrap/>
            <w:hideMark/>
          </w:tcPr>
          <w:p w14:paraId="5338B935"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4,48</w:t>
            </w:r>
          </w:p>
        </w:tc>
        <w:tc>
          <w:tcPr>
            <w:tcW w:w="1134" w:type="dxa"/>
            <w:noWrap/>
            <w:hideMark/>
          </w:tcPr>
          <w:p w14:paraId="42260723"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4,48</w:t>
            </w:r>
          </w:p>
        </w:tc>
        <w:tc>
          <w:tcPr>
            <w:tcW w:w="709" w:type="dxa"/>
            <w:noWrap/>
            <w:hideMark/>
          </w:tcPr>
          <w:p w14:paraId="47EC9E3C"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0,00</w:t>
            </w:r>
          </w:p>
        </w:tc>
        <w:tc>
          <w:tcPr>
            <w:tcW w:w="850" w:type="dxa"/>
            <w:noWrap/>
            <w:hideMark/>
          </w:tcPr>
          <w:p w14:paraId="5B7F3970"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0,98</w:t>
            </w:r>
          </w:p>
        </w:tc>
      </w:tr>
      <w:tr w:rsidR="002E32ED" w:rsidRPr="001B2B41" w14:paraId="27748D71" w14:textId="77777777" w:rsidTr="007B5F7E">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369" w:type="dxa"/>
            <w:hideMark/>
          </w:tcPr>
          <w:p w14:paraId="29731EFB"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Calibri"/>
                <w:sz w:val="18"/>
                <w:lang w:eastAsia="pl-PL"/>
              </w:rPr>
              <w:t>Wyposażenie sal i pracowni praktycznej nauki zawodu</w:t>
            </w:r>
          </w:p>
        </w:tc>
        <w:tc>
          <w:tcPr>
            <w:tcW w:w="708" w:type="dxa"/>
            <w:noWrap/>
            <w:hideMark/>
          </w:tcPr>
          <w:p w14:paraId="40783C6E"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3,05</w:t>
            </w:r>
          </w:p>
        </w:tc>
        <w:tc>
          <w:tcPr>
            <w:tcW w:w="1134" w:type="dxa"/>
            <w:gridSpan w:val="3"/>
            <w:noWrap/>
            <w:hideMark/>
          </w:tcPr>
          <w:p w14:paraId="5FB3191B"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4,88</w:t>
            </w:r>
          </w:p>
        </w:tc>
        <w:tc>
          <w:tcPr>
            <w:tcW w:w="709" w:type="dxa"/>
            <w:noWrap/>
            <w:hideMark/>
          </w:tcPr>
          <w:p w14:paraId="74D71625"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1,82</w:t>
            </w:r>
          </w:p>
        </w:tc>
        <w:tc>
          <w:tcPr>
            <w:tcW w:w="567" w:type="dxa"/>
            <w:noWrap/>
            <w:hideMark/>
          </w:tcPr>
          <w:p w14:paraId="7A797483"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3,92</w:t>
            </w:r>
          </w:p>
        </w:tc>
        <w:tc>
          <w:tcPr>
            <w:tcW w:w="1134" w:type="dxa"/>
            <w:noWrap/>
            <w:hideMark/>
          </w:tcPr>
          <w:p w14:paraId="2077B529"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3,94</w:t>
            </w:r>
          </w:p>
        </w:tc>
        <w:tc>
          <w:tcPr>
            <w:tcW w:w="709" w:type="dxa"/>
            <w:noWrap/>
            <w:hideMark/>
          </w:tcPr>
          <w:p w14:paraId="2B6DAB34"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0,02</w:t>
            </w:r>
          </w:p>
        </w:tc>
        <w:tc>
          <w:tcPr>
            <w:tcW w:w="850" w:type="dxa"/>
            <w:noWrap/>
            <w:hideMark/>
          </w:tcPr>
          <w:p w14:paraId="294DC468"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1,81</w:t>
            </w:r>
          </w:p>
        </w:tc>
      </w:tr>
      <w:tr w:rsidR="002E32ED" w:rsidRPr="001B2B41" w14:paraId="516F9E7B" w14:textId="77777777" w:rsidTr="007B5F7E">
        <w:trPr>
          <w:trHeight w:val="376"/>
        </w:trPr>
        <w:tc>
          <w:tcPr>
            <w:cnfStyle w:val="001000000000" w:firstRow="0" w:lastRow="0" w:firstColumn="1" w:lastColumn="0" w:oddVBand="0" w:evenVBand="0" w:oddHBand="0" w:evenHBand="0" w:firstRowFirstColumn="0" w:firstRowLastColumn="0" w:lastRowFirstColumn="0" w:lastRowLastColumn="0"/>
            <w:tcW w:w="3369" w:type="dxa"/>
            <w:hideMark/>
          </w:tcPr>
          <w:p w14:paraId="3D6302B7"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Calibri"/>
                <w:sz w:val="18"/>
                <w:lang w:eastAsia="pl-PL"/>
              </w:rPr>
              <w:t>Dostępność placówki i obiektów do potrzeb osób z niepełnosprawnościami</w:t>
            </w:r>
          </w:p>
        </w:tc>
        <w:tc>
          <w:tcPr>
            <w:tcW w:w="708" w:type="dxa"/>
            <w:noWrap/>
            <w:hideMark/>
          </w:tcPr>
          <w:p w14:paraId="1A6BF814"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2,57</w:t>
            </w:r>
          </w:p>
        </w:tc>
        <w:tc>
          <w:tcPr>
            <w:tcW w:w="1134" w:type="dxa"/>
            <w:gridSpan w:val="3"/>
            <w:noWrap/>
            <w:hideMark/>
          </w:tcPr>
          <w:p w14:paraId="3B18E9B0"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3,43</w:t>
            </w:r>
          </w:p>
        </w:tc>
        <w:tc>
          <w:tcPr>
            <w:tcW w:w="709" w:type="dxa"/>
            <w:noWrap/>
            <w:hideMark/>
          </w:tcPr>
          <w:p w14:paraId="45C9D749"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0,87</w:t>
            </w:r>
          </w:p>
        </w:tc>
        <w:tc>
          <w:tcPr>
            <w:tcW w:w="567" w:type="dxa"/>
            <w:noWrap/>
            <w:hideMark/>
          </w:tcPr>
          <w:p w14:paraId="6B54D6E5"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2,26</w:t>
            </w:r>
          </w:p>
        </w:tc>
        <w:tc>
          <w:tcPr>
            <w:tcW w:w="1134" w:type="dxa"/>
            <w:noWrap/>
            <w:hideMark/>
          </w:tcPr>
          <w:p w14:paraId="30C5050E"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2,35</w:t>
            </w:r>
          </w:p>
        </w:tc>
        <w:tc>
          <w:tcPr>
            <w:tcW w:w="709" w:type="dxa"/>
            <w:noWrap/>
            <w:hideMark/>
          </w:tcPr>
          <w:p w14:paraId="115FB94A"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0,09</w:t>
            </w:r>
          </w:p>
        </w:tc>
        <w:tc>
          <w:tcPr>
            <w:tcW w:w="850" w:type="dxa"/>
            <w:noWrap/>
            <w:hideMark/>
          </w:tcPr>
          <w:p w14:paraId="2053FF23"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0,78</w:t>
            </w:r>
          </w:p>
        </w:tc>
      </w:tr>
      <w:tr w:rsidR="002E32ED" w:rsidRPr="001B2B41" w14:paraId="4E2507CB" w14:textId="77777777" w:rsidTr="007B5F7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369" w:type="dxa"/>
            <w:hideMark/>
          </w:tcPr>
          <w:p w14:paraId="421FBA70"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Calibri"/>
                <w:sz w:val="18"/>
                <w:lang w:eastAsia="pl-PL"/>
              </w:rPr>
              <w:t>Oferta zajęć pozalekcyjnych</w:t>
            </w:r>
          </w:p>
        </w:tc>
        <w:tc>
          <w:tcPr>
            <w:tcW w:w="708" w:type="dxa"/>
            <w:noWrap/>
            <w:hideMark/>
          </w:tcPr>
          <w:p w14:paraId="564027CA"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3,39</w:t>
            </w:r>
          </w:p>
        </w:tc>
        <w:tc>
          <w:tcPr>
            <w:tcW w:w="1134" w:type="dxa"/>
            <w:gridSpan w:val="3"/>
            <w:noWrap/>
            <w:hideMark/>
          </w:tcPr>
          <w:p w14:paraId="764346B2"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4,18</w:t>
            </w:r>
          </w:p>
        </w:tc>
        <w:tc>
          <w:tcPr>
            <w:tcW w:w="709" w:type="dxa"/>
            <w:noWrap/>
            <w:hideMark/>
          </w:tcPr>
          <w:p w14:paraId="0DFC2476"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0,79</w:t>
            </w:r>
          </w:p>
        </w:tc>
        <w:tc>
          <w:tcPr>
            <w:tcW w:w="567" w:type="dxa"/>
            <w:noWrap/>
            <w:hideMark/>
          </w:tcPr>
          <w:p w14:paraId="1D0F77D8"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3,42</w:t>
            </w:r>
          </w:p>
        </w:tc>
        <w:tc>
          <w:tcPr>
            <w:tcW w:w="1134" w:type="dxa"/>
            <w:noWrap/>
            <w:hideMark/>
          </w:tcPr>
          <w:p w14:paraId="75755D0D"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3,48</w:t>
            </w:r>
          </w:p>
        </w:tc>
        <w:tc>
          <w:tcPr>
            <w:tcW w:w="709" w:type="dxa"/>
            <w:noWrap/>
            <w:hideMark/>
          </w:tcPr>
          <w:p w14:paraId="327FB5C8"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0,06</w:t>
            </w:r>
          </w:p>
        </w:tc>
        <w:tc>
          <w:tcPr>
            <w:tcW w:w="850" w:type="dxa"/>
            <w:noWrap/>
            <w:hideMark/>
          </w:tcPr>
          <w:p w14:paraId="686D8F72"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0,73</w:t>
            </w:r>
          </w:p>
        </w:tc>
      </w:tr>
      <w:tr w:rsidR="002E32ED" w:rsidRPr="001B2B41" w14:paraId="425327E8" w14:textId="77777777" w:rsidTr="007B5F7E">
        <w:trPr>
          <w:trHeight w:val="188"/>
        </w:trPr>
        <w:tc>
          <w:tcPr>
            <w:cnfStyle w:val="001000000000" w:firstRow="0" w:lastRow="0" w:firstColumn="1" w:lastColumn="0" w:oddVBand="0" w:evenVBand="0" w:oddHBand="0" w:evenHBand="0" w:firstRowFirstColumn="0" w:firstRowLastColumn="0" w:lastRowFirstColumn="0" w:lastRowLastColumn="0"/>
            <w:tcW w:w="3369" w:type="dxa"/>
            <w:hideMark/>
          </w:tcPr>
          <w:p w14:paraId="7DA8C87D"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Calibri"/>
                <w:sz w:val="18"/>
                <w:lang w:eastAsia="pl-PL"/>
              </w:rPr>
              <w:t>Wyniki uczniów w nauce</w:t>
            </w:r>
          </w:p>
        </w:tc>
        <w:tc>
          <w:tcPr>
            <w:tcW w:w="708" w:type="dxa"/>
            <w:noWrap/>
            <w:hideMark/>
          </w:tcPr>
          <w:p w14:paraId="4F206A21"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3,82</w:t>
            </w:r>
          </w:p>
        </w:tc>
        <w:tc>
          <w:tcPr>
            <w:tcW w:w="1134" w:type="dxa"/>
            <w:gridSpan w:val="3"/>
            <w:noWrap/>
            <w:hideMark/>
          </w:tcPr>
          <w:p w14:paraId="2994649B"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4,21</w:t>
            </w:r>
          </w:p>
        </w:tc>
        <w:tc>
          <w:tcPr>
            <w:tcW w:w="709" w:type="dxa"/>
            <w:noWrap/>
            <w:hideMark/>
          </w:tcPr>
          <w:p w14:paraId="3CE4685F"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0,39</w:t>
            </w:r>
          </w:p>
        </w:tc>
        <w:tc>
          <w:tcPr>
            <w:tcW w:w="567" w:type="dxa"/>
            <w:noWrap/>
            <w:hideMark/>
          </w:tcPr>
          <w:p w14:paraId="2184EB17"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3,73</w:t>
            </w:r>
          </w:p>
        </w:tc>
        <w:tc>
          <w:tcPr>
            <w:tcW w:w="1134" w:type="dxa"/>
            <w:noWrap/>
            <w:hideMark/>
          </w:tcPr>
          <w:p w14:paraId="033B9E63"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3,61</w:t>
            </w:r>
          </w:p>
        </w:tc>
        <w:tc>
          <w:tcPr>
            <w:tcW w:w="709" w:type="dxa"/>
            <w:noWrap/>
            <w:hideMark/>
          </w:tcPr>
          <w:p w14:paraId="2137E4F4"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-0,12</w:t>
            </w:r>
          </w:p>
        </w:tc>
        <w:tc>
          <w:tcPr>
            <w:tcW w:w="850" w:type="dxa"/>
            <w:noWrap/>
            <w:hideMark/>
          </w:tcPr>
          <w:p w14:paraId="785725D4"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0,52</w:t>
            </w:r>
          </w:p>
        </w:tc>
      </w:tr>
      <w:tr w:rsidR="002E32ED" w:rsidRPr="001B2B41" w14:paraId="1FEE3950" w14:textId="77777777" w:rsidTr="007B5F7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369" w:type="dxa"/>
            <w:hideMark/>
          </w:tcPr>
          <w:p w14:paraId="0B2ECCB8"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Calibri"/>
                <w:sz w:val="18"/>
                <w:lang w:eastAsia="pl-PL"/>
              </w:rPr>
              <w:t>Wyniki egzaminów zawodowych</w:t>
            </w:r>
          </w:p>
        </w:tc>
        <w:tc>
          <w:tcPr>
            <w:tcW w:w="708" w:type="dxa"/>
            <w:noWrap/>
            <w:hideMark/>
          </w:tcPr>
          <w:p w14:paraId="1D7075BA"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3,93</w:t>
            </w:r>
          </w:p>
        </w:tc>
        <w:tc>
          <w:tcPr>
            <w:tcW w:w="1134" w:type="dxa"/>
            <w:gridSpan w:val="3"/>
            <w:noWrap/>
            <w:hideMark/>
          </w:tcPr>
          <w:p w14:paraId="7E6133F6"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4,46</w:t>
            </w:r>
          </w:p>
        </w:tc>
        <w:tc>
          <w:tcPr>
            <w:tcW w:w="709" w:type="dxa"/>
            <w:noWrap/>
            <w:hideMark/>
          </w:tcPr>
          <w:p w14:paraId="72136AF0"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0,53</w:t>
            </w:r>
          </w:p>
        </w:tc>
        <w:tc>
          <w:tcPr>
            <w:tcW w:w="567" w:type="dxa"/>
            <w:noWrap/>
            <w:hideMark/>
          </w:tcPr>
          <w:p w14:paraId="6DFA5BB7"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3,97</w:t>
            </w:r>
          </w:p>
        </w:tc>
        <w:tc>
          <w:tcPr>
            <w:tcW w:w="1134" w:type="dxa"/>
            <w:noWrap/>
            <w:hideMark/>
          </w:tcPr>
          <w:p w14:paraId="389D764A"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3,94</w:t>
            </w:r>
          </w:p>
        </w:tc>
        <w:tc>
          <w:tcPr>
            <w:tcW w:w="709" w:type="dxa"/>
            <w:noWrap/>
            <w:hideMark/>
          </w:tcPr>
          <w:p w14:paraId="0BCFC3A3"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-0,03</w:t>
            </w:r>
          </w:p>
        </w:tc>
        <w:tc>
          <w:tcPr>
            <w:tcW w:w="850" w:type="dxa"/>
            <w:noWrap/>
            <w:hideMark/>
          </w:tcPr>
          <w:p w14:paraId="3C90F405"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0,56</w:t>
            </w:r>
          </w:p>
        </w:tc>
      </w:tr>
      <w:tr w:rsidR="002E32ED" w:rsidRPr="001B2B41" w14:paraId="6679DC22" w14:textId="77777777" w:rsidTr="007B5F7E">
        <w:trPr>
          <w:trHeight w:val="188"/>
        </w:trPr>
        <w:tc>
          <w:tcPr>
            <w:cnfStyle w:val="001000000000" w:firstRow="0" w:lastRow="0" w:firstColumn="1" w:lastColumn="0" w:oddVBand="0" w:evenVBand="0" w:oddHBand="0" w:evenHBand="0" w:firstRowFirstColumn="0" w:firstRowLastColumn="0" w:lastRowFirstColumn="0" w:lastRowLastColumn="0"/>
            <w:tcW w:w="3369" w:type="dxa"/>
            <w:hideMark/>
          </w:tcPr>
          <w:p w14:paraId="11196F35"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Calibri"/>
                <w:sz w:val="18"/>
                <w:lang w:eastAsia="pl-PL"/>
              </w:rPr>
              <w:t>Zaangażowanie uczniów w działalność szkoły</w:t>
            </w:r>
          </w:p>
        </w:tc>
        <w:tc>
          <w:tcPr>
            <w:tcW w:w="708" w:type="dxa"/>
            <w:noWrap/>
            <w:hideMark/>
          </w:tcPr>
          <w:p w14:paraId="17CC0020"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3,99</w:t>
            </w:r>
          </w:p>
        </w:tc>
        <w:tc>
          <w:tcPr>
            <w:tcW w:w="1134" w:type="dxa"/>
            <w:gridSpan w:val="3"/>
            <w:noWrap/>
            <w:hideMark/>
          </w:tcPr>
          <w:p w14:paraId="082D8420"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4,52</w:t>
            </w:r>
          </w:p>
        </w:tc>
        <w:tc>
          <w:tcPr>
            <w:tcW w:w="709" w:type="dxa"/>
            <w:noWrap/>
            <w:hideMark/>
          </w:tcPr>
          <w:p w14:paraId="55327174"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0,53</w:t>
            </w:r>
          </w:p>
        </w:tc>
        <w:tc>
          <w:tcPr>
            <w:tcW w:w="567" w:type="dxa"/>
            <w:noWrap/>
            <w:hideMark/>
          </w:tcPr>
          <w:p w14:paraId="0B3740F7"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3,85</w:t>
            </w:r>
          </w:p>
        </w:tc>
        <w:tc>
          <w:tcPr>
            <w:tcW w:w="1134" w:type="dxa"/>
            <w:noWrap/>
            <w:hideMark/>
          </w:tcPr>
          <w:p w14:paraId="61C404B1"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3,83</w:t>
            </w:r>
          </w:p>
        </w:tc>
        <w:tc>
          <w:tcPr>
            <w:tcW w:w="709" w:type="dxa"/>
            <w:noWrap/>
            <w:hideMark/>
          </w:tcPr>
          <w:p w14:paraId="37F4E6A6"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-0,02</w:t>
            </w:r>
          </w:p>
        </w:tc>
        <w:tc>
          <w:tcPr>
            <w:tcW w:w="850" w:type="dxa"/>
            <w:noWrap/>
            <w:hideMark/>
          </w:tcPr>
          <w:p w14:paraId="49413ACE"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0,55</w:t>
            </w:r>
          </w:p>
        </w:tc>
      </w:tr>
      <w:tr w:rsidR="002E32ED" w:rsidRPr="001B2B41" w14:paraId="5D529E3A" w14:textId="77777777" w:rsidTr="007B5F7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369" w:type="dxa"/>
            <w:hideMark/>
          </w:tcPr>
          <w:p w14:paraId="6BFEE262"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Calibri"/>
                <w:sz w:val="18"/>
                <w:lang w:eastAsia="pl-PL"/>
              </w:rPr>
              <w:t>Zaangażowanie nauczycieli w działalność szkoły</w:t>
            </w:r>
          </w:p>
        </w:tc>
        <w:tc>
          <w:tcPr>
            <w:tcW w:w="708" w:type="dxa"/>
            <w:noWrap/>
            <w:hideMark/>
          </w:tcPr>
          <w:p w14:paraId="2C3FC83B"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4,34</w:t>
            </w:r>
          </w:p>
        </w:tc>
        <w:tc>
          <w:tcPr>
            <w:tcW w:w="1134" w:type="dxa"/>
            <w:gridSpan w:val="3"/>
            <w:noWrap/>
            <w:hideMark/>
          </w:tcPr>
          <w:p w14:paraId="25F15860"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4,80</w:t>
            </w:r>
          </w:p>
        </w:tc>
        <w:tc>
          <w:tcPr>
            <w:tcW w:w="709" w:type="dxa"/>
            <w:noWrap/>
            <w:hideMark/>
          </w:tcPr>
          <w:p w14:paraId="36D825A8"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0,45</w:t>
            </w:r>
          </w:p>
        </w:tc>
        <w:tc>
          <w:tcPr>
            <w:tcW w:w="567" w:type="dxa"/>
            <w:noWrap/>
            <w:hideMark/>
          </w:tcPr>
          <w:p w14:paraId="1D295C26"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4,29</w:t>
            </w:r>
          </w:p>
        </w:tc>
        <w:tc>
          <w:tcPr>
            <w:tcW w:w="1134" w:type="dxa"/>
            <w:noWrap/>
            <w:hideMark/>
          </w:tcPr>
          <w:p w14:paraId="56C0E788"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4,33</w:t>
            </w:r>
          </w:p>
        </w:tc>
        <w:tc>
          <w:tcPr>
            <w:tcW w:w="709" w:type="dxa"/>
            <w:noWrap/>
            <w:hideMark/>
          </w:tcPr>
          <w:p w14:paraId="417F426B"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0,05</w:t>
            </w:r>
          </w:p>
        </w:tc>
        <w:tc>
          <w:tcPr>
            <w:tcW w:w="850" w:type="dxa"/>
            <w:noWrap/>
            <w:hideMark/>
          </w:tcPr>
          <w:p w14:paraId="4A23DFEF"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0,41</w:t>
            </w:r>
          </w:p>
        </w:tc>
      </w:tr>
      <w:tr w:rsidR="002E32ED" w:rsidRPr="001B2B41" w14:paraId="79CFF0A3" w14:textId="77777777" w:rsidTr="007B5F7E">
        <w:trPr>
          <w:trHeight w:val="188"/>
        </w:trPr>
        <w:tc>
          <w:tcPr>
            <w:cnfStyle w:val="001000000000" w:firstRow="0" w:lastRow="0" w:firstColumn="1" w:lastColumn="0" w:oddVBand="0" w:evenVBand="0" w:oddHBand="0" w:evenHBand="0" w:firstRowFirstColumn="0" w:firstRowLastColumn="0" w:lastRowFirstColumn="0" w:lastRowLastColumn="0"/>
            <w:tcW w:w="3369" w:type="dxa"/>
            <w:hideMark/>
          </w:tcPr>
          <w:p w14:paraId="458CFF12"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Calibri"/>
                <w:sz w:val="18"/>
                <w:lang w:eastAsia="pl-PL"/>
              </w:rPr>
              <w:t>Współpraca pomiędzy szkołą a przedsiębiorstwami</w:t>
            </w:r>
          </w:p>
        </w:tc>
        <w:tc>
          <w:tcPr>
            <w:tcW w:w="708" w:type="dxa"/>
            <w:noWrap/>
            <w:hideMark/>
          </w:tcPr>
          <w:p w14:paraId="4D2233E0"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4,00</w:t>
            </w:r>
          </w:p>
        </w:tc>
        <w:tc>
          <w:tcPr>
            <w:tcW w:w="1134" w:type="dxa"/>
            <w:gridSpan w:val="3"/>
            <w:noWrap/>
            <w:hideMark/>
          </w:tcPr>
          <w:p w14:paraId="342CE627"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4,52</w:t>
            </w:r>
          </w:p>
        </w:tc>
        <w:tc>
          <w:tcPr>
            <w:tcW w:w="709" w:type="dxa"/>
            <w:noWrap/>
            <w:hideMark/>
          </w:tcPr>
          <w:p w14:paraId="39862E79"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0,52</w:t>
            </w:r>
          </w:p>
        </w:tc>
        <w:tc>
          <w:tcPr>
            <w:tcW w:w="567" w:type="dxa"/>
            <w:noWrap/>
            <w:hideMark/>
          </w:tcPr>
          <w:p w14:paraId="6BB1BCA9"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4,15</w:t>
            </w:r>
          </w:p>
        </w:tc>
        <w:tc>
          <w:tcPr>
            <w:tcW w:w="1134" w:type="dxa"/>
            <w:noWrap/>
            <w:hideMark/>
          </w:tcPr>
          <w:p w14:paraId="1C9F7E08"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4,21</w:t>
            </w:r>
          </w:p>
        </w:tc>
        <w:tc>
          <w:tcPr>
            <w:tcW w:w="709" w:type="dxa"/>
            <w:noWrap/>
            <w:hideMark/>
          </w:tcPr>
          <w:p w14:paraId="2DB2BC45"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0,06</w:t>
            </w:r>
          </w:p>
        </w:tc>
        <w:tc>
          <w:tcPr>
            <w:tcW w:w="850" w:type="dxa"/>
            <w:noWrap/>
            <w:hideMark/>
          </w:tcPr>
          <w:p w14:paraId="3CED61DB"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0,46</w:t>
            </w:r>
          </w:p>
        </w:tc>
      </w:tr>
      <w:tr w:rsidR="002E32ED" w:rsidRPr="001B2B41" w14:paraId="01F33AC8" w14:textId="77777777" w:rsidTr="007B5F7E">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369" w:type="dxa"/>
            <w:hideMark/>
          </w:tcPr>
          <w:p w14:paraId="394F9480"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Calibri"/>
                <w:sz w:val="18"/>
                <w:lang w:eastAsia="pl-PL"/>
              </w:rPr>
              <w:t>Kompetencje i umiejętności praktycznych wśród uczniów</w:t>
            </w:r>
          </w:p>
        </w:tc>
        <w:tc>
          <w:tcPr>
            <w:tcW w:w="708" w:type="dxa"/>
            <w:noWrap/>
            <w:hideMark/>
          </w:tcPr>
          <w:p w14:paraId="3D00D2EF"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3,84</w:t>
            </w:r>
          </w:p>
        </w:tc>
        <w:tc>
          <w:tcPr>
            <w:tcW w:w="1134" w:type="dxa"/>
            <w:gridSpan w:val="3"/>
            <w:noWrap/>
            <w:hideMark/>
          </w:tcPr>
          <w:p w14:paraId="63A8EBE5"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4,44</w:t>
            </w:r>
          </w:p>
        </w:tc>
        <w:tc>
          <w:tcPr>
            <w:tcW w:w="709" w:type="dxa"/>
            <w:noWrap/>
            <w:hideMark/>
          </w:tcPr>
          <w:p w14:paraId="626E9E8F"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0,60</w:t>
            </w:r>
          </w:p>
        </w:tc>
        <w:tc>
          <w:tcPr>
            <w:tcW w:w="567" w:type="dxa"/>
            <w:noWrap/>
            <w:hideMark/>
          </w:tcPr>
          <w:p w14:paraId="48C5C325"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4,05</w:t>
            </w:r>
          </w:p>
        </w:tc>
        <w:tc>
          <w:tcPr>
            <w:tcW w:w="1134" w:type="dxa"/>
            <w:noWrap/>
            <w:hideMark/>
          </w:tcPr>
          <w:p w14:paraId="65DC2B32"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4,02</w:t>
            </w:r>
          </w:p>
        </w:tc>
        <w:tc>
          <w:tcPr>
            <w:tcW w:w="709" w:type="dxa"/>
            <w:noWrap/>
            <w:hideMark/>
          </w:tcPr>
          <w:p w14:paraId="4A720550"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-0,03</w:t>
            </w:r>
          </w:p>
        </w:tc>
        <w:tc>
          <w:tcPr>
            <w:tcW w:w="850" w:type="dxa"/>
            <w:noWrap/>
            <w:hideMark/>
          </w:tcPr>
          <w:p w14:paraId="1342BA56"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0,63</w:t>
            </w:r>
          </w:p>
        </w:tc>
      </w:tr>
      <w:tr w:rsidR="002E32ED" w:rsidRPr="001B2B41" w14:paraId="712CD7D3" w14:textId="77777777" w:rsidTr="007B5F7E">
        <w:trPr>
          <w:trHeight w:val="376"/>
        </w:trPr>
        <w:tc>
          <w:tcPr>
            <w:cnfStyle w:val="001000000000" w:firstRow="0" w:lastRow="0" w:firstColumn="1" w:lastColumn="0" w:oddVBand="0" w:evenVBand="0" w:oddHBand="0" w:evenHBand="0" w:firstRowFirstColumn="0" w:firstRowLastColumn="0" w:lastRowFirstColumn="0" w:lastRowLastColumn="0"/>
            <w:tcW w:w="3369" w:type="dxa"/>
            <w:hideMark/>
          </w:tcPr>
          <w:p w14:paraId="6B22AD59"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Calibri"/>
                <w:sz w:val="18"/>
                <w:lang w:eastAsia="pl-PL"/>
              </w:rPr>
              <w:t>Kompetencje nauczycieli zawodu oraz instruktorów praktycznej nauki zawodu</w:t>
            </w:r>
          </w:p>
        </w:tc>
        <w:tc>
          <w:tcPr>
            <w:tcW w:w="708" w:type="dxa"/>
            <w:noWrap/>
            <w:hideMark/>
          </w:tcPr>
          <w:p w14:paraId="2C610CFF"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4,33</w:t>
            </w:r>
          </w:p>
        </w:tc>
        <w:tc>
          <w:tcPr>
            <w:tcW w:w="1134" w:type="dxa"/>
            <w:gridSpan w:val="3"/>
            <w:noWrap/>
            <w:hideMark/>
          </w:tcPr>
          <w:p w14:paraId="223C5F24"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4,80</w:t>
            </w:r>
          </w:p>
        </w:tc>
        <w:tc>
          <w:tcPr>
            <w:tcW w:w="709" w:type="dxa"/>
            <w:noWrap/>
            <w:hideMark/>
          </w:tcPr>
          <w:p w14:paraId="011AAD04"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0,47</w:t>
            </w:r>
          </w:p>
        </w:tc>
        <w:tc>
          <w:tcPr>
            <w:tcW w:w="567" w:type="dxa"/>
            <w:noWrap/>
            <w:hideMark/>
          </w:tcPr>
          <w:p w14:paraId="776C2A1F"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4,56</w:t>
            </w:r>
          </w:p>
        </w:tc>
        <w:tc>
          <w:tcPr>
            <w:tcW w:w="1134" w:type="dxa"/>
            <w:noWrap/>
            <w:hideMark/>
          </w:tcPr>
          <w:p w14:paraId="0B98E5E5"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4,56</w:t>
            </w:r>
          </w:p>
        </w:tc>
        <w:tc>
          <w:tcPr>
            <w:tcW w:w="709" w:type="dxa"/>
            <w:noWrap/>
            <w:hideMark/>
          </w:tcPr>
          <w:p w14:paraId="03B84029"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0,00</w:t>
            </w:r>
          </w:p>
        </w:tc>
        <w:tc>
          <w:tcPr>
            <w:tcW w:w="850" w:type="dxa"/>
            <w:noWrap/>
            <w:hideMark/>
          </w:tcPr>
          <w:p w14:paraId="4E8220B0"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0,47</w:t>
            </w:r>
          </w:p>
        </w:tc>
      </w:tr>
      <w:tr w:rsidR="00820C4C" w:rsidRPr="001B2B41" w14:paraId="7A25B3F6" w14:textId="77777777" w:rsidTr="007B5F7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9180" w:type="dxa"/>
            <w:gridSpan w:val="10"/>
            <w:noWrap/>
            <w:hideMark/>
          </w:tcPr>
          <w:p w14:paraId="6060BC53" w14:textId="77777777" w:rsidR="00820C4C" w:rsidRPr="0002087A" w:rsidRDefault="00820C4C" w:rsidP="003E5E36">
            <w:pPr>
              <w:jc w:val="left"/>
              <w:rPr>
                <w:rFonts w:ascii="Calibri" w:eastAsia="Times New Roman" w:hAnsi="Calibri" w:cs="Calibri"/>
                <w:sz w:val="18"/>
                <w:lang w:eastAsia="pl-PL"/>
              </w:rPr>
            </w:pPr>
            <w:r w:rsidRPr="0002087A">
              <w:rPr>
                <w:rFonts w:ascii="Calibri" w:eastAsia="Times New Roman" w:hAnsi="Calibri" w:cs="Calibri"/>
                <w:sz w:val="18"/>
                <w:lang w:eastAsia="pl-PL"/>
              </w:rPr>
              <w:t>Jak oceniają Państwo wiedzę swoich uczniów w następujących aspektach</w:t>
            </w:r>
          </w:p>
        </w:tc>
      </w:tr>
      <w:tr w:rsidR="002E32ED" w:rsidRPr="001B2B41" w14:paraId="3F8039C9" w14:textId="77777777" w:rsidTr="007B5F7E">
        <w:trPr>
          <w:trHeight w:val="188"/>
        </w:trPr>
        <w:tc>
          <w:tcPr>
            <w:cnfStyle w:val="001000000000" w:firstRow="0" w:lastRow="0" w:firstColumn="1" w:lastColumn="0" w:oddVBand="0" w:evenVBand="0" w:oddHBand="0" w:evenHBand="0" w:firstRowFirstColumn="0" w:firstRowLastColumn="0" w:lastRowFirstColumn="0" w:lastRowLastColumn="0"/>
            <w:tcW w:w="3369" w:type="dxa"/>
            <w:hideMark/>
          </w:tcPr>
          <w:p w14:paraId="1375CF38"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Arial"/>
                <w:sz w:val="18"/>
                <w:lang w:eastAsia="pl-PL"/>
              </w:rPr>
              <w:t>Wiedza ogólna z nauczanych przedmiotów</w:t>
            </w:r>
          </w:p>
        </w:tc>
        <w:tc>
          <w:tcPr>
            <w:tcW w:w="744" w:type="dxa"/>
            <w:gridSpan w:val="2"/>
            <w:noWrap/>
            <w:hideMark/>
          </w:tcPr>
          <w:p w14:paraId="299B4BB8"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3,61</w:t>
            </w:r>
          </w:p>
        </w:tc>
        <w:tc>
          <w:tcPr>
            <w:tcW w:w="1098" w:type="dxa"/>
            <w:gridSpan w:val="2"/>
            <w:noWrap/>
            <w:hideMark/>
          </w:tcPr>
          <w:p w14:paraId="45B4AA69"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3,97</w:t>
            </w:r>
          </w:p>
        </w:tc>
        <w:tc>
          <w:tcPr>
            <w:tcW w:w="709" w:type="dxa"/>
            <w:noWrap/>
            <w:hideMark/>
          </w:tcPr>
          <w:p w14:paraId="3EFA4C72"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0,36</w:t>
            </w:r>
          </w:p>
        </w:tc>
        <w:tc>
          <w:tcPr>
            <w:tcW w:w="567" w:type="dxa"/>
            <w:noWrap/>
            <w:hideMark/>
          </w:tcPr>
          <w:p w14:paraId="23538423"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3,59</w:t>
            </w:r>
          </w:p>
        </w:tc>
        <w:tc>
          <w:tcPr>
            <w:tcW w:w="1134" w:type="dxa"/>
            <w:noWrap/>
            <w:hideMark/>
          </w:tcPr>
          <w:p w14:paraId="5600FA92"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3,64</w:t>
            </w:r>
          </w:p>
        </w:tc>
        <w:tc>
          <w:tcPr>
            <w:tcW w:w="709" w:type="dxa"/>
            <w:noWrap/>
            <w:hideMark/>
          </w:tcPr>
          <w:p w14:paraId="7E99944B"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0,05</w:t>
            </w:r>
          </w:p>
        </w:tc>
        <w:tc>
          <w:tcPr>
            <w:tcW w:w="850" w:type="dxa"/>
            <w:noWrap/>
            <w:hideMark/>
          </w:tcPr>
          <w:p w14:paraId="64DAF89B"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0,31</w:t>
            </w:r>
          </w:p>
        </w:tc>
      </w:tr>
      <w:tr w:rsidR="002E32ED" w:rsidRPr="001B2B41" w14:paraId="404FD1C1" w14:textId="77777777" w:rsidTr="007B5F7E">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369" w:type="dxa"/>
            <w:hideMark/>
          </w:tcPr>
          <w:p w14:paraId="3535A7F1"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Arial"/>
                <w:sz w:val="18"/>
                <w:lang w:eastAsia="pl-PL"/>
              </w:rPr>
              <w:t>Wiedza specjalistyczna związana z kształceniem w danym zawodzie</w:t>
            </w:r>
          </w:p>
        </w:tc>
        <w:tc>
          <w:tcPr>
            <w:tcW w:w="744" w:type="dxa"/>
            <w:gridSpan w:val="2"/>
            <w:noWrap/>
            <w:hideMark/>
          </w:tcPr>
          <w:p w14:paraId="66788CCF"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3,73</w:t>
            </w:r>
          </w:p>
        </w:tc>
        <w:tc>
          <w:tcPr>
            <w:tcW w:w="1098" w:type="dxa"/>
            <w:gridSpan w:val="2"/>
            <w:noWrap/>
            <w:hideMark/>
          </w:tcPr>
          <w:p w14:paraId="39BECD3F"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4,31</w:t>
            </w:r>
          </w:p>
        </w:tc>
        <w:tc>
          <w:tcPr>
            <w:tcW w:w="709" w:type="dxa"/>
            <w:noWrap/>
            <w:hideMark/>
          </w:tcPr>
          <w:p w14:paraId="67D4C0E0"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0,58</w:t>
            </w:r>
          </w:p>
        </w:tc>
        <w:tc>
          <w:tcPr>
            <w:tcW w:w="567" w:type="dxa"/>
            <w:noWrap/>
            <w:hideMark/>
          </w:tcPr>
          <w:p w14:paraId="67F84D28"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3,94</w:t>
            </w:r>
          </w:p>
        </w:tc>
        <w:tc>
          <w:tcPr>
            <w:tcW w:w="1134" w:type="dxa"/>
            <w:noWrap/>
            <w:hideMark/>
          </w:tcPr>
          <w:p w14:paraId="3BB4D411"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3,95</w:t>
            </w:r>
          </w:p>
        </w:tc>
        <w:tc>
          <w:tcPr>
            <w:tcW w:w="709" w:type="dxa"/>
            <w:noWrap/>
            <w:hideMark/>
          </w:tcPr>
          <w:p w14:paraId="23387688"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0,02</w:t>
            </w:r>
          </w:p>
        </w:tc>
        <w:tc>
          <w:tcPr>
            <w:tcW w:w="850" w:type="dxa"/>
            <w:noWrap/>
            <w:hideMark/>
          </w:tcPr>
          <w:p w14:paraId="4827F787"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0,56</w:t>
            </w:r>
          </w:p>
        </w:tc>
      </w:tr>
      <w:tr w:rsidR="002E32ED" w:rsidRPr="001B2B41" w14:paraId="0B474730" w14:textId="77777777" w:rsidTr="007B5F7E">
        <w:trPr>
          <w:trHeight w:val="188"/>
        </w:trPr>
        <w:tc>
          <w:tcPr>
            <w:cnfStyle w:val="001000000000" w:firstRow="0" w:lastRow="0" w:firstColumn="1" w:lastColumn="0" w:oddVBand="0" w:evenVBand="0" w:oddHBand="0" w:evenHBand="0" w:firstRowFirstColumn="0" w:firstRowLastColumn="0" w:lastRowFirstColumn="0" w:lastRowLastColumn="0"/>
            <w:tcW w:w="3369" w:type="dxa"/>
            <w:hideMark/>
          </w:tcPr>
          <w:p w14:paraId="512EBF8A"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Arial"/>
                <w:sz w:val="18"/>
                <w:lang w:eastAsia="pl-PL"/>
              </w:rPr>
              <w:t>Praktyczne umiejętności zawodowe</w:t>
            </w:r>
          </w:p>
        </w:tc>
        <w:tc>
          <w:tcPr>
            <w:tcW w:w="744" w:type="dxa"/>
            <w:gridSpan w:val="2"/>
            <w:noWrap/>
            <w:hideMark/>
          </w:tcPr>
          <w:p w14:paraId="0976F697"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3,86</w:t>
            </w:r>
          </w:p>
        </w:tc>
        <w:tc>
          <w:tcPr>
            <w:tcW w:w="1098" w:type="dxa"/>
            <w:gridSpan w:val="2"/>
            <w:noWrap/>
            <w:hideMark/>
          </w:tcPr>
          <w:p w14:paraId="33DEB016"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4,48</w:t>
            </w:r>
          </w:p>
        </w:tc>
        <w:tc>
          <w:tcPr>
            <w:tcW w:w="709" w:type="dxa"/>
            <w:noWrap/>
            <w:hideMark/>
          </w:tcPr>
          <w:p w14:paraId="0115FC6F"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0,62</w:t>
            </w:r>
          </w:p>
        </w:tc>
        <w:tc>
          <w:tcPr>
            <w:tcW w:w="567" w:type="dxa"/>
            <w:noWrap/>
            <w:hideMark/>
          </w:tcPr>
          <w:p w14:paraId="4381E9E4"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4,00</w:t>
            </w:r>
          </w:p>
        </w:tc>
        <w:tc>
          <w:tcPr>
            <w:tcW w:w="1134" w:type="dxa"/>
            <w:noWrap/>
            <w:hideMark/>
          </w:tcPr>
          <w:p w14:paraId="69F6B92D"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4,02</w:t>
            </w:r>
          </w:p>
        </w:tc>
        <w:tc>
          <w:tcPr>
            <w:tcW w:w="709" w:type="dxa"/>
            <w:noWrap/>
            <w:hideMark/>
          </w:tcPr>
          <w:p w14:paraId="392AE77D"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0,02</w:t>
            </w:r>
          </w:p>
        </w:tc>
        <w:tc>
          <w:tcPr>
            <w:tcW w:w="850" w:type="dxa"/>
            <w:noWrap/>
            <w:hideMark/>
          </w:tcPr>
          <w:p w14:paraId="3DFF6EB7"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0,60</w:t>
            </w:r>
          </w:p>
        </w:tc>
      </w:tr>
      <w:tr w:rsidR="002E32ED" w:rsidRPr="001B2B41" w14:paraId="3EC91D6E" w14:textId="77777777" w:rsidTr="007B5F7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369" w:type="dxa"/>
            <w:hideMark/>
          </w:tcPr>
          <w:p w14:paraId="4882B4B5"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Arial"/>
                <w:sz w:val="18"/>
                <w:lang w:eastAsia="pl-PL"/>
              </w:rPr>
              <w:t>Znajomość środowiska pracy u pracodawcy</w:t>
            </w:r>
          </w:p>
        </w:tc>
        <w:tc>
          <w:tcPr>
            <w:tcW w:w="744" w:type="dxa"/>
            <w:gridSpan w:val="2"/>
            <w:noWrap/>
            <w:hideMark/>
          </w:tcPr>
          <w:p w14:paraId="595B6D67"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3,62</w:t>
            </w:r>
          </w:p>
        </w:tc>
        <w:tc>
          <w:tcPr>
            <w:tcW w:w="1098" w:type="dxa"/>
            <w:gridSpan w:val="2"/>
            <w:noWrap/>
            <w:hideMark/>
          </w:tcPr>
          <w:p w14:paraId="2380E69B"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4,11</w:t>
            </w:r>
          </w:p>
        </w:tc>
        <w:tc>
          <w:tcPr>
            <w:tcW w:w="709" w:type="dxa"/>
            <w:noWrap/>
            <w:hideMark/>
          </w:tcPr>
          <w:p w14:paraId="231B8826"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0,49</w:t>
            </w:r>
          </w:p>
        </w:tc>
        <w:tc>
          <w:tcPr>
            <w:tcW w:w="567" w:type="dxa"/>
            <w:noWrap/>
            <w:hideMark/>
          </w:tcPr>
          <w:p w14:paraId="7242EA5A"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4,02</w:t>
            </w:r>
          </w:p>
        </w:tc>
        <w:tc>
          <w:tcPr>
            <w:tcW w:w="1134" w:type="dxa"/>
            <w:noWrap/>
            <w:hideMark/>
          </w:tcPr>
          <w:p w14:paraId="0C2562A7"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3,97</w:t>
            </w:r>
          </w:p>
        </w:tc>
        <w:tc>
          <w:tcPr>
            <w:tcW w:w="709" w:type="dxa"/>
            <w:noWrap/>
            <w:hideMark/>
          </w:tcPr>
          <w:p w14:paraId="11466023"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-0,05</w:t>
            </w:r>
          </w:p>
        </w:tc>
        <w:tc>
          <w:tcPr>
            <w:tcW w:w="850" w:type="dxa"/>
            <w:noWrap/>
            <w:hideMark/>
          </w:tcPr>
          <w:p w14:paraId="53E2CC6C"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0,54</w:t>
            </w:r>
          </w:p>
        </w:tc>
      </w:tr>
      <w:tr w:rsidR="002E32ED" w:rsidRPr="001B2B41" w14:paraId="1BD63E77" w14:textId="77777777" w:rsidTr="007B5F7E">
        <w:trPr>
          <w:trHeight w:val="376"/>
        </w:trPr>
        <w:tc>
          <w:tcPr>
            <w:cnfStyle w:val="001000000000" w:firstRow="0" w:lastRow="0" w:firstColumn="1" w:lastColumn="0" w:oddVBand="0" w:evenVBand="0" w:oddHBand="0" w:evenHBand="0" w:firstRowFirstColumn="0" w:firstRowLastColumn="0" w:lastRowFirstColumn="0" w:lastRowLastColumn="0"/>
            <w:tcW w:w="3369" w:type="dxa"/>
            <w:hideMark/>
          </w:tcPr>
          <w:p w14:paraId="447AE8C4"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Arial"/>
                <w:sz w:val="18"/>
                <w:lang w:eastAsia="pl-PL"/>
              </w:rPr>
              <w:t>Umiejętność poruszania się po regionalnym rynku pracy</w:t>
            </w:r>
          </w:p>
        </w:tc>
        <w:tc>
          <w:tcPr>
            <w:tcW w:w="744" w:type="dxa"/>
            <w:gridSpan w:val="2"/>
            <w:noWrap/>
            <w:hideMark/>
          </w:tcPr>
          <w:p w14:paraId="3A407EF2"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3,71</w:t>
            </w:r>
          </w:p>
        </w:tc>
        <w:tc>
          <w:tcPr>
            <w:tcW w:w="1098" w:type="dxa"/>
            <w:gridSpan w:val="2"/>
            <w:noWrap/>
            <w:hideMark/>
          </w:tcPr>
          <w:p w14:paraId="5752D84A"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4,09</w:t>
            </w:r>
          </w:p>
        </w:tc>
        <w:tc>
          <w:tcPr>
            <w:tcW w:w="709" w:type="dxa"/>
            <w:noWrap/>
            <w:hideMark/>
          </w:tcPr>
          <w:p w14:paraId="20406893"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0,38</w:t>
            </w:r>
          </w:p>
        </w:tc>
        <w:tc>
          <w:tcPr>
            <w:tcW w:w="567" w:type="dxa"/>
            <w:noWrap/>
            <w:hideMark/>
          </w:tcPr>
          <w:p w14:paraId="61F89323"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3,88</w:t>
            </w:r>
          </w:p>
        </w:tc>
        <w:tc>
          <w:tcPr>
            <w:tcW w:w="1134" w:type="dxa"/>
            <w:noWrap/>
            <w:hideMark/>
          </w:tcPr>
          <w:p w14:paraId="18318759"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3,91</w:t>
            </w:r>
          </w:p>
        </w:tc>
        <w:tc>
          <w:tcPr>
            <w:tcW w:w="709" w:type="dxa"/>
            <w:noWrap/>
            <w:hideMark/>
          </w:tcPr>
          <w:p w14:paraId="3F222ECF"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0,03</w:t>
            </w:r>
          </w:p>
        </w:tc>
        <w:tc>
          <w:tcPr>
            <w:tcW w:w="850" w:type="dxa"/>
            <w:noWrap/>
            <w:hideMark/>
          </w:tcPr>
          <w:p w14:paraId="1D6A8DFF"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0,34</w:t>
            </w:r>
          </w:p>
        </w:tc>
      </w:tr>
      <w:tr w:rsidR="002E32ED" w:rsidRPr="001B2B41" w14:paraId="57E83B5C" w14:textId="77777777" w:rsidTr="007B5F7E">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369" w:type="dxa"/>
            <w:hideMark/>
          </w:tcPr>
          <w:p w14:paraId="05271202"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Arial"/>
                <w:sz w:val="18"/>
                <w:lang w:eastAsia="pl-PL"/>
              </w:rPr>
              <w:t>Umiejętność rozpoznawania własnych potrzeb edukacyjnych oraz planowania ścieżki kariery zawodowej</w:t>
            </w:r>
          </w:p>
        </w:tc>
        <w:tc>
          <w:tcPr>
            <w:tcW w:w="744" w:type="dxa"/>
            <w:gridSpan w:val="2"/>
            <w:noWrap/>
            <w:hideMark/>
          </w:tcPr>
          <w:p w14:paraId="46EA81BC"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3,70</w:t>
            </w:r>
          </w:p>
        </w:tc>
        <w:tc>
          <w:tcPr>
            <w:tcW w:w="1098" w:type="dxa"/>
            <w:gridSpan w:val="2"/>
            <w:noWrap/>
            <w:hideMark/>
          </w:tcPr>
          <w:p w14:paraId="2D7FED2E"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4,15</w:t>
            </w:r>
          </w:p>
        </w:tc>
        <w:tc>
          <w:tcPr>
            <w:tcW w:w="709" w:type="dxa"/>
            <w:noWrap/>
            <w:hideMark/>
          </w:tcPr>
          <w:p w14:paraId="1FBAB60F"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0,45</w:t>
            </w:r>
          </w:p>
        </w:tc>
        <w:tc>
          <w:tcPr>
            <w:tcW w:w="567" w:type="dxa"/>
            <w:noWrap/>
            <w:hideMark/>
          </w:tcPr>
          <w:p w14:paraId="58E727B4"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3,79</w:t>
            </w:r>
          </w:p>
        </w:tc>
        <w:tc>
          <w:tcPr>
            <w:tcW w:w="1134" w:type="dxa"/>
            <w:noWrap/>
            <w:hideMark/>
          </w:tcPr>
          <w:p w14:paraId="36EAFE75"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3,82</w:t>
            </w:r>
          </w:p>
        </w:tc>
        <w:tc>
          <w:tcPr>
            <w:tcW w:w="709" w:type="dxa"/>
            <w:noWrap/>
            <w:hideMark/>
          </w:tcPr>
          <w:p w14:paraId="70308EB7"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0,03</w:t>
            </w:r>
          </w:p>
        </w:tc>
        <w:tc>
          <w:tcPr>
            <w:tcW w:w="850" w:type="dxa"/>
            <w:noWrap/>
            <w:hideMark/>
          </w:tcPr>
          <w:p w14:paraId="11DFF5E0" w14:textId="77777777" w:rsidR="00820C4C" w:rsidRPr="00BD16AE" w:rsidRDefault="00820C4C"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0,42</w:t>
            </w:r>
          </w:p>
        </w:tc>
      </w:tr>
      <w:tr w:rsidR="002E32ED" w:rsidRPr="001B2B41" w14:paraId="20EA38F1" w14:textId="77777777" w:rsidTr="007B5F7E">
        <w:trPr>
          <w:trHeight w:val="188"/>
        </w:trPr>
        <w:tc>
          <w:tcPr>
            <w:cnfStyle w:val="001000000000" w:firstRow="0" w:lastRow="0" w:firstColumn="1" w:lastColumn="0" w:oddVBand="0" w:evenVBand="0" w:oddHBand="0" w:evenHBand="0" w:firstRowFirstColumn="0" w:firstRowLastColumn="0" w:lastRowFirstColumn="0" w:lastRowLastColumn="0"/>
            <w:tcW w:w="3369" w:type="dxa"/>
            <w:hideMark/>
          </w:tcPr>
          <w:p w14:paraId="033A1FFA" w14:textId="77777777" w:rsidR="00820C4C" w:rsidRPr="0002087A" w:rsidRDefault="00820C4C" w:rsidP="00DF64C7">
            <w:pPr>
              <w:jc w:val="left"/>
              <w:rPr>
                <w:rFonts w:ascii="Calibri" w:eastAsia="Times New Roman" w:hAnsi="Calibri" w:cs="Calibri"/>
                <w:sz w:val="18"/>
                <w:lang w:eastAsia="pl-PL"/>
              </w:rPr>
            </w:pPr>
            <w:r w:rsidRPr="0002087A">
              <w:rPr>
                <w:rFonts w:ascii="Calibri" w:eastAsia="Times New Roman" w:hAnsi="Calibri" w:cs="Arial"/>
                <w:sz w:val="18"/>
                <w:lang w:eastAsia="pl-PL"/>
              </w:rPr>
              <w:t>Umiejętność pracy zespołowej</w:t>
            </w:r>
          </w:p>
        </w:tc>
        <w:tc>
          <w:tcPr>
            <w:tcW w:w="744" w:type="dxa"/>
            <w:gridSpan w:val="2"/>
            <w:noWrap/>
            <w:hideMark/>
          </w:tcPr>
          <w:p w14:paraId="67E96E58"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3,77</w:t>
            </w:r>
          </w:p>
        </w:tc>
        <w:tc>
          <w:tcPr>
            <w:tcW w:w="1098" w:type="dxa"/>
            <w:gridSpan w:val="2"/>
            <w:noWrap/>
            <w:hideMark/>
          </w:tcPr>
          <w:p w14:paraId="013B0C7A"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4,22</w:t>
            </w:r>
          </w:p>
        </w:tc>
        <w:tc>
          <w:tcPr>
            <w:tcW w:w="709" w:type="dxa"/>
            <w:noWrap/>
            <w:hideMark/>
          </w:tcPr>
          <w:p w14:paraId="515A5B04"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0,45</w:t>
            </w:r>
          </w:p>
        </w:tc>
        <w:tc>
          <w:tcPr>
            <w:tcW w:w="567" w:type="dxa"/>
            <w:noWrap/>
            <w:hideMark/>
          </w:tcPr>
          <w:p w14:paraId="12629939"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3,85</w:t>
            </w:r>
          </w:p>
        </w:tc>
        <w:tc>
          <w:tcPr>
            <w:tcW w:w="1134" w:type="dxa"/>
            <w:noWrap/>
            <w:hideMark/>
          </w:tcPr>
          <w:p w14:paraId="6B9CECCE"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3,92</w:t>
            </w:r>
          </w:p>
        </w:tc>
        <w:tc>
          <w:tcPr>
            <w:tcW w:w="709" w:type="dxa"/>
            <w:noWrap/>
            <w:hideMark/>
          </w:tcPr>
          <w:p w14:paraId="7E359783"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0,08</w:t>
            </w:r>
          </w:p>
        </w:tc>
        <w:tc>
          <w:tcPr>
            <w:tcW w:w="850" w:type="dxa"/>
            <w:noWrap/>
            <w:hideMark/>
          </w:tcPr>
          <w:p w14:paraId="69028661" w14:textId="77777777" w:rsidR="00820C4C" w:rsidRPr="00BD16AE" w:rsidRDefault="00820C4C"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lang w:eastAsia="pl-PL"/>
              </w:rPr>
            </w:pPr>
            <w:r w:rsidRPr="00BD16AE">
              <w:rPr>
                <w:rFonts w:ascii="Calibri" w:eastAsia="Times New Roman" w:hAnsi="Calibri" w:cs="Calibri"/>
                <w:color w:val="000000"/>
                <w:sz w:val="18"/>
                <w:lang w:eastAsia="pl-PL"/>
              </w:rPr>
              <w:t>0,37</w:t>
            </w:r>
          </w:p>
        </w:tc>
      </w:tr>
    </w:tbl>
    <w:p w14:paraId="54973923" w14:textId="77777777" w:rsidR="00E73C33" w:rsidRDefault="00E73C33" w:rsidP="00DF64C7">
      <w:pPr>
        <w:pStyle w:val="podpisrdailustracji"/>
        <w:spacing w:line="271" w:lineRule="auto"/>
        <w:jc w:val="left"/>
      </w:pPr>
      <w:r>
        <w:t xml:space="preserve">Źródło: opracowanie własne na podstawie badania CAWI/CATI </w:t>
      </w:r>
      <w:r w:rsidR="00B52932">
        <w:t>z nauczycielami i dyrektorami placówek</w:t>
      </w:r>
      <w:r w:rsidR="002663C6">
        <w:t xml:space="preserve"> </w:t>
      </w:r>
      <w:r w:rsidR="00B52932">
        <w:t xml:space="preserve">wspartych </w:t>
      </w:r>
      <w:r w:rsidR="002663C6">
        <w:t xml:space="preserve">w ramach Działania 12.2 RPO WSL, n=152 oraz na podstawie badania CAWI/ CATI z nauczycielami </w:t>
      </w:r>
      <w:r w:rsidR="00B52932">
        <w:t xml:space="preserve">i dyrektorami </w:t>
      </w:r>
      <w:r w:rsidR="002663C6">
        <w:t>w ramach metody kontrfaktycznej – podmioty, które nie korzystał</w:t>
      </w:r>
      <w:r w:rsidR="002E32ED">
        <w:t>y ze wsparcia w </w:t>
      </w:r>
      <w:r w:rsidR="002663C6">
        <w:t>ramach Działania 12.2, n=84.</w:t>
      </w:r>
    </w:p>
    <w:p w14:paraId="4877C769" w14:textId="77777777" w:rsidR="00591415" w:rsidRDefault="00EA2E51" w:rsidP="00DF64C7">
      <w:pPr>
        <w:jc w:val="left"/>
        <w:rPr>
          <w:rStyle w:val="Odwoanieintensywne"/>
        </w:rPr>
      </w:pPr>
      <w:r w:rsidRPr="00EA2E51">
        <w:rPr>
          <w:rStyle w:val="Odwoanieintensywne"/>
        </w:rPr>
        <w:t>Podsumowanie</w:t>
      </w:r>
    </w:p>
    <w:p w14:paraId="3629DCDD" w14:textId="6A40377C" w:rsidR="00591415" w:rsidRDefault="00591415" w:rsidP="00DF64C7">
      <w:pPr>
        <w:spacing w:after="1320"/>
        <w:jc w:val="left"/>
      </w:pPr>
      <w:r>
        <w:t>Zrealizowane ba</w:t>
      </w:r>
      <w:r w:rsidR="00443AD1">
        <w:t>dania jednoznacznie potwierdziły</w:t>
      </w:r>
      <w:r>
        <w:t xml:space="preserve">, że </w:t>
      </w:r>
      <w:r w:rsidRPr="009066F0">
        <w:t>udział w projektach miał bardzo duże znaczenie w przypadku efektów uzyskiwanych przez wszystkich odbiorców</w:t>
      </w:r>
      <w:r>
        <w:t>, choć wykazano, że na osiągane rezultaty wpływ mogą mieć również czynniki zewnętrzne, w tym m.in. zmiany w szkolnictwie i przepisach prawa.</w:t>
      </w:r>
      <w:r w:rsidRPr="00401FD5">
        <w:t xml:space="preserve"> </w:t>
      </w:r>
      <w:r>
        <w:t>Zdaniem badanych osiągnięcie części efektów bez realizacji projektów w ramach RPO WSL 2014-2020 nie byłoby możliwe. Wśród efektów tego rodzaju wskazać należy w szczególności: s</w:t>
      </w:r>
      <w:r w:rsidRPr="00401FD5">
        <w:t>tworzenie w szkole i placówkach prowadzących kształcenie zawodowe warunków kształcenia zawodu, odzwierciedlających naturalne warunki pracy</w:t>
      </w:r>
      <w:r>
        <w:t>; d</w:t>
      </w:r>
      <w:r w:rsidRPr="00401FD5">
        <w:t>odatkowe zajęcia specjalistyczne (szkolenia i kursy zawodowe)</w:t>
      </w:r>
      <w:r>
        <w:t>; d</w:t>
      </w:r>
      <w:r w:rsidRPr="00401FD5">
        <w:t>oposażenie pracowni praktycznej nauki zawodu w nowoczesny sprzęt i materiały dydaktyczne</w:t>
      </w:r>
      <w:r>
        <w:t>; r</w:t>
      </w:r>
      <w:r w:rsidRPr="00401FD5">
        <w:t>ozszerzenie oferty o dodatkowe zajęcia wyrównujące szanse edukacyjne dzieci</w:t>
      </w:r>
      <w:r w:rsidR="00233BF6">
        <w:t>.</w:t>
      </w:r>
    </w:p>
    <w:p w14:paraId="7F0ADC54" w14:textId="77777777" w:rsidR="00A464CB" w:rsidRDefault="00A464CB" w:rsidP="00DF64C7">
      <w:pPr>
        <w:pStyle w:val="Nagwek3"/>
        <w:spacing w:line="271" w:lineRule="auto"/>
        <w:ind w:left="426"/>
        <w:jc w:val="left"/>
        <w:rPr>
          <w:rFonts w:eastAsia="Arial"/>
        </w:rPr>
      </w:pPr>
      <w:bookmarkStart w:id="83" w:name="_Toc38035014"/>
      <w:r w:rsidRPr="00610089">
        <w:rPr>
          <w:rFonts w:eastAsia="Arial"/>
        </w:rPr>
        <w:t>W jakim stopniu projekty realizowane</w:t>
      </w:r>
      <w:r>
        <w:rPr>
          <w:rFonts w:eastAsia="Arial"/>
        </w:rPr>
        <w:t xml:space="preserve"> w </w:t>
      </w:r>
      <w:r w:rsidRPr="00610089">
        <w:rPr>
          <w:rFonts w:eastAsia="Arial"/>
        </w:rPr>
        <w:t>ramach OP XI</w:t>
      </w:r>
      <w:r>
        <w:rPr>
          <w:rFonts w:eastAsia="Arial"/>
        </w:rPr>
        <w:t xml:space="preserve"> i </w:t>
      </w:r>
      <w:r w:rsidRPr="00610089">
        <w:rPr>
          <w:rFonts w:eastAsia="Arial"/>
        </w:rPr>
        <w:t>XII RPO WSL przyczyniły się do realizacji celów strategicznych</w:t>
      </w:r>
      <w:r>
        <w:rPr>
          <w:rFonts w:eastAsia="Arial"/>
        </w:rPr>
        <w:t xml:space="preserve"> i </w:t>
      </w:r>
      <w:r w:rsidRPr="00610089">
        <w:rPr>
          <w:rFonts w:eastAsia="Arial"/>
        </w:rPr>
        <w:t>operacyjnych określonych</w:t>
      </w:r>
      <w:r>
        <w:rPr>
          <w:rFonts w:eastAsia="Arial"/>
        </w:rPr>
        <w:t xml:space="preserve"> w </w:t>
      </w:r>
      <w:r w:rsidRPr="00610089">
        <w:rPr>
          <w:rFonts w:eastAsia="Arial"/>
        </w:rPr>
        <w:t>Programie Rozwoju Szkolnictwa Zawodowego Województwa Śląskiego na lata 2014-2020 oraz</w:t>
      </w:r>
      <w:r>
        <w:rPr>
          <w:rFonts w:eastAsia="Arial"/>
        </w:rPr>
        <w:t xml:space="preserve"> w </w:t>
      </w:r>
      <w:r w:rsidRPr="00610089">
        <w:rPr>
          <w:rFonts w:eastAsia="Arial"/>
        </w:rPr>
        <w:t xml:space="preserve">ramach celu operacyjnego </w:t>
      </w:r>
      <w:r w:rsidRPr="00610089">
        <w:rPr>
          <w:rFonts w:eastAsia="Arial"/>
          <w:i/>
        </w:rPr>
        <w:t>B.2. Rozwój kompetencji, umiejętności</w:t>
      </w:r>
      <w:r>
        <w:rPr>
          <w:rFonts w:eastAsia="Arial"/>
          <w:i/>
        </w:rPr>
        <w:t xml:space="preserve"> i </w:t>
      </w:r>
      <w:r w:rsidRPr="00610089">
        <w:rPr>
          <w:rFonts w:eastAsia="Arial"/>
          <w:i/>
        </w:rPr>
        <w:t>wzrost poziomu aktywności</w:t>
      </w:r>
      <w:r w:rsidRPr="00610089">
        <w:rPr>
          <w:rFonts w:eastAsia="Arial"/>
        </w:rPr>
        <w:t xml:space="preserve"> </w:t>
      </w:r>
      <w:r w:rsidRPr="00610089">
        <w:rPr>
          <w:rFonts w:eastAsia="Arial"/>
          <w:i/>
        </w:rPr>
        <w:t xml:space="preserve">mieszkańców </w:t>
      </w:r>
      <w:r w:rsidRPr="00610089">
        <w:rPr>
          <w:rFonts w:eastAsia="Arial"/>
        </w:rPr>
        <w:t>określonego</w:t>
      </w:r>
      <w:r>
        <w:rPr>
          <w:rFonts w:eastAsia="Arial"/>
        </w:rPr>
        <w:t xml:space="preserve"> w </w:t>
      </w:r>
      <w:r w:rsidRPr="00610089">
        <w:rPr>
          <w:rFonts w:eastAsia="Arial"/>
        </w:rPr>
        <w:t>Strategii Rozwoju Województwa Śląskiego „Śląskie</w:t>
      </w:r>
      <w:r w:rsidRPr="00610089">
        <w:rPr>
          <w:rFonts w:eastAsia="Arial"/>
          <w:i/>
        </w:rPr>
        <w:t xml:space="preserve"> </w:t>
      </w:r>
      <w:r w:rsidRPr="00610089">
        <w:rPr>
          <w:rFonts w:eastAsia="Arial"/>
        </w:rPr>
        <w:t>2020+”?</w:t>
      </w:r>
      <w:bookmarkEnd w:id="80"/>
      <w:bookmarkEnd w:id="81"/>
      <w:bookmarkEnd w:id="82"/>
      <w:bookmarkEnd w:id="83"/>
    </w:p>
    <w:p w14:paraId="5EB37EBF" w14:textId="77777777" w:rsidR="00A36F1E" w:rsidRPr="00EB643B" w:rsidRDefault="00A36F1E" w:rsidP="00DF64C7">
      <w:pPr>
        <w:jc w:val="left"/>
      </w:pPr>
      <w:r>
        <w:t xml:space="preserve">W </w:t>
      </w:r>
      <w:r w:rsidRPr="000D337A">
        <w:rPr>
          <w:i/>
        </w:rPr>
        <w:t>Szczegółowym Opis</w:t>
      </w:r>
      <w:r w:rsidR="005F2B5F">
        <w:rPr>
          <w:i/>
        </w:rPr>
        <w:t>ie</w:t>
      </w:r>
      <w:r w:rsidRPr="000D337A">
        <w:rPr>
          <w:i/>
        </w:rPr>
        <w:t xml:space="preserve"> Osi Priorytetowych Regionalnego Programu Operacyjnego Województwa Śląskiego na lata 2014-2020</w:t>
      </w:r>
      <w:r>
        <w:t xml:space="preserve"> zawarto opis celów głównych oraz szczegółowych OP XI i XII. Zgodnie z dokumentem </w:t>
      </w:r>
      <w:r w:rsidRPr="00EB643B">
        <w:t>wsparcie w ramach Osi Priorytetowej XI Wzmocnienie potencjału edukacyjnego zakłada poprawę dostępu do wysokiej jakości edukacji, z kolei cele szczegółowe osi priorytetowej obejmują</w:t>
      </w:r>
      <w:r w:rsidRPr="00EB643B">
        <w:rPr>
          <w:vertAlign w:val="superscript"/>
        </w:rPr>
        <w:footnoteReference w:id="87"/>
      </w:r>
      <w:r w:rsidRPr="00EB643B">
        <w:t>:</w:t>
      </w:r>
    </w:p>
    <w:p w14:paraId="27124586" w14:textId="77777777" w:rsidR="00A36F1E" w:rsidRDefault="00A36F1E" w:rsidP="00DF64C7">
      <w:pPr>
        <w:pStyle w:val="Akapitzlist"/>
        <w:numPr>
          <w:ilvl w:val="0"/>
          <w:numId w:val="12"/>
        </w:numPr>
        <w:jc w:val="left"/>
      </w:pPr>
      <w:r>
        <w:t>Wzrost dostępu do wysokiej jakości edukacji przedszkolnej w województwie śląskim.</w:t>
      </w:r>
    </w:p>
    <w:p w14:paraId="0301DAE2" w14:textId="77777777" w:rsidR="00A36F1E" w:rsidRDefault="00A36F1E" w:rsidP="00DF64C7">
      <w:pPr>
        <w:pStyle w:val="Akapitzlist"/>
        <w:numPr>
          <w:ilvl w:val="0"/>
          <w:numId w:val="12"/>
        </w:numPr>
        <w:jc w:val="left"/>
      </w:pPr>
      <w:r>
        <w:t>Wzrost dostępu do wysokiej jakości oferty kształcenia ogólnokształcącego.</w:t>
      </w:r>
    </w:p>
    <w:p w14:paraId="7936C23A" w14:textId="77777777" w:rsidR="00A36F1E" w:rsidRDefault="00A36F1E" w:rsidP="00DF64C7">
      <w:pPr>
        <w:pStyle w:val="Akapitzlist"/>
        <w:numPr>
          <w:ilvl w:val="0"/>
          <w:numId w:val="12"/>
        </w:numPr>
        <w:jc w:val="left"/>
      </w:pPr>
      <w:r>
        <w:t>Wzrost kwalifikacji i kompetencji w zakresie umiejętności cyfrowych i języków obcych dorosłych mieszkańców województwa śląskiego, w szczególności osób starszych oraz osób o niskich kwalifikacjach.</w:t>
      </w:r>
    </w:p>
    <w:p w14:paraId="44C618C5" w14:textId="77777777" w:rsidR="00A36F1E" w:rsidRDefault="00A36F1E" w:rsidP="00DF64C7">
      <w:pPr>
        <w:pStyle w:val="Akapitzlist"/>
        <w:numPr>
          <w:ilvl w:val="0"/>
          <w:numId w:val="12"/>
        </w:numPr>
        <w:spacing w:after="240"/>
        <w:jc w:val="left"/>
      </w:pPr>
      <w:r>
        <w:t>Wzrost zatrudnienia wśród absolwentów szkół i placówek kształcenia zawodowego poprzez poprawę efektywności realizowanego wsparcia.</w:t>
      </w:r>
    </w:p>
    <w:p w14:paraId="7EB1051F" w14:textId="77777777" w:rsidR="00A36F1E" w:rsidRDefault="00A36F1E" w:rsidP="00DF64C7">
      <w:pPr>
        <w:jc w:val="left"/>
      </w:pPr>
      <w:r>
        <w:t xml:space="preserve">Celem głównym </w:t>
      </w:r>
      <w:r w:rsidRPr="00EB643B">
        <w:t>Osi Priorytetowej XII Infrastruktura edukacyjna</w:t>
      </w:r>
      <w:r w:rsidRPr="00EB643B">
        <w:rPr>
          <w:vertAlign w:val="superscript"/>
        </w:rPr>
        <w:footnoteReference w:id="88"/>
      </w:r>
      <w:r>
        <w:t xml:space="preserve"> jest z kolei wzrost potencjału edukacyjnego Województwa Śląskiego w kontekście zróżnicowania demograficznego, potrzeb rynku pracy oraz rozwoju kreatywności młodzieży w regionie. Cele szczegółowe osi obejmują natomiast:</w:t>
      </w:r>
    </w:p>
    <w:p w14:paraId="681E6202" w14:textId="77777777" w:rsidR="00A36F1E" w:rsidRDefault="00A36F1E" w:rsidP="00DF64C7">
      <w:pPr>
        <w:pStyle w:val="Akapitzlist"/>
        <w:numPr>
          <w:ilvl w:val="0"/>
          <w:numId w:val="13"/>
        </w:numPr>
        <w:jc w:val="left"/>
      </w:pPr>
      <w:r>
        <w:t>Zwiększenie liczby miejsc w placówkach wychowania przedszkolnego.</w:t>
      </w:r>
    </w:p>
    <w:p w14:paraId="70A2C85B" w14:textId="77777777" w:rsidR="00A36F1E" w:rsidRDefault="00A36F1E" w:rsidP="00DF64C7">
      <w:pPr>
        <w:pStyle w:val="Akapitzlist"/>
        <w:numPr>
          <w:ilvl w:val="0"/>
          <w:numId w:val="13"/>
        </w:numPr>
        <w:jc w:val="left"/>
      </w:pPr>
      <w:r>
        <w:t>Zwiększenie kompetencji uczniów szkół kształcących w zawodach.</w:t>
      </w:r>
    </w:p>
    <w:p w14:paraId="2FED3EE6" w14:textId="77777777" w:rsidR="00A36F1E" w:rsidRDefault="00A36F1E" w:rsidP="00DF64C7">
      <w:pPr>
        <w:pStyle w:val="Akapitzlist"/>
        <w:numPr>
          <w:ilvl w:val="0"/>
          <w:numId w:val="13"/>
        </w:numPr>
        <w:spacing w:after="240"/>
        <w:jc w:val="left"/>
      </w:pPr>
      <w:r>
        <w:t>Zwiększenie liczby osób odwiedzających instytucje paramuzealne.</w:t>
      </w:r>
    </w:p>
    <w:p w14:paraId="3B92D080" w14:textId="77777777" w:rsidR="000D337A" w:rsidRDefault="000D337A" w:rsidP="00DF64C7">
      <w:pPr>
        <w:spacing w:after="240"/>
        <w:jc w:val="left"/>
      </w:pPr>
      <w:r>
        <w:t xml:space="preserve">Dla poszczególnych Działań i Poddziałań OP XI i XII </w:t>
      </w:r>
      <w:r w:rsidR="00B52932">
        <w:t>opracowano wskaźniki produktu i </w:t>
      </w:r>
      <w:r>
        <w:t xml:space="preserve">rezultatu bezpośredniego, które zostały wskazane w podpunkcie 6.1 </w:t>
      </w:r>
      <w:r w:rsidR="0073095C">
        <w:t>b</w:t>
      </w:r>
      <w:r>
        <w:t>).</w:t>
      </w:r>
    </w:p>
    <w:p w14:paraId="0A559B44" w14:textId="77777777" w:rsidR="00A36F1E" w:rsidRDefault="00A36F1E" w:rsidP="00DF64C7">
      <w:pPr>
        <w:jc w:val="left"/>
      </w:pPr>
      <w:r w:rsidRPr="00823F66">
        <w:rPr>
          <w:rFonts w:eastAsiaTheme="minorHAnsi"/>
          <w:i/>
        </w:rPr>
        <w:t xml:space="preserve">Program </w:t>
      </w:r>
      <w:r w:rsidR="000D337A">
        <w:rPr>
          <w:rFonts w:eastAsiaTheme="minorHAnsi"/>
          <w:i/>
        </w:rPr>
        <w:t>R</w:t>
      </w:r>
      <w:r w:rsidRPr="00823F66">
        <w:rPr>
          <w:rFonts w:eastAsiaTheme="minorHAnsi"/>
          <w:i/>
        </w:rPr>
        <w:t xml:space="preserve">ozwoju </w:t>
      </w:r>
      <w:r w:rsidR="000D337A">
        <w:rPr>
          <w:rFonts w:eastAsiaTheme="minorHAnsi"/>
          <w:i/>
        </w:rPr>
        <w:t>S</w:t>
      </w:r>
      <w:r w:rsidRPr="00823F66">
        <w:rPr>
          <w:rFonts w:eastAsiaTheme="minorHAnsi"/>
          <w:i/>
        </w:rPr>
        <w:t xml:space="preserve">zkolnictwa </w:t>
      </w:r>
      <w:r w:rsidR="000D337A">
        <w:rPr>
          <w:rFonts w:eastAsiaTheme="minorHAnsi"/>
          <w:i/>
        </w:rPr>
        <w:t>Z</w:t>
      </w:r>
      <w:r w:rsidRPr="00823F66">
        <w:rPr>
          <w:rFonts w:eastAsiaTheme="minorHAnsi"/>
          <w:i/>
        </w:rPr>
        <w:t xml:space="preserve">awodowego </w:t>
      </w:r>
      <w:r w:rsidR="000D337A">
        <w:rPr>
          <w:rFonts w:eastAsiaTheme="minorHAnsi"/>
          <w:i/>
        </w:rPr>
        <w:t>W</w:t>
      </w:r>
      <w:r w:rsidRPr="00823F66">
        <w:rPr>
          <w:rFonts w:eastAsiaTheme="minorHAnsi"/>
          <w:i/>
        </w:rPr>
        <w:t xml:space="preserve">ojewództwa </w:t>
      </w:r>
      <w:r w:rsidR="000D337A">
        <w:rPr>
          <w:rFonts w:eastAsiaTheme="minorHAnsi"/>
          <w:i/>
        </w:rPr>
        <w:t>Ś</w:t>
      </w:r>
      <w:r w:rsidRPr="00823F66">
        <w:rPr>
          <w:rFonts w:eastAsiaTheme="minorHAnsi"/>
          <w:i/>
        </w:rPr>
        <w:t>ląskiego</w:t>
      </w:r>
      <w:r>
        <w:rPr>
          <w:rFonts w:eastAsiaTheme="minorHAnsi"/>
          <w:i/>
        </w:rPr>
        <w:t xml:space="preserve"> na lata 2014-2020</w:t>
      </w:r>
      <w:r>
        <w:rPr>
          <w:rFonts w:eastAsiaTheme="minorHAnsi"/>
        </w:rPr>
        <w:t xml:space="preserve"> określił trzy cele strategiczne, do których przyporządkowano cele operacyjne, a następnie grupy rozwiązań i działań. </w:t>
      </w:r>
      <w:r>
        <w:t>Cele strategiczne</w:t>
      </w:r>
      <w:r w:rsidRPr="00823F66">
        <w:t xml:space="preserve"> </w:t>
      </w:r>
      <w:r>
        <w:t>objęły</w:t>
      </w:r>
      <w:r>
        <w:rPr>
          <w:rStyle w:val="Odwoanieprzypisudolnego"/>
          <w:rFonts w:ascii="Calibri" w:hAnsi="Calibri" w:cs="Calibri"/>
        </w:rPr>
        <w:footnoteReference w:id="89"/>
      </w:r>
      <w:r>
        <w:t>:</w:t>
      </w:r>
    </w:p>
    <w:p w14:paraId="11322E3D" w14:textId="77777777" w:rsidR="00A36F1E" w:rsidRDefault="00A36F1E" w:rsidP="00DF64C7">
      <w:pPr>
        <w:pStyle w:val="Akapitzlist"/>
        <w:numPr>
          <w:ilvl w:val="0"/>
          <w:numId w:val="6"/>
        </w:numPr>
        <w:jc w:val="left"/>
      </w:pPr>
      <w:r>
        <w:t>Płynne i szybkie dostosowanie oferty szkolnictwa zawodowego do potr</w:t>
      </w:r>
      <w:r w:rsidR="000D337A">
        <w:t>zeb rynku pracy oraz gospodarki.</w:t>
      </w:r>
    </w:p>
    <w:p w14:paraId="4D2485EB" w14:textId="77777777" w:rsidR="00A36F1E" w:rsidRDefault="00A36F1E" w:rsidP="00DF64C7">
      <w:pPr>
        <w:pStyle w:val="Akapitzlist"/>
        <w:numPr>
          <w:ilvl w:val="0"/>
          <w:numId w:val="6"/>
        </w:numPr>
        <w:jc w:val="left"/>
      </w:pPr>
      <w:r>
        <w:t>Unowocześnienie i podniesienie jakości przygotowania i realizacji procesu kształcenia zawodowego w szkołach dla młodzieży.</w:t>
      </w:r>
    </w:p>
    <w:p w14:paraId="0D326536" w14:textId="77777777" w:rsidR="00A36F1E" w:rsidRDefault="00A36F1E" w:rsidP="00DF64C7">
      <w:pPr>
        <w:pStyle w:val="Akapitzlist"/>
        <w:numPr>
          <w:ilvl w:val="0"/>
          <w:numId w:val="6"/>
        </w:numPr>
        <w:jc w:val="left"/>
      </w:pPr>
      <w:r>
        <w:t>Informację i promocję szkolnictwa zawodowego.</w:t>
      </w:r>
    </w:p>
    <w:p w14:paraId="61617E1D" w14:textId="77777777" w:rsidR="00A36F1E" w:rsidRDefault="00A36F1E" w:rsidP="00DF64C7">
      <w:pPr>
        <w:jc w:val="left"/>
      </w:pPr>
      <w:r>
        <w:t xml:space="preserve">I cel strategiczny </w:t>
      </w:r>
      <w:r w:rsidRPr="006D01ED">
        <w:rPr>
          <w:i/>
        </w:rPr>
        <w:t>Płynne i szybkie dostosowanie oferty szkolnictwa zawodowego do potrzeb</w:t>
      </w:r>
      <w:r>
        <w:rPr>
          <w:i/>
        </w:rPr>
        <w:t xml:space="preserve"> </w:t>
      </w:r>
      <w:r w:rsidRPr="006D01ED">
        <w:rPr>
          <w:i/>
        </w:rPr>
        <w:t>rynku pracy oraz gospodarki</w:t>
      </w:r>
      <w:r>
        <w:t xml:space="preserve"> miał na celu zapewnienie osiągnięcia stanu szkolnictwa zawodowego</w:t>
      </w:r>
      <w:r w:rsidRPr="004D1333">
        <w:t xml:space="preserve"> </w:t>
      </w:r>
      <w:r>
        <w:t>województwa śląskiego, w którym oferta szkolnictwa zawodowego będzie adekwatna do potrzeb zatrudnieniowych pracodawców. Do wskazanego celu strategicznego przypisano następujące cele operacyjne</w:t>
      </w:r>
      <w:r>
        <w:rPr>
          <w:rStyle w:val="Odwoanieprzypisudolnego"/>
          <w:rFonts w:ascii="Calibri" w:hAnsi="Calibri" w:cs="Calibri"/>
        </w:rPr>
        <w:footnoteReference w:id="90"/>
      </w:r>
      <w:r>
        <w:t>:</w:t>
      </w:r>
    </w:p>
    <w:p w14:paraId="743012E5" w14:textId="77777777" w:rsidR="00A36F1E" w:rsidRDefault="00A36F1E" w:rsidP="00DF64C7">
      <w:pPr>
        <w:pStyle w:val="Akapitzlist"/>
        <w:numPr>
          <w:ilvl w:val="1"/>
          <w:numId w:val="8"/>
        </w:numPr>
        <w:ind w:hanging="436"/>
        <w:jc w:val="left"/>
      </w:pPr>
      <w:r>
        <w:t>Rozwój współpracy z pracodawcami, instytucjami rynku pracy oraz innymi ważnymi grupami otoczenia szkolnictwa zawodowego.</w:t>
      </w:r>
    </w:p>
    <w:p w14:paraId="7351DEC3" w14:textId="77777777" w:rsidR="00A36F1E" w:rsidRDefault="00A36F1E" w:rsidP="00DF64C7">
      <w:pPr>
        <w:pStyle w:val="Akapitzlist"/>
        <w:numPr>
          <w:ilvl w:val="1"/>
          <w:numId w:val="8"/>
        </w:numPr>
        <w:ind w:hanging="436"/>
        <w:jc w:val="left"/>
      </w:pPr>
      <w:r>
        <w:t>Wzrost świadomości i umiejętności uczniów szkół gimnazjalnych i ponadgimnazjalnych w zakresie planowania własnej ścieżki kariery.</w:t>
      </w:r>
    </w:p>
    <w:p w14:paraId="26DBDD8C" w14:textId="77777777" w:rsidR="00A36F1E" w:rsidRDefault="00A36F1E" w:rsidP="00DF64C7">
      <w:pPr>
        <w:pStyle w:val="Akapitzlist"/>
        <w:numPr>
          <w:ilvl w:val="1"/>
          <w:numId w:val="8"/>
        </w:numPr>
        <w:ind w:hanging="436"/>
        <w:jc w:val="left"/>
      </w:pPr>
      <w:r>
        <w:t>Kształtowanie zdolności uczniów do zatrudnienia i samozatrudnienia oraz rozwoju ścieżki kariery zawodowej poprzez zwiększenie ich elastyczności i mobilności zawodowej oraz rozwój kompetencji kluczowych, a także potrzeby uczenia się przez całe życie.</w:t>
      </w:r>
    </w:p>
    <w:p w14:paraId="5BCEFD54" w14:textId="77777777" w:rsidR="00A36F1E" w:rsidRDefault="00A36F1E" w:rsidP="00DF64C7">
      <w:pPr>
        <w:pStyle w:val="Akapitzlist"/>
        <w:numPr>
          <w:ilvl w:val="1"/>
          <w:numId w:val="8"/>
        </w:numPr>
        <w:ind w:hanging="436"/>
        <w:jc w:val="left"/>
      </w:pPr>
      <w:r>
        <w:t>Wyrównanie szans uczniów ze specjalnymi potrzebami edukacyjnymi podczas startu na rynku pracy.</w:t>
      </w:r>
    </w:p>
    <w:p w14:paraId="2ED96592" w14:textId="77777777" w:rsidR="00A36F1E" w:rsidRPr="006D01ED" w:rsidRDefault="00A36F1E" w:rsidP="00DF64C7">
      <w:pPr>
        <w:pStyle w:val="Akapitzlist"/>
        <w:numPr>
          <w:ilvl w:val="1"/>
          <w:numId w:val="8"/>
        </w:numPr>
        <w:ind w:hanging="436"/>
        <w:jc w:val="left"/>
      </w:pPr>
      <w:r w:rsidRPr="006D01ED">
        <w:rPr>
          <w:rFonts w:eastAsiaTheme="minorHAnsi"/>
        </w:rPr>
        <w:t>Monitorowanie losów absolwentów i prowadzenie innych form badań dostosowania oferty szkolnictwa zawodowego do potrzeb rynku pracy.</w:t>
      </w:r>
    </w:p>
    <w:p w14:paraId="651A54A6" w14:textId="77777777" w:rsidR="00A36F1E" w:rsidRDefault="00A36F1E" w:rsidP="00DF64C7">
      <w:pPr>
        <w:jc w:val="left"/>
        <w:rPr>
          <w:rFonts w:eastAsiaTheme="minorHAnsi"/>
        </w:rPr>
      </w:pPr>
      <w:r>
        <w:t>II c</w:t>
      </w:r>
      <w:r>
        <w:rPr>
          <w:rFonts w:eastAsiaTheme="minorHAnsi"/>
        </w:rPr>
        <w:t xml:space="preserve">el strategiczny </w:t>
      </w:r>
      <w:r w:rsidRPr="006D01ED">
        <w:rPr>
          <w:rFonts w:eastAsiaTheme="minorHAnsi"/>
          <w:i/>
        </w:rPr>
        <w:t>Unowocześnienie i podniesienie jakości przygotowania i realizacji procesu</w:t>
      </w:r>
      <w:r>
        <w:rPr>
          <w:rFonts w:eastAsiaTheme="minorHAnsi"/>
          <w:i/>
        </w:rPr>
        <w:t xml:space="preserve"> </w:t>
      </w:r>
      <w:r w:rsidRPr="006D01ED">
        <w:rPr>
          <w:rFonts w:eastAsiaTheme="minorHAnsi"/>
          <w:i/>
        </w:rPr>
        <w:t>kształcenia zawodowego w szkołach dla młodzież</w:t>
      </w:r>
      <w:r>
        <w:rPr>
          <w:rFonts w:eastAsiaTheme="minorHAnsi"/>
        </w:rPr>
        <w:t>y nakierowany był na zapewnienie systematycznego podnoszenie jakości kształcenia zawodowego zarówno w zakresie kształcenia ogólnego jak i zawodowego. Cele operacyjne dla celu strategicznego objęły</w:t>
      </w:r>
      <w:r>
        <w:rPr>
          <w:rStyle w:val="Odwoanieprzypisudolnego"/>
          <w:rFonts w:ascii="Calibri" w:eastAsiaTheme="minorHAnsi" w:hAnsi="Calibri" w:cs="Calibri"/>
        </w:rPr>
        <w:footnoteReference w:id="91"/>
      </w:r>
      <w:r>
        <w:rPr>
          <w:rFonts w:eastAsiaTheme="minorHAnsi"/>
        </w:rPr>
        <w:t>:</w:t>
      </w:r>
    </w:p>
    <w:p w14:paraId="3E2E5080" w14:textId="77777777" w:rsidR="00A36F1E" w:rsidRPr="00834DBD" w:rsidRDefault="00A36F1E" w:rsidP="00DF64C7">
      <w:pPr>
        <w:pStyle w:val="Akapitzlist"/>
        <w:numPr>
          <w:ilvl w:val="0"/>
          <w:numId w:val="7"/>
        </w:numPr>
        <w:ind w:hanging="436"/>
        <w:jc w:val="left"/>
        <w:rPr>
          <w:rFonts w:eastAsiaTheme="minorHAnsi"/>
        </w:rPr>
      </w:pPr>
      <w:r w:rsidRPr="00834DBD">
        <w:rPr>
          <w:rFonts w:eastAsiaTheme="minorHAnsi"/>
        </w:rPr>
        <w:t>Modernizowanie wyposażenia i bazy lokalowej szkół zawodowych.</w:t>
      </w:r>
    </w:p>
    <w:p w14:paraId="11D3236E" w14:textId="77777777" w:rsidR="00A36F1E" w:rsidRPr="00834DBD" w:rsidRDefault="00A36F1E" w:rsidP="00DF64C7">
      <w:pPr>
        <w:pStyle w:val="Akapitzlist"/>
        <w:numPr>
          <w:ilvl w:val="0"/>
          <w:numId w:val="7"/>
        </w:numPr>
        <w:ind w:hanging="436"/>
        <w:jc w:val="left"/>
        <w:rPr>
          <w:rFonts w:eastAsiaTheme="minorHAnsi"/>
        </w:rPr>
      </w:pPr>
      <w:r w:rsidRPr="00834DBD">
        <w:rPr>
          <w:rFonts w:eastAsiaTheme="minorHAnsi"/>
        </w:rPr>
        <w:t>Wyposażenie uczniów w wiedzę i umiejętności zawodowe oraz kompetencje społeczne dopasowane do wymagań i zmieniających się warunków otoczenia zewnętrznego w ramach kształcenia szkolnego.</w:t>
      </w:r>
    </w:p>
    <w:p w14:paraId="6C030022" w14:textId="77777777" w:rsidR="00A36F1E" w:rsidRPr="00834DBD" w:rsidRDefault="00A36F1E" w:rsidP="00DF64C7">
      <w:pPr>
        <w:pStyle w:val="Akapitzlist"/>
        <w:numPr>
          <w:ilvl w:val="0"/>
          <w:numId w:val="7"/>
        </w:numPr>
        <w:ind w:hanging="436"/>
        <w:jc w:val="left"/>
        <w:rPr>
          <w:rFonts w:eastAsiaTheme="minorHAnsi"/>
        </w:rPr>
      </w:pPr>
      <w:r w:rsidRPr="00834DBD">
        <w:rPr>
          <w:rFonts w:eastAsiaTheme="minorHAnsi"/>
        </w:rPr>
        <w:t xml:space="preserve">Podnoszenie poziomu wiedzy i umiejętności zawodowych i społecznych nauczycieli </w:t>
      </w:r>
      <w:r>
        <w:rPr>
          <w:rFonts w:eastAsiaTheme="minorHAnsi"/>
        </w:rPr>
        <w:t>i </w:t>
      </w:r>
      <w:r w:rsidRPr="00834DBD">
        <w:rPr>
          <w:rFonts w:eastAsiaTheme="minorHAnsi"/>
        </w:rPr>
        <w:t>dyrekcji szkół zawodowych.</w:t>
      </w:r>
    </w:p>
    <w:p w14:paraId="4A291C00" w14:textId="77777777" w:rsidR="00A36F1E" w:rsidRPr="00834DBD" w:rsidRDefault="00A36F1E" w:rsidP="00DF64C7">
      <w:pPr>
        <w:pStyle w:val="Akapitzlist"/>
        <w:numPr>
          <w:ilvl w:val="0"/>
          <w:numId w:val="7"/>
        </w:numPr>
        <w:ind w:hanging="436"/>
        <w:jc w:val="left"/>
        <w:rPr>
          <w:rFonts w:eastAsiaTheme="minorHAnsi"/>
        </w:rPr>
      </w:pPr>
      <w:r w:rsidRPr="00834DBD">
        <w:rPr>
          <w:rFonts w:eastAsiaTheme="minorHAnsi"/>
        </w:rPr>
        <w:t>Podniesienie jakości procesu kształcenia, w tym szczególnie</w:t>
      </w:r>
      <w:r>
        <w:rPr>
          <w:rFonts w:eastAsiaTheme="minorHAnsi"/>
        </w:rPr>
        <w:t xml:space="preserve"> praktyk uczniowskich i </w:t>
      </w:r>
      <w:r w:rsidRPr="00834DBD">
        <w:rPr>
          <w:rFonts w:eastAsiaTheme="minorHAnsi"/>
        </w:rPr>
        <w:t>zajęć szkolnych o charakterze praktycznym.</w:t>
      </w:r>
    </w:p>
    <w:p w14:paraId="26240B63" w14:textId="77777777" w:rsidR="00A36F1E" w:rsidRPr="00834DBD" w:rsidRDefault="00A36F1E" w:rsidP="00DF64C7">
      <w:pPr>
        <w:pStyle w:val="Akapitzlist"/>
        <w:numPr>
          <w:ilvl w:val="0"/>
          <w:numId w:val="7"/>
        </w:numPr>
        <w:ind w:hanging="436"/>
        <w:jc w:val="left"/>
        <w:rPr>
          <w:rFonts w:eastAsiaTheme="minorHAnsi"/>
        </w:rPr>
      </w:pPr>
      <w:r w:rsidRPr="00834DBD">
        <w:rPr>
          <w:rFonts w:eastAsiaTheme="minorHAnsi"/>
        </w:rPr>
        <w:t>Wypracowanie narzędzi stałego monitorowania i wdrażania programów naprawczych w zakresie unowocześniania i podniesienia jakości szkolnictwa zawodowego.</w:t>
      </w:r>
    </w:p>
    <w:p w14:paraId="4FD59135" w14:textId="77777777" w:rsidR="00A36F1E" w:rsidRDefault="00A36F1E" w:rsidP="00DF64C7">
      <w:pPr>
        <w:jc w:val="left"/>
        <w:rPr>
          <w:rFonts w:eastAsiaTheme="minorHAnsi"/>
        </w:rPr>
      </w:pPr>
      <w:r>
        <w:t>III c</w:t>
      </w:r>
      <w:r>
        <w:rPr>
          <w:rFonts w:eastAsiaTheme="minorHAnsi"/>
        </w:rPr>
        <w:t xml:space="preserve">el strategiczny </w:t>
      </w:r>
      <w:r w:rsidRPr="00BC4893">
        <w:rPr>
          <w:i/>
        </w:rPr>
        <w:t>Informacja i promocja szkolnictwa zawodowego</w:t>
      </w:r>
      <w:r>
        <w:rPr>
          <w:rFonts w:ascii="Calibri,Italic" w:eastAsiaTheme="minorHAnsi" w:hAnsi="Calibri,Italic" w:cs="Calibri,Italic"/>
          <w:i/>
          <w:iCs/>
        </w:rPr>
        <w:t xml:space="preserve"> </w:t>
      </w:r>
      <w:r>
        <w:rPr>
          <w:rFonts w:eastAsiaTheme="minorHAnsi"/>
        </w:rPr>
        <w:t>miał zapewnić poszerzenie stanu wiedzy na temat szkolni</w:t>
      </w:r>
      <w:r w:rsidR="00DB7AE1">
        <w:rPr>
          <w:rFonts w:eastAsiaTheme="minorHAnsi"/>
        </w:rPr>
        <w:t>ctwa zawodowego oraz możliwości</w:t>
      </w:r>
      <w:r w:rsidR="00B52932">
        <w:rPr>
          <w:rFonts w:eastAsiaTheme="minorHAnsi"/>
        </w:rPr>
        <w:t>, jakie daje w </w:t>
      </w:r>
      <w:r>
        <w:rPr>
          <w:rFonts w:eastAsiaTheme="minorHAnsi"/>
        </w:rPr>
        <w:t>społeczeństwie, przede wszystkim wśród gimnazjalistów oraz ich rodziców. Przypisane cele operacyjne obejmowały</w:t>
      </w:r>
      <w:r>
        <w:rPr>
          <w:rStyle w:val="Odwoanieprzypisudolnego"/>
          <w:rFonts w:ascii="Calibri" w:eastAsiaTheme="minorHAnsi" w:hAnsi="Calibri" w:cs="Calibri"/>
        </w:rPr>
        <w:footnoteReference w:id="92"/>
      </w:r>
      <w:r>
        <w:rPr>
          <w:rFonts w:eastAsiaTheme="minorHAnsi"/>
        </w:rPr>
        <w:t>:</w:t>
      </w:r>
    </w:p>
    <w:p w14:paraId="4F307997" w14:textId="77777777" w:rsidR="00A36F1E" w:rsidRPr="00BC4893" w:rsidRDefault="00A36F1E" w:rsidP="00DF64C7">
      <w:pPr>
        <w:pStyle w:val="Akapitzlist"/>
        <w:numPr>
          <w:ilvl w:val="0"/>
          <w:numId w:val="9"/>
        </w:numPr>
        <w:ind w:hanging="436"/>
        <w:jc w:val="left"/>
      </w:pPr>
      <w:r w:rsidRPr="00BC4893">
        <w:t>Podniesienie stanu wiedzy na temat szkół zawodowych oraz oferowanych zawodów, szkoleń specjalistycznych, a także pracodawców i rynku pracy.</w:t>
      </w:r>
    </w:p>
    <w:p w14:paraId="11B57FCF" w14:textId="77777777" w:rsidR="00A36F1E" w:rsidRPr="00BC4893" w:rsidRDefault="00A36F1E" w:rsidP="00DF64C7">
      <w:pPr>
        <w:pStyle w:val="Akapitzlist"/>
        <w:numPr>
          <w:ilvl w:val="0"/>
          <w:numId w:val="9"/>
        </w:numPr>
        <w:ind w:hanging="436"/>
        <w:jc w:val="left"/>
      </w:pPr>
      <w:r w:rsidRPr="00BC4893">
        <w:t>Zwiększenie prestiżu szkolnictwa zawodowego i absolwentów szkół – budowanie wizerunku specjalisty i fachowca potrzebnego na rynku pracy.</w:t>
      </w:r>
    </w:p>
    <w:p w14:paraId="7AF4D587" w14:textId="77777777" w:rsidR="00A36F1E" w:rsidRPr="00BC4893" w:rsidRDefault="00A36F1E" w:rsidP="00DF64C7">
      <w:pPr>
        <w:pStyle w:val="Akapitzlist"/>
        <w:numPr>
          <w:ilvl w:val="0"/>
          <w:numId w:val="9"/>
        </w:numPr>
        <w:ind w:hanging="436"/>
        <w:jc w:val="left"/>
      </w:pPr>
      <w:r w:rsidRPr="00BC4893">
        <w:t>Zwiększenie zainteresowania młodzieży kształceniem zawodowym, w tym w sposób nieutrwalający stereotypów płci w zawodach.</w:t>
      </w:r>
    </w:p>
    <w:p w14:paraId="1DB09820" w14:textId="77777777" w:rsidR="00A36F1E" w:rsidRPr="00BC4893" w:rsidRDefault="00A36F1E" w:rsidP="00DF64C7">
      <w:pPr>
        <w:pStyle w:val="Akapitzlist"/>
        <w:numPr>
          <w:ilvl w:val="0"/>
          <w:numId w:val="9"/>
        </w:numPr>
        <w:ind w:hanging="436"/>
        <w:jc w:val="left"/>
      </w:pPr>
      <w:r w:rsidRPr="00BC4893">
        <w:t>Zwiększenie zainteresowania i świadomości z korzyści oraz możliwości współpracy ze szkołami zawodowymi wśród pracodawców, uczelni oraz innych ważnych grup otoczenia szkolnictwa zawodowego.</w:t>
      </w:r>
    </w:p>
    <w:p w14:paraId="1AC8D5AD" w14:textId="77777777" w:rsidR="00A36F1E" w:rsidRPr="00BC4893" w:rsidRDefault="00A36F1E" w:rsidP="00DF64C7">
      <w:pPr>
        <w:pStyle w:val="Akapitzlist"/>
        <w:numPr>
          <w:ilvl w:val="0"/>
          <w:numId w:val="9"/>
        </w:numPr>
        <w:ind w:hanging="436"/>
        <w:jc w:val="left"/>
      </w:pPr>
      <w:r w:rsidRPr="00BC4893">
        <w:t>Wypracowanie narzędzi planowania oraz badania skuteczności podejmowanych działań promocyjnych i informacyjnych.</w:t>
      </w:r>
    </w:p>
    <w:p w14:paraId="25B9FD5B" w14:textId="77777777" w:rsidR="00806E3D" w:rsidRDefault="00A36F1E" w:rsidP="00DF64C7">
      <w:pPr>
        <w:jc w:val="left"/>
      </w:pPr>
      <w:r>
        <w:t xml:space="preserve">Analiza celów </w:t>
      </w:r>
      <w:r w:rsidRPr="00DB7AE1">
        <w:rPr>
          <w:i/>
        </w:rPr>
        <w:t xml:space="preserve">Programu </w:t>
      </w:r>
      <w:r w:rsidR="00DB7AE1">
        <w:rPr>
          <w:i/>
        </w:rPr>
        <w:t>R</w:t>
      </w:r>
      <w:r w:rsidRPr="00DB7AE1">
        <w:rPr>
          <w:i/>
        </w:rPr>
        <w:t xml:space="preserve">ozwoju </w:t>
      </w:r>
      <w:r w:rsidR="00DB7AE1">
        <w:rPr>
          <w:i/>
        </w:rPr>
        <w:t>S</w:t>
      </w:r>
      <w:r w:rsidRPr="00DB7AE1">
        <w:rPr>
          <w:i/>
        </w:rPr>
        <w:t xml:space="preserve">zkolnictwa </w:t>
      </w:r>
      <w:r w:rsidR="00DB7AE1">
        <w:rPr>
          <w:i/>
        </w:rPr>
        <w:t>Z</w:t>
      </w:r>
      <w:r w:rsidRPr="00DB7AE1">
        <w:rPr>
          <w:i/>
        </w:rPr>
        <w:t xml:space="preserve">awodowego </w:t>
      </w:r>
      <w:r w:rsidR="00DB7AE1">
        <w:rPr>
          <w:i/>
        </w:rPr>
        <w:t>W</w:t>
      </w:r>
      <w:r w:rsidRPr="00DB7AE1">
        <w:rPr>
          <w:i/>
        </w:rPr>
        <w:t xml:space="preserve">ojewództwa </w:t>
      </w:r>
      <w:r w:rsidR="00DB7AE1">
        <w:rPr>
          <w:i/>
        </w:rPr>
        <w:t>Ś</w:t>
      </w:r>
      <w:r w:rsidRPr="00DB7AE1">
        <w:rPr>
          <w:i/>
        </w:rPr>
        <w:t xml:space="preserve">ląskiego na lata 2014-2020 </w:t>
      </w:r>
      <w:r>
        <w:t>oraz Osi Priorytetowych XI i XI</w:t>
      </w:r>
      <w:r w:rsidR="00403333">
        <w:t>I</w:t>
      </w:r>
      <w:r>
        <w:t xml:space="preserve"> wskazała na bezpośrednią zgodność w zakresie dwóch z nich.</w:t>
      </w:r>
    </w:p>
    <w:p w14:paraId="6B3945AD" w14:textId="45397F70" w:rsidR="00A36F1E" w:rsidRDefault="007201DD" w:rsidP="00DF64C7">
      <w:pPr>
        <w:pStyle w:val="Legenda"/>
        <w:spacing w:line="271" w:lineRule="auto"/>
        <w:jc w:val="left"/>
      </w:pPr>
      <w:bookmarkStart w:id="84" w:name="_Toc33457229"/>
      <w:r>
        <w:t xml:space="preserve">Tabela </w:t>
      </w:r>
      <w:r w:rsidR="000C2F92">
        <w:rPr>
          <w:noProof/>
        </w:rPr>
        <w:fldChar w:fldCharType="begin"/>
      </w:r>
      <w:r w:rsidR="000C2F92">
        <w:rPr>
          <w:noProof/>
        </w:rPr>
        <w:instrText xml:space="preserve"> SEQ Tabela \* ARABIC </w:instrText>
      </w:r>
      <w:r w:rsidR="000C2F92">
        <w:rPr>
          <w:noProof/>
        </w:rPr>
        <w:fldChar w:fldCharType="separate"/>
      </w:r>
      <w:r w:rsidR="00A8147E">
        <w:rPr>
          <w:noProof/>
        </w:rPr>
        <w:t>30</w:t>
      </w:r>
      <w:r w:rsidR="000C2F92">
        <w:rPr>
          <w:noProof/>
        </w:rPr>
        <w:fldChar w:fldCharType="end"/>
      </w:r>
      <w:r>
        <w:t xml:space="preserve">. </w:t>
      </w:r>
      <w:r w:rsidR="00A36F1E" w:rsidRPr="00D14FE9">
        <w:t>Program rozwoju szkolnictwa zawodowego województwa śląskiego na lata 2014-2020</w:t>
      </w:r>
      <w:r w:rsidR="00A36F1E">
        <w:t xml:space="preserve"> a cele OP XI i XII RPO WSL 2014-2020</w:t>
      </w:r>
      <w:bookmarkEnd w:id="84"/>
    </w:p>
    <w:tbl>
      <w:tblPr>
        <w:tblStyle w:val="redniasiatka3akcent6"/>
        <w:tblW w:w="9072" w:type="dxa"/>
        <w:tblLook w:val="04A0" w:firstRow="1" w:lastRow="0" w:firstColumn="1" w:lastColumn="0" w:noHBand="0" w:noVBand="1"/>
        <w:tblCaption w:val="Program rozwoju szkolnictwa zawodowego województwa śląskiego na lata 2014-2020 a cele OP XI i XII RPO WSL 2014-2020"/>
        <w:tblDescription w:val="Tabela przedstawia zgodność celów strategicznych i operacyjnych Programu rozwoju szkolnictwa zawodowego województwa śląskiego na lata 2014-2020 a celów OP XI i XII RPO WSL 2014-2020. "/>
      </w:tblPr>
      <w:tblGrid>
        <w:gridCol w:w="1895"/>
        <w:gridCol w:w="4326"/>
        <w:gridCol w:w="2851"/>
      </w:tblGrid>
      <w:tr w:rsidR="00A36F1E" w:rsidRPr="00497772" w14:paraId="5FC648CD" w14:textId="77777777" w:rsidTr="007B5F7E">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1541" w:type="dxa"/>
          </w:tcPr>
          <w:p w14:paraId="0F32F1D7" w14:textId="77777777" w:rsidR="00A36F1E" w:rsidRPr="00497772" w:rsidRDefault="00A36F1E" w:rsidP="00DF64C7">
            <w:pPr>
              <w:jc w:val="left"/>
              <w:rPr>
                <w:rFonts w:eastAsiaTheme="minorHAnsi"/>
                <w:b w:val="0"/>
                <w:sz w:val="20"/>
                <w:szCs w:val="20"/>
              </w:rPr>
            </w:pPr>
            <w:r w:rsidRPr="00497772">
              <w:rPr>
                <w:rFonts w:eastAsiaTheme="minorHAnsi"/>
                <w:sz w:val="20"/>
                <w:szCs w:val="20"/>
              </w:rPr>
              <w:t>Cel strategiczny</w:t>
            </w:r>
          </w:p>
        </w:tc>
        <w:tc>
          <w:tcPr>
            <w:tcW w:w="5049" w:type="dxa"/>
          </w:tcPr>
          <w:p w14:paraId="30747F7A" w14:textId="77777777" w:rsidR="00A36F1E" w:rsidRPr="00497772" w:rsidRDefault="00A36F1E" w:rsidP="00DF64C7">
            <w:pPr>
              <w:jc w:val="left"/>
              <w:cnfStyle w:val="100000000000" w:firstRow="1" w:lastRow="0" w:firstColumn="0" w:lastColumn="0" w:oddVBand="0" w:evenVBand="0" w:oddHBand="0" w:evenHBand="0" w:firstRowFirstColumn="0" w:firstRowLastColumn="0" w:lastRowFirstColumn="0" w:lastRowLastColumn="0"/>
              <w:rPr>
                <w:rFonts w:eastAsiaTheme="minorHAnsi"/>
                <w:b w:val="0"/>
                <w:sz w:val="20"/>
                <w:szCs w:val="20"/>
              </w:rPr>
            </w:pPr>
            <w:r w:rsidRPr="00497772">
              <w:rPr>
                <w:rFonts w:eastAsiaTheme="minorHAnsi"/>
                <w:sz w:val="20"/>
                <w:szCs w:val="20"/>
              </w:rPr>
              <w:t>Cele operacyjne</w:t>
            </w:r>
          </w:p>
        </w:tc>
        <w:tc>
          <w:tcPr>
            <w:tcW w:w="3295" w:type="dxa"/>
          </w:tcPr>
          <w:p w14:paraId="004B31E8" w14:textId="77777777" w:rsidR="00A36F1E" w:rsidRPr="00497772" w:rsidRDefault="00A36F1E" w:rsidP="00DF64C7">
            <w:pPr>
              <w:jc w:val="left"/>
              <w:cnfStyle w:val="100000000000" w:firstRow="1" w:lastRow="0" w:firstColumn="0" w:lastColumn="0" w:oddVBand="0" w:evenVBand="0" w:oddHBand="0" w:evenHBand="0" w:firstRowFirstColumn="0" w:firstRowLastColumn="0" w:lastRowFirstColumn="0" w:lastRowLastColumn="0"/>
              <w:rPr>
                <w:rFonts w:eastAsiaTheme="minorHAnsi"/>
                <w:b w:val="0"/>
                <w:sz w:val="20"/>
                <w:szCs w:val="20"/>
              </w:rPr>
            </w:pPr>
            <w:r w:rsidRPr="00497772">
              <w:rPr>
                <w:rFonts w:eastAsiaTheme="minorHAnsi"/>
                <w:sz w:val="20"/>
                <w:szCs w:val="20"/>
              </w:rPr>
              <w:t xml:space="preserve">Zgodność z </w:t>
            </w:r>
            <w:r w:rsidRPr="00497772">
              <w:rPr>
                <w:sz w:val="20"/>
                <w:szCs w:val="20"/>
              </w:rPr>
              <w:t>OP XI i XII RPO WSL 2014-2020</w:t>
            </w:r>
          </w:p>
        </w:tc>
      </w:tr>
      <w:tr w:rsidR="00A36F1E" w:rsidRPr="00AB4DC4" w14:paraId="5DD96E61" w14:textId="77777777" w:rsidTr="007B5F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41" w:type="dxa"/>
            <w:vMerge w:val="restart"/>
          </w:tcPr>
          <w:p w14:paraId="54E3D12A" w14:textId="77777777" w:rsidR="00A36F1E" w:rsidRPr="00AB4DC4" w:rsidRDefault="00A36F1E" w:rsidP="00DF64C7">
            <w:pPr>
              <w:jc w:val="left"/>
              <w:rPr>
                <w:sz w:val="20"/>
                <w:szCs w:val="20"/>
              </w:rPr>
            </w:pPr>
            <w:r w:rsidRPr="00AB4DC4">
              <w:rPr>
                <w:sz w:val="20"/>
                <w:szCs w:val="20"/>
              </w:rPr>
              <w:t>I. Płynne i szybkie dostosowanie oferty szkolnictwa zawodowego do potrzeb rynku pracy oraz gospodarki.</w:t>
            </w:r>
          </w:p>
          <w:p w14:paraId="42DC27AD" w14:textId="77777777" w:rsidR="00A36F1E" w:rsidRPr="00AB4DC4" w:rsidRDefault="00A36F1E" w:rsidP="00DF64C7">
            <w:pPr>
              <w:jc w:val="left"/>
              <w:rPr>
                <w:sz w:val="20"/>
                <w:szCs w:val="20"/>
              </w:rPr>
            </w:pPr>
          </w:p>
          <w:p w14:paraId="12EAF583" w14:textId="77777777" w:rsidR="00A36F1E" w:rsidRPr="00AB4DC4" w:rsidRDefault="00A36F1E" w:rsidP="00DF64C7">
            <w:pPr>
              <w:jc w:val="left"/>
              <w:rPr>
                <w:sz w:val="20"/>
                <w:szCs w:val="20"/>
              </w:rPr>
            </w:pPr>
          </w:p>
        </w:tc>
        <w:tc>
          <w:tcPr>
            <w:tcW w:w="5049" w:type="dxa"/>
          </w:tcPr>
          <w:p w14:paraId="5AD95803"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sz w:val="20"/>
                <w:szCs w:val="20"/>
              </w:rPr>
            </w:pPr>
            <w:r w:rsidRPr="00AB4DC4">
              <w:rPr>
                <w:sz w:val="20"/>
                <w:szCs w:val="20"/>
              </w:rPr>
              <w:t>1. Rozwój współpracy z pracodawcami, instytucjami rynku pracy oraz innymi ważnymi grupami otoczenia szkolnictwa zawodowego.</w:t>
            </w:r>
          </w:p>
        </w:tc>
        <w:tc>
          <w:tcPr>
            <w:tcW w:w="3295" w:type="dxa"/>
          </w:tcPr>
          <w:p w14:paraId="5F12587C"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A36F1E" w:rsidRPr="00AB4DC4" w14:paraId="63EDA3CA" w14:textId="77777777" w:rsidTr="007B5F7E">
        <w:trPr>
          <w:trHeight w:val="113"/>
        </w:trPr>
        <w:tc>
          <w:tcPr>
            <w:cnfStyle w:val="001000000000" w:firstRow="0" w:lastRow="0" w:firstColumn="1" w:lastColumn="0" w:oddVBand="0" w:evenVBand="0" w:oddHBand="0" w:evenHBand="0" w:firstRowFirstColumn="0" w:firstRowLastColumn="0" w:lastRowFirstColumn="0" w:lastRowLastColumn="0"/>
            <w:tcW w:w="1541" w:type="dxa"/>
            <w:vMerge/>
          </w:tcPr>
          <w:p w14:paraId="796C5733" w14:textId="77777777" w:rsidR="00A36F1E" w:rsidRPr="00AB4DC4" w:rsidRDefault="00A36F1E" w:rsidP="00DF64C7">
            <w:pPr>
              <w:jc w:val="left"/>
              <w:rPr>
                <w:rFonts w:eastAsiaTheme="minorHAnsi"/>
                <w:sz w:val="20"/>
                <w:szCs w:val="20"/>
              </w:rPr>
            </w:pPr>
          </w:p>
        </w:tc>
        <w:tc>
          <w:tcPr>
            <w:tcW w:w="5049" w:type="dxa"/>
          </w:tcPr>
          <w:p w14:paraId="4C5A492C"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sz w:val="20"/>
                <w:szCs w:val="20"/>
              </w:rPr>
            </w:pPr>
            <w:r w:rsidRPr="00AB4DC4">
              <w:rPr>
                <w:sz w:val="20"/>
                <w:szCs w:val="20"/>
              </w:rPr>
              <w:t>2. Wzrost świadomości i umiejętności uczniów szkół gimnazjalnych i ponadgimnazjalnych w zakresie planowania własnej ścieżki kariery.</w:t>
            </w:r>
          </w:p>
        </w:tc>
        <w:tc>
          <w:tcPr>
            <w:tcW w:w="3295" w:type="dxa"/>
          </w:tcPr>
          <w:p w14:paraId="3EB5EA63"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w:t>
            </w:r>
          </w:p>
        </w:tc>
      </w:tr>
      <w:tr w:rsidR="00A36F1E" w:rsidRPr="00AB4DC4" w14:paraId="712F07DF" w14:textId="77777777" w:rsidTr="007B5F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41" w:type="dxa"/>
            <w:vMerge/>
          </w:tcPr>
          <w:p w14:paraId="2EB175B1" w14:textId="77777777" w:rsidR="00A36F1E" w:rsidRPr="00AB4DC4" w:rsidRDefault="00A36F1E" w:rsidP="00DF64C7">
            <w:pPr>
              <w:jc w:val="left"/>
              <w:rPr>
                <w:rFonts w:eastAsiaTheme="minorHAnsi"/>
                <w:sz w:val="20"/>
                <w:szCs w:val="20"/>
              </w:rPr>
            </w:pPr>
          </w:p>
        </w:tc>
        <w:tc>
          <w:tcPr>
            <w:tcW w:w="5049" w:type="dxa"/>
          </w:tcPr>
          <w:p w14:paraId="68FCE40F"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AB4DC4">
              <w:rPr>
                <w:sz w:val="20"/>
                <w:szCs w:val="20"/>
              </w:rPr>
              <w:t>3. Kształtowanie zdolności uczniów do zatrudnienia i samozatrudnienia oraz rozwoju ścieżki kariery zawodowej poprzez zwiększenie ich elastyczności i mobilności zawodowej oraz rozwój kompetencji kluczowych, a także potrzeby uczenia się przez całe życie.</w:t>
            </w:r>
          </w:p>
        </w:tc>
        <w:tc>
          <w:tcPr>
            <w:tcW w:w="3295" w:type="dxa"/>
          </w:tcPr>
          <w:p w14:paraId="48C60EB5" w14:textId="77777777" w:rsidR="00A36F1E" w:rsidRPr="00170932" w:rsidRDefault="00A36F1E" w:rsidP="00DF64C7">
            <w:pPr>
              <w:jc w:val="left"/>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170932">
              <w:rPr>
                <w:sz w:val="20"/>
              </w:rPr>
              <w:t>IV cel szczegółowy OP XI: Wzrost zatrudnienia wśród absolwentów szkół i placówek kształcenia zawodowego poprzez poprawę efektywności realizowanego wsparcia.</w:t>
            </w:r>
          </w:p>
        </w:tc>
      </w:tr>
      <w:tr w:rsidR="00A36F1E" w:rsidRPr="00AB4DC4" w14:paraId="3995F4AD" w14:textId="77777777" w:rsidTr="007B5F7E">
        <w:trPr>
          <w:trHeight w:val="113"/>
        </w:trPr>
        <w:tc>
          <w:tcPr>
            <w:cnfStyle w:val="001000000000" w:firstRow="0" w:lastRow="0" w:firstColumn="1" w:lastColumn="0" w:oddVBand="0" w:evenVBand="0" w:oddHBand="0" w:evenHBand="0" w:firstRowFirstColumn="0" w:firstRowLastColumn="0" w:lastRowFirstColumn="0" w:lastRowLastColumn="0"/>
            <w:tcW w:w="1541" w:type="dxa"/>
            <w:vMerge/>
          </w:tcPr>
          <w:p w14:paraId="344DF936" w14:textId="77777777" w:rsidR="00A36F1E" w:rsidRPr="00AB4DC4" w:rsidRDefault="00A36F1E" w:rsidP="00DF64C7">
            <w:pPr>
              <w:jc w:val="left"/>
              <w:rPr>
                <w:rFonts w:eastAsiaTheme="minorHAnsi"/>
                <w:sz w:val="20"/>
                <w:szCs w:val="20"/>
              </w:rPr>
            </w:pPr>
          </w:p>
        </w:tc>
        <w:tc>
          <w:tcPr>
            <w:tcW w:w="5049" w:type="dxa"/>
          </w:tcPr>
          <w:p w14:paraId="2E5E688E"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sz w:val="20"/>
                <w:szCs w:val="20"/>
              </w:rPr>
            </w:pPr>
            <w:r w:rsidRPr="00AB4DC4">
              <w:rPr>
                <w:sz w:val="20"/>
                <w:szCs w:val="20"/>
              </w:rPr>
              <w:t>4. Wyrównanie szans uczniów ze specjalnymi potrzebami edukacyjnymi podczas startu na rynku pracy.</w:t>
            </w:r>
          </w:p>
        </w:tc>
        <w:tc>
          <w:tcPr>
            <w:tcW w:w="3295" w:type="dxa"/>
          </w:tcPr>
          <w:p w14:paraId="76DDE48D"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w:t>
            </w:r>
          </w:p>
        </w:tc>
      </w:tr>
      <w:tr w:rsidR="00A36F1E" w:rsidRPr="00AB4DC4" w14:paraId="56A46E33" w14:textId="77777777" w:rsidTr="007B5F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41" w:type="dxa"/>
            <w:vMerge/>
          </w:tcPr>
          <w:p w14:paraId="48D869A3" w14:textId="77777777" w:rsidR="00A36F1E" w:rsidRPr="00AB4DC4" w:rsidRDefault="00A36F1E" w:rsidP="00DF64C7">
            <w:pPr>
              <w:jc w:val="left"/>
              <w:rPr>
                <w:rFonts w:eastAsiaTheme="minorHAnsi"/>
                <w:sz w:val="20"/>
                <w:szCs w:val="20"/>
              </w:rPr>
            </w:pPr>
          </w:p>
        </w:tc>
        <w:tc>
          <w:tcPr>
            <w:tcW w:w="5049" w:type="dxa"/>
          </w:tcPr>
          <w:p w14:paraId="3159756C"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AB4DC4">
              <w:rPr>
                <w:rFonts w:eastAsiaTheme="minorHAnsi"/>
                <w:sz w:val="20"/>
                <w:szCs w:val="20"/>
              </w:rPr>
              <w:t>5. Monitorowanie losów absolwentów i prowadzenie innych form badań dostosowania oferty szkolnictwa zawodowego do potrzeb rynku pracy.</w:t>
            </w:r>
          </w:p>
        </w:tc>
        <w:tc>
          <w:tcPr>
            <w:tcW w:w="3295" w:type="dxa"/>
          </w:tcPr>
          <w:p w14:paraId="4FFA7697"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Pr>
                <w:rFonts w:eastAsiaTheme="minorHAnsi"/>
                <w:sz w:val="20"/>
                <w:szCs w:val="20"/>
              </w:rPr>
              <w:t>-</w:t>
            </w:r>
          </w:p>
        </w:tc>
      </w:tr>
      <w:tr w:rsidR="00A36F1E" w:rsidRPr="00AB4DC4" w14:paraId="09C1C900" w14:textId="77777777" w:rsidTr="007B5F7E">
        <w:trPr>
          <w:trHeight w:val="113"/>
        </w:trPr>
        <w:tc>
          <w:tcPr>
            <w:cnfStyle w:val="001000000000" w:firstRow="0" w:lastRow="0" w:firstColumn="1" w:lastColumn="0" w:oddVBand="0" w:evenVBand="0" w:oddHBand="0" w:evenHBand="0" w:firstRowFirstColumn="0" w:firstRowLastColumn="0" w:lastRowFirstColumn="0" w:lastRowLastColumn="0"/>
            <w:tcW w:w="1541" w:type="dxa"/>
            <w:vMerge w:val="restart"/>
          </w:tcPr>
          <w:p w14:paraId="7D247137" w14:textId="77777777" w:rsidR="00A36F1E" w:rsidRPr="00AB4DC4" w:rsidRDefault="00A36F1E" w:rsidP="00DF64C7">
            <w:pPr>
              <w:jc w:val="left"/>
              <w:rPr>
                <w:sz w:val="20"/>
                <w:szCs w:val="20"/>
              </w:rPr>
            </w:pPr>
            <w:r w:rsidRPr="00AB4DC4">
              <w:rPr>
                <w:sz w:val="20"/>
                <w:szCs w:val="20"/>
              </w:rPr>
              <w:t>II. Unowocześnienie i podniesienie jakości przygotowania i realizacji procesu kształcenia zawodowego w szkołach dla młodzieży.</w:t>
            </w:r>
          </w:p>
        </w:tc>
        <w:tc>
          <w:tcPr>
            <w:tcW w:w="5049" w:type="dxa"/>
          </w:tcPr>
          <w:p w14:paraId="7A185140"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AB4DC4">
              <w:rPr>
                <w:rFonts w:eastAsiaTheme="minorHAnsi"/>
                <w:sz w:val="20"/>
                <w:szCs w:val="20"/>
              </w:rPr>
              <w:t>1. Modernizowanie wyposażenia i bazy lokalowej szkół zawodowych.</w:t>
            </w:r>
          </w:p>
        </w:tc>
        <w:tc>
          <w:tcPr>
            <w:tcW w:w="3295" w:type="dxa"/>
          </w:tcPr>
          <w:p w14:paraId="11F1F146"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w:t>
            </w:r>
          </w:p>
        </w:tc>
      </w:tr>
      <w:tr w:rsidR="00A36F1E" w:rsidRPr="00AB4DC4" w14:paraId="50E533B7" w14:textId="77777777" w:rsidTr="007B5F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41" w:type="dxa"/>
            <w:vMerge/>
          </w:tcPr>
          <w:p w14:paraId="6A48ABD0" w14:textId="77777777" w:rsidR="00A36F1E" w:rsidRPr="00AB4DC4" w:rsidRDefault="00A36F1E" w:rsidP="00DF64C7">
            <w:pPr>
              <w:jc w:val="left"/>
              <w:rPr>
                <w:rFonts w:eastAsiaTheme="minorHAnsi"/>
                <w:sz w:val="20"/>
                <w:szCs w:val="20"/>
              </w:rPr>
            </w:pPr>
          </w:p>
        </w:tc>
        <w:tc>
          <w:tcPr>
            <w:tcW w:w="5049" w:type="dxa"/>
          </w:tcPr>
          <w:p w14:paraId="00F427DA"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AB4DC4">
              <w:rPr>
                <w:rFonts w:eastAsiaTheme="minorHAnsi"/>
                <w:sz w:val="20"/>
                <w:szCs w:val="20"/>
              </w:rPr>
              <w:t>2. Wyposażenie uczniów w wiedzę i umiejętności zawodowe oraz kompetencje społeczne dopasowane do wymagań i zmieniających się warunków otoczenia zewnętrznego w ramach kształcenia szkolnego.</w:t>
            </w:r>
          </w:p>
        </w:tc>
        <w:tc>
          <w:tcPr>
            <w:tcW w:w="3295" w:type="dxa"/>
          </w:tcPr>
          <w:p w14:paraId="31A98F24" w14:textId="77777777" w:rsidR="00A36F1E" w:rsidRPr="00351953" w:rsidRDefault="00A36F1E" w:rsidP="00DF64C7">
            <w:pPr>
              <w:jc w:val="left"/>
              <w:cnfStyle w:val="000000100000" w:firstRow="0" w:lastRow="0" w:firstColumn="0" w:lastColumn="0" w:oddVBand="0" w:evenVBand="0" w:oddHBand="1" w:evenHBand="0" w:firstRowFirstColumn="0" w:firstRowLastColumn="0" w:lastRowFirstColumn="0" w:lastRowLastColumn="0"/>
              <w:rPr>
                <w:rFonts w:eastAsiaTheme="minorHAnsi"/>
                <w:sz w:val="20"/>
              </w:rPr>
            </w:pPr>
            <w:r w:rsidRPr="00351953">
              <w:rPr>
                <w:sz w:val="20"/>
              </w:rPr>
              <w:t>II cel szczegółowy OP XII: Zwiększenie kompetencji uczniów szkół kształcących w zawodach.</w:t>
            </w:r>
          </w:p>
        </w:tc>
      </w:tr>
      <w:tr w:rsidR="00A36F1E" w:rsidRPr="00AB4DC4" w14:paraId="3F9AAF97" w14:textId="77777777" w:rsidTr="007B5F7E">
        <w:trPr>
          <w:trHeight w:val="113"/>
        </w:trPr>
        <w:tc>
          <w:tcPr>
            <w:cnfStyle w:val="001000000000" w:firstRow="0" w:lastRow="0" w:firstColumn="1" w:lastColumn="0" w:oddVBand="0" w:evenVBand="0" w:oddHBand="0" w:evenHBand="0" w:firstRowFirstColumn="0" w:firstRowLastColumn="0" w:lastRowFirstColumn="0" w:lastRowLastColumn="0"/>
            <w:tcW w:w="1541" w:type="dxa"/>
            <w:vMerge/>
          </w:tcPr>
          <w:p w14:paraId="03FDDE72" w14:textId="77777777" w:rsidR="00A36F1E" w:rsidRPr="00AB4DC4" w:rsidRDefault="00A36F1E" w:rsidP="00DF64C7">
            <w:pPr>
              <w:jc w:val="left"/>
              <w:rPr>
                <w:rFonts w:eastAsiaTheme="minorHAnsi"/>
                <w:sz w:val="20"/>
                <w:szCs w:val="20"/>
              </w:rPr>
            </w:pPr>
          </w:p>
        </w:tc>
        <w:tc>
          <w:tcPr>
            <w:tcW w:w="5049" w:type="dxa"/>
          </w:tcPr>
          <w:p w14:paraId="3D4B66DF"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AB4DC4">
              <w:rPr>
                <w:rFonts w:eastAsiaTheme="minorHAnsi"/>
                <w:sz w:val="20"/>
                <w:szCs w:val="20"/>
              </w:rPr>
              <w:t>3. Podnoszenie poziomu wiedzy i umiejętności zawodowych i społecznych nauczycieli i dyrekcji szkół zawodowych.</w:t>
            </w:r>
          </w:p>
        </w:tc>
        <w:tc>
          <w:tcPr>
            <w:tcW w:w="3295" w:type="dxa"/>
          </w:tcPr>
          <w:p w14:paraId="10B66057"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w:t>
            </w:r>
          </w:p>
        </w:tc>
      </w:tr>
      <w:tr w:rsidR="00A36F1E" w:rsidRPr="00AB4DC4" w14:paraId="4D11CC0F" w14:textId="77777777" w:rsidTr="007B5F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41" w:type="dxa"/>
            <w:vMerge/>
          </w:tcPr>
          <w:p w14:paraId="2C4F005C" w14:textId="77777777" w:rsidR="00A36F1E" w:rsidRPr="00AB4DC4" w:rsidRDefault="00A36F1E" w:rsidP="00DF64C7">
            <w:pPr>
              <w:jc w:val="left"/>
              <w:rPr>
                <w:rFonts w:eastAsiaTheme="minorHAnsi"/>
                <w:sz w:val="20"/>
                <w:szCs w:val="20"/>
              </w:rPr>
            </w:pPr>
          </w:p>
        </w:tc>
        <w:tc>
          <w:tcPr>
            <w:tcW w:w="5049" w:type="dxa"/>
          </w:tcPr>
          <w:p w14:paraId="6DCD8E5A"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AB4DC4">
              <w:rPr>
                <w:rFonts w:eastAsiaTheme="minorHAnsi"/>
                <w:sz w:val="20"/>
                <w:szCs w:val="20"/>
              </w:rPr>
              <w:t>4. Podniesienie jakości procesu kształcenia, w tym szczególnie praktyk uczniowskich i zajęć szkolnych o charakterze praktycznym.</w:t>
            </w:r>
          </w:p>
        </w:tc>
        <w:tc>
          <w:tcPr>
            <w:tcW w:w="3295" w:type="dxa"/>
          </w:tcPr>
          <w:p w14:paraId="01DB1719"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Pr>
                <w:rFonts w:eastAsiaTheme="minorHAnsi"/>
                <w:sz w:val="20"/>
                <w:szCs w:val="20"/>
              </w:rPr>
              <w:t>-</w:t>
            </w:r>
          </w:p>
        </w:tc>
      </w:tr>
      <w:tr w:rsidR="00A36F1E" w:rsidRPr="00AB4DC4" w14:paraId="50D1D27F" w14:textId="77777777" w:rsidTr="007B5F7E">
        <w:trPr>
          <w:trHeight w:val="113"/>
        </w:trPr>
        <w:tc>
          <w:tcPr>
            <w:cnfStyle w:val="001000000000" w:firstRow="0" w:lastRow="0" w:firstColumn="1" w:lastColumn="0" w:oddVBand="0" w:evenVBand="0" w:oddHBand="0" w:evenHBand="0" w:firstRowFirstColumn="0" w:firstRowLastColumn="0" w:lastRowFirstColumn="0" w:lastRowLastColumn="0"/>
            <w:tcW w:w="1541" w:type="dxa"/>
            <w:vMerge/>
          </w:tcPr>
          <w:p w14:paraId="3ECE3B36" w14:textId="77777777" w:rsidR="00A36F1E" w:rsidRPr="00AB4DC4" w:rsidRDefault="00A36F1E" w:rsidP="00DF64C7">
            <w:pPr>
              <w:jc w:val="left"/>
              <w:rPr>
                <w:rFonts w:eastAsiaTheme="minorHAnsi"/>
                <w:sz w:val="20"/>
                <w:szCs w:val="20"/>
              </w:rPr>
            </w:pPr>
          </w:p>
        </w:tc>
        <w:tc>
          <w:tcPr>
            <w:tcW w:w="5049" w:type="dxa"/>
          </w:tcPr>
          <w:p w14:paraId="08C25658"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AB4DC4">
              <w:rPr>
                <w:rFonts w:eastAsiaTheme="minorHAnsi"/>
                <w:sz w:val="20"/>
                <w:szCs w:val="20"/>
              </w:rPr>
              <w:t>5. Wypracowanie narzędzi stałego monitorowania i wdrażania programów naprawczych w zakresie unowocześniania i podniesienia jakości szkolnictwa zawodowego.</w:t>
            </w:r>
          </w:p>
        </w:tc>
        <w:tc>
          <w:tcPr>
            <w:tcW w:w="3295" w:type="dxa"/>
          </w:tcPr>
          <w:p w14:paraId="22772BA3"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w:t>
            </w:r>
          </w:p>
        </w:tc>
      </w:tr>
      <w:tr w:rsidR="00A36F1E" w:rsidRPr="00AB4DC4" w14:paraId="66052ED1" w14:textId="77777777" w:rsidTr="007B5F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41" w:type="dxa"/>
            <w:vMerge w:val="restart"/>
          </w:tcPr>
          <w:p w14:paraId="1C853A84" w14:textId="77777777" w:rsidR="00A36F1E" w:rsidRPr="00AB4DC4" w:rsidRDefault="00A36F1E" w:rsidP="00DF64C7">
            <w:pPr>
              <w:jc w:val="left"/>
              <w:rPr>
                <w:rFonts w:eastAsiaTheme="minorHAnsi"/>
                <w:sz w:val="20"/>
                <w:szCs w:val="20"/>
              </w:rPr>
            </w:pPr>
            <w:r w:rsidRPr="00AB4DC4">
              <w:rPr>
                <w:sz w:val="20"/>
                <w:szCs w:val="20"/>
              </w:rPr>
              <w:t>III. Informacja i promocja szkolnictwa zawodowego.</w:t>
            </w:r>
          </w:p>
        </w:tc>
        <w:tc>
          <w:tcPr>
            <w:tcW w:w="5049" w:type="dxa"/>
          </w:tcPr>
          <w:p w14:paraId="3E228E67"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sz w:val="20"/>
                <w:szCs w:val="20"/>
              </w:rPr>
            </w:pPr>
            <w:r w:rsidRPr="00AB4DC4">
              <w:rPr>
                <w:sz w:val="20"/>
                <w:szCs w:val="20"/>
              </w:rPr>
              <w:t>Podniesienie stanu wiedzy na temat szkół zawodowych oraz oferowanych zawodów, szkoleń specjalistycznych, a także pracodawców i rynku pracy.</w:t>
            </w:r>
          </w:p>
        </w:tc>
        <w:tc>
          <w:tcPr>
            <w:tcW w:w="3295" w:type="dxa"/>
          </w:tcPr>
          <w:p w14:paraId="4EBDE4F3"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Pr>
                <w:rFonts w:eastAsiaTheme="minorHAnsi"/>
                <w:sz w:val="20"/>
                <w:szCs w:val="20"/>
              </w:rPr>
              <w:t>-</w:t>
            </w:r>
          </w:p>
        </w:tc>
      </w:tr>
      <w:tr w:rsidR="00A36F1E" w:rsidRPr="00AB4DC4" w14:paraId="324FF9FF" w14:textId="77777777" w:rsidTr="007B5F7E">
        <w:trPr>
          <w:trHeight w:val="113"/>
        </w:trPr>
        <w:tc>
          <w:tcPr>
            <w:cnfStyle w:val="001000000000" w:firstRow="0" w:lastRow="0" w:firstColumn="1" w:lastColumn="0" w:oddVBand="0" w:evenVBand="0" w:oddHBand="0" w:evenHBand="0" w:firstRowFirstColumn="0" w:firstRowLastColumn="0" w:lastRowFirstColumn="0" w:lastRowLastColumn="0"/>
            <w:tcW w:w="1541" w:type="dxa"/>
            <w:vMerge/>
          </w:tcPr>
          <w:p w14:paraId="6FE20162" w14:textId="77777777" w:rsidR="00A36F1E" w:rsidRPr="00AB4DC4" w:rsidRDefault="00A36F1E" w:rsidP="00DF64C7">
            <w:pPr>
              <w:jc w:val="left"/>
              <w:rPr>
                <w:rFonts w:eastAsiaTheme="minorHAnsi"/>
                <w:sz w:val="20"/>
                <w:szCs w:val="20"/>
              </w:rPr>
            </w:pPr>
          </w:p>
        </w:tc>
        <w:tc>
          <w:tcPr>
            <w:tcW w:w="5049" w:type="dxa"/>
          </w:tcPr>
          <w:p w14:paraId="4C5BF74D"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AB4DC4">
              <w:rPr>
                <w:sz w:val="20"/>
                <w:szCs w:val="20"/>
              </w:rPr>
              <w:t>Zwiększenie prestiżu szkolnictwa zawodowego i absolwentów szkół – budowanie wizerunku specjalisty i fachowca potrzebnego na rynku pracy.</w:t>
            </w:r>
          </w:p>
        </w:tc>
        <w:tc>
          <w:tcPr>
            <w:tcW w:w="3295" w:type="dxa"/>
          </w:tcPr>
          <w:p w14:paraId="7F2B119F"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w:t>
            </w:r>
          </w:p>
        </w:tc>
      </w:tr>
      <w:tr w:rsidR="00A36F1E" w:rsidRPr="00AB4DC4" w14:paraId="4492DC70" w14:textId="77777777" w:rsidTr="007B5F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41" w:type="dxa"/>
            <w:vMerge/>
          </w:tcPr>
          <w:p w14:paraId="41368194" w14:textId="77777777" w:rsidR="00A36F1E" w:rsidRPr="00AB4DC4" w:rsidRDefault="00A36F1E" w:rsidP="00DF64C7">
            <w:pPr>
              <w:jc w:val="left"/>
              <w:rPr>
                <w:rFonts w:eastAsiaTheme="minorHAnsi"/>
                <w:sz w:val="20"/>
                <w:szCs w:val="20"/>
              </w:rPr>
            </w:pPr>
          </w:p>
        </w:tc>
        <w:tc>
          <w:tcPr>
            <w:tcW w:w="5049" w:type="dxa"/>
          </w:tcPr>
          <w:p w14:paraId="6315F1B7"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AB4DC4">
              <w:rPr>
                <w:sz w:val="20"/>
                <w:szCs w:val="20"/>
              </w:rPr>
              <w:t>Zwiększenie zainteresowania młodzieży kształceniem zawodowym, w tym w sposób nieutrwalający stereotypów płci w zawodach.</w:t>
            </w:r>
          </w:p>
        </w:tc>
        <w:tc>
          <w:tcPr>
            <w:tcW w:w="3295" w:type="dxa"/>
          </w:tcPr>
          <w:p w14:paraId="5BE6E959"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Pr>
                <w:rFonts w:eastAsiaTheme="minorHAnsi"/>
                <w:sz w:val="20"/>
                <w:szCs w:val="20"/>
              </w:rPr>
              <w:t>-</w:t>
            </w:r>
          </w:p>
        </w:tc>
      </w:tr>
      <w:tr w:rsidR="00A36F1E" w:rsidRPr="00AB4DC4" w14:paraId="0E6AA66A" w14:textId="77777777" w:rsidTr="007B5F7E">
        <w:trPr>
          <w:trHeight w:val="113"/>
        </w:trPr>
        <w:tc>
          <w:tcPr>
            <w:cnfStyle w:val="001000000000" w:firstRow="0" w:lastRow="0" w:firstColumn="1" w:lastColumn="0" w:oddVBand="0" w:evenVBand="0" w:oddHBand="0" w:evenHBand="0" w:firstRowFirstColumn="0" w:firstRowLastColumn="0" w:lastRowFirstColumn="0" w:lastRowLastColumn="0"/>
            <w:tcW w:w="1541" w:type="dxa"/>
            <w:vMerge/>
          </w:tcPr>
          <w:p w14:paraId="511F9E1C" w14:textId="77777777" w:rsidR="00A36F1E" w:rsidRPr="00AB4DC4" w:rsidRDefault="00A36F1E" w:rsidP="00DF64C7">
            <w:pPr>
              <w:jc w:val="left"/>
              <w:rPr>
                <w:rFonts w:eastAsiaTheme="minorHAnsi"/>
                <w:sz w:val="20"/>
                <w:szCs w:val="20"/>
              </w:rPr>
            </w:pPr>
          </w:p>
        </w:tc>
        <w:tc>
          <w:tcPr>
            <w:tcW w:w="5049" w:type="dxa"/>
          </w:tcPr>
          <w:p w14:paraId="450187D1"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AB4DC4">
              <w:rPr>
                <w:sz w:val="20"/>
                <w:szCs w:val="20"/>
              </w:rPr>
              <w:t>Zwiększenie zainteresowania i świadomości z korzyści oraz możliwości współpracy ze szkołami zawodowymi wśród pracodawców, uczelni oraz innych ważnych grup otoczenia szkolnictwa zawodowego.</w:t>
            </w:r>
          </w:p>
        </w:tc>
        <w:tc>
          <w:tcPr>
            <w:tcW w:w="3295" w:type="dxa"/>
          </w:tcPr>
          <w:p w14:paraId="66C42920" w14:textId="77777777" w:rsidR="00A36F1E" w:rsidRPr="00AB4DC4" w:rsidRDefault="00A36F1E" w:rsidP="00DF64C7">
            <w:pPr>
              <w:jc w:val="left"/>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Pr>
                <w:rFonts w:eastAsiaTheme="minorHAnsi"/>
                <w:sz w:val="20"/>
                <w:szCs w:val="20"/>
              </w:rPr>
              <w:t>-</w:t>
            </w:r>
          </w:p>
        </w:tc>
      </w:tr>
      <w:tr w:rsidR="00A36F1E" w:rsidRPr="00AB4DC4" w14:paraId="1DBF077D" w14:textId="77777777" w:rsidTr="007B5F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41" w:type="dxa"/>
            <w:vMerge/>
          </w:tcPr>
          <w:p w14:paraId="2C7EF8AA" w14:textId="77777777" w:rsidR="00A36F1E" w:rsidRPr="00AB4DC4" w:rsidRDefault="00A36F1E" w:rsidP="00DF64C7">
            <w:pPr>
              <w:jc w:val="left"/>
              <w:rPr>
                <w:rFonts w:eastAsiaTheme="minorHAnsi"/>
                <w:sz w:val="20"/>
                <w:szCs w:val="20"/>
              </w:rPr>
            </w:pPr>
          </w:p>
        </w:tc>
        <w:tc>
          <w:tcPr>
            <w:tcW w:w="5049" w:type="dxa"/>
          </w:tcPr>
          <w:p w14:paraId="1E166887"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sz w:val="20"/>
                <w:szCs w:val="20"/>
              </w:rPr>
            </w:pPr>
            <w:r w:rsidRPr="00AB4DC4">
              <w:rPr>
                <w:sz w:val="20"/>
                <w:szCs w:val="20"/>
              </w:rPr>
              <w:t>Wypracowanie narzędzi planowania oraz badania skuteczności podejmowanych działań promocyjnych i informacyjnych.</w:t>
            </w:r>
          </w:p>
        </w:tc>
        <w:tc>
          <w:tcPr>
            <w:tcW w:w="3295" w:type="dxa"/>
          </w:tcPr>
          <w:p w14:paraId="5CB4C38E" w14:textId="77777777" w:rsidR="00A36F1E" w:rsidRPr="00AB4DC4" w:rsidRDefault="00A36F1E" w:rsidP="00DF64C7">
            <w:pPr>
              <w:jc w:val="left"/>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Pr>
                <w:rFonts w:eastAsiaTheme="minorHAnsi"/>
                <w:sz w:val="20"/>
                <w:szCs w:val="20"/>
              </w:rPr>
              <w:t>-</w:t>
            </w:r>
          </w:p>
        </w:tc>
      </w:tr>
    </w:tbl>
    <w:p w14:paraId="448F0546" w14:textId="77777777" w:rsidR="00A36F1E" w:rsidRPr="00BA7EB1" w:rsidRDefault="00A36F1E" w:rsidP="00DF64C7">
      <w:pPr>
        <w:pStyle w:val="podpisrdailustracji"/>
        <w:spacing w:line="271" w:lineRule="auto"/>
        <w:jc w:val="left"/>
      </w:pPr>
      <w:r w:rsidRPr="00BA7EB1">
        <w:t>Źródło: Opracowanie własne EU-Consult Sp. z o.o. na podstawie</w:t>
      </w:r>
      <w:r w:rsidR="00367F85">
        <w:t xml:space="preserve"> </w:t>
      </w:r>
      <w:r>
        <w:t>Programu Rozwoju Szkolnictwa Zawodowego Województwa Śląskiego na lata 2014 – 2020 oraz Szczegółowego Opisu Osi Priorytetowych Regionalnego Programu Operacyjnego Województwa Śląskiego na lata 2014-2020</w:t>
      </w:r>
    </w:p>
    <w:p w14:paraId="3DCA377B" w14:textId="77777777" w:rsidR="009704F6" w:rsidRDefault="009704F6" w:rsidP="00DF64C7">
      <w:pPr>
        <w:jc w:val="left"/>
      </w:pPr>
      <w:r>
        <w:t>Należy jednak wskazać, że mimo jednoznacznej zgodności w brzmieniu celów szczegółowych jedynie w dwóch przypadkach, wskazane w SZOOP typy projektów wskazują na powiązanie z większą liczbą celów</w:t>
      </w:r>
      <w:r w:rsidR="00C22DF1">
        <w:t xml:space="preserve"> </w:t>
      </w:r>
      <w:r>
        <w:t xml:space="preserve">Programu Rozwoju Szkolnictwa Zawodowego Województwa Śląskiego na lata 2014 – 2020. RPO WSL 2014-2020 zakłada rozwój współpracy z otoczeniem, w tym w szczególności z pracodawcami, rozwój doradztwa zawodowego, </w:t>
      </w:r>
      <w:r w:rsidR="001F45F6">
        <w:t>poprawę warunków kształcenia zawodowego poprzez przebudowę, budowę lub remont laboratoriów i sal do praktycznej nauki zawo</w:t>
      </w:r>
      <w:r w:rsidR="00C84520">
        <w:t>du, doskonalenie umiejętności i </w:t>
      </w:r>
      <w:r w:rsidR="001F45F6">
        <w:t>kompetencji zawodowych nauczycieli i instruktorów praktycznej nauki zawodu, realizację kompleksowych programów kształcenia praktycznego organizowanych w miejscu pracy, tworzenie w szkołach warunków kształcenia zawodu odzwierciedlających naturalne warunki pracy i zwiększenie wysokojakościowych praktyk i staży u pracodawców oraz prowadzenie kampanii społecznej poprawiającej obraz szkolnictwa zawodowego w regionie.</w:t>
      </w:r>
    </w:p>
    <w:p w14:paraId="11BF367D" w14:textId="77777777" w:rsidR="00A36F1E" w:rsidRDefault="00A36F1E" w:rsidP="00DF64C7">
      <w:pPr>
        <w:jc w:val="left"/>
      </w:pPr>
      <w:r>
        <w:t>W</w:t>
      </w:r>
      <w:r w:rsidR="009630B7">
        <w:t xml:space="preserve"> </w:t>
      </w:r>
      <w:r w:rsidR="009630B7" w:rsidRPr="00B52932">
        <w:rPr>
          <w:rFonts w:cs="Arial"/>
        </w:rPr>
        <w:t>Program</w:t>
      </w:r>
      <w:r w:rsidR="009630B7">
        <w:rPr>
          <w:rFonts w:cs="Arial"/>
        </w:rPr>
        <w:t>ie</w:t>
      </w:r>
      <w:r w:rsidR="009630B7" w:rsidRPr="00B52932">
        <w:rPr>
          <w:rFonts w:cs="Arial"/>
        </w:rPr>
        <w:t xml:space="preserve"> Rozwoju Szkolnictwa Zawodowego Województwa Śląskiego na lata 2014 – 2020</w:t>
      </w:r>
      <w:r>
        <w:t xml:space="preserve"> </w:t>
      </w:r>
      <w:r w:rsidR="009630B7">
        <w:t xml:space="preserve">w </w:t>
      </w:r>
      <w:r>
        <w:t>rozdziale dotyczącym systemu wdrażania Programu założono powstanie strategii/programów dotyczących kształcenia zawodowego na poziomie subregionów, powiatów oraz planów na poziomie szkół. Jak zaznaczono w analizowanym dokumencie, wskaźniki wykonania danego działania realizowanego w obrębie poszczególnych celów, miały zostać opracowane na poziomie jednostek samorządu terytorialnego i być w miarę możliwości spójne ze wskaźnikami narzuconymi przez instrumenty je finansujące (np. RPO WSL 2014 – 2020)</w:t>
      </w:r>
      <w:r>
        <w:rPr>
          <w:rStyle w:val="Odwoanieprzypisudolnego"/>
        </w:rPr>
        <w:footnoteReference w:id="93"/>
      </w:r>
      <w:r>
        <w:t xml:space="preserve">. Dotyczyło to </w:t>
      </w:r>
      <w:r w:rsidRPr="00780DDF">
        <w:t xml:space="preserve">zarówno celów operacyjnych (wskaźniki rezultatu), jak </w:t>
      </w:r>
      <w:r>
        <w:t>i </w:t>
      </w:r>
      <w:r w:rsidRPr="00780DDF">
        <w:t>celów strategicznych (wskaźniki oddziaływania).</w:t>
      </w:r>
      <w:r>
        <w:t xml:space="preserve"> Z tego względu w Programie nie przedstawiono żadnych wskaźników doty</w:t>
      </w:r>
      <w:r w:rsidR="00EA2E51">
        <w:t>czących wyżej wskazanych celów.</w:t>
      </w:r>
    </w:p>
    <w:p w14:paraId="6F9A13DA" w14:textId="77777777" w:rsidR="00A36F1E" w:rsidRDefault="00A36F1E" w:rsidP="00DF64C7">
      <w:pPr>
        <w:jc w:val="left"/>
      </w:pPr>
      <w:r w:rsidRPr="004D1333">
        <w:rPr>
          <w:i/>
        </w:rPr>
        <w:t>Strategia rozwoju województwa śląskiego ŚLĄSKIE 2020+</w:t>
      </w:r>
      <w:r>
        <w:t xml:space="preserve"> to dokument zawierający m.in. obszar priorytetowy</w:t>
      </w:r>
      <w:r w:rsidRPr="00780DDF">
        <w:t xml:space="preserve"> (B)</w:t>
      </w:r>
      <w:r>
        <w:t>, jakim są</w:t>
      </w:r>
      <w:r w:rsidRPr="00780DDF">
        <w:t xml:space="preserve"> „</w:t>
      </w:r>
      <w:r>
        <w:t>S</w:t>
      </w:r>
      <w:r w:rsidRPr="00780DDF">
        <w:t>zanse rozwojowe mieszkańców</w:t>
      </w:r>
      <w:r>
        <w:t>”. W</w:t>
      </w:r>
      <w:r w:rsidRPr="00780DDF">
        <w:t xml:space="preserve"> ramach </w:t>
      </w:r>
      <w:r>
        <w:t>wskazanego zagadnienia</w:t>
      </w:r>
      <w:r w:rsidRPr="00780DDF">
        <w:t xml:space="preserve"> wyodrębniony został cel strategiczny: </w:t>
      </w:r>
      <w:r>
        <w:t>„Województwo śląskie regionem o </w:t>
      </w:r>
      <w:r w:rsidRPr="00780DDF">
        <w:t>wysokiej jakości życia opierającej się na powszechnej dostępności do usług pub</w:t>
      </w:r>
      <w:r>
        <w:t>licznych o wysokim standardzie”. Główne działania dla tegoż celu wyznaczane są w znaczącej mierze poprzez trendy społeczno-gospodarcze, do których można zaliczyć: zmniejszanie się liczby osób w wieku aktywności zawodowej, niedostosowanie umiejętności pracowników do oczekiwań nowoczesnego rynku pracy, zwiększanie długości trwania życia, społeczno-ekonomiczne skutki zmian w sferze struktury wieku, a także starzenie się społeczeństwa i prognozowany spadek liczby mieszkańców województwa śląskiego w wyniku ujemnego przyrostu naturalnego i procesów migracyjnych. Jak zaznaczono w dokumencie, żeby sprostać wskazanym problemom konieczne jest m.in. zapewnienie wysokiego poziomu zatrudnienia, inwestycji w kwalifikacje, jak również modernizowanie rynków pracy, systemu szkoleń</w:t>
      </w:r>
      <w:r>
        <w:rPr>
          <w:rStyle w:val="Odwoanieprzypisudolnego"/>
        </w:rPr>
        <w:footnoteReference w:id="94"/>
      </w:r>
      <w:r>
        <w:t>.</w:t>
      </w:r>
    </w:p>
    <w:p w14:paraId="04F8861D" w14:textId="77777777" w:rsidR="00A36F1E" w:rsidRDefault="00A36F1E" w:rsidP="00DF64C7">
      <w:pPr>
        <w:jc w:val="left"/>
      </w:pPr>
      <w:r>
        <w:t>W odniesieniu do wskazanego celu strategicznego opracowany został cel operacyjny: B.2. „Rozwój kompetencji, umiejętności i wzrost poziomu aktywności mieszkańców”, w którym zawarto z kolei następujące kierunki działań</w:t>
      </w:r>
      <w:r>
        <w:rPr>
          <w:rStyle w:val="Odwoanieprzypisudolnego"/>
          <w:b/>
          <w:bCs/>
        </w:rPr>
        <w:footnoteReference w:id="95"/>
      </w:r>
      <w:r>
        <w:t>:</w:t>
      </w:r>
    </w:p>
    <w:p w14:paraId="4D3DBA03" w14:textId="77777777" w:rsidR="00A36F1E" w:rsidRDefault="00A36F1E" w:rsidP="00DF64C7">
      <w:pPr>
        <w:pStyle w:val="Akapitzlist"/>
        <w:numPr>
          <w:ilvl w:val="0"/>
          <w:numId w:val="10"/>
        </w:numPr>
        <w:ind w:hanging="436"/>
        <w:jc w:val="left"/>
      </w:pPr>
      <w:r>
        <w:t xml:space="preserve">Podniesienie jakości i poprawa dostępu do oferty edukacyjnej na wszystkich poziomach nauczania odpowiadającej potrzebom rynku pracy oraz kształtującej postawy przedsiębiorcze i kreatywne. </w:t>
      </w:r>
    </w:p>
    <w:p w14:paraId="5415D6C3" w14:textId="77777777" w:rsidR="00A36F1E" w:rsidRDefault="00A36F1E" w:rsidP="00DF64C7">
      <w:pPr>
        <w:pStyle w:val="Akapitzlist"/>
        <w:numPr>
          <w:ilvl w:val="0"/>
          <w:numId w:val="10"/>
        </w:numPr>
        <w:ind w:hanging="436"/>
        <w:jc w:val="left"/>
      </w:pPr>
      <w:r>
        <w:t xml:space="preserve">Wprowadzenie działań z zakresu monitoringu i ewaluacji polityki edukacyjnej w województwie i zapotrzebowania na określone kompetencje. </w:t>
      </w:r>
    </w:p>
    <w:p w14:paraId="64DCD03A" w14:textId="77777777" w:rsidR="00A36F1E" w:rsidRDefault="00A36F1E" w:rsidP="00DF64C7">
      <w:pPr>
        <w:pStyle w:val="Akapitzlist"/>
        <w:numPr>
          <w:ilvl w:val="0"/>
          <w:numId w:val="10"/>
        </w:numPr>
        <w:ind w:hanging="436"/>
        <w:jc w:val="left"/>
      </w:pPr>
      <w:r>
        <w:t xml:space="preserve">Wzmocnienie kształcenia kluczowych umiejętności i kompetencji uczniów m.in. poprzez organizowanie tematycznych i praktycznych kursów zawodowych we współpracy z pracodawcami. </w:t>
      </w:r>
    </w:p>
    <w:p w14:paraId="062D35AA" w14:textId="77777777" w:rsidR="00A36F1E" w:rsidRDefault="00A36F1E" w:rsidP="00DF64C7">
      <w:pPr>
        <w:pStyle w:val="Akapitzlist"/>
        <w:numPr>
          <w:ilvl w:val="0"/>
          <w:numId w:val="10"/>
        </w:numPr>
        <w:ind w:hanging="436"/>
        <w:jc w:val="left"/>
      </w:pPr>
      <w:r>
        <w:t xml:space="preserve">Wsparcie działań i rozwój infrastruktury popularyzujących naukę. </w:t>
      </w:r>
    </w:p>
    <w:p w14:paraId="0F706026" w14:textId="77777777" w:rsidR="00A36F1E" w:rsidRDefault="00A36F1E" w:rsidP="00DF64C7">
      <w:pPr>
        <w:pStyle w:val="Akapitzlist"/>
        <w:numPr>
          <w:ilvl w:val="0"/>
          <w:numId w:val="10"/>
        </w:numPr>
        <w:ind w:hanging="436"/>
        <w:jc w:val="left"/>
      </w:pPr>
      <w:r>
        <w:t xml:space="preserve">Podniesienie jakości i poprawa dostępu do oferty kształcenia ustawicznego umożliwiającej stały rozwój zawodowy i utrzymanie się na rynku pracy. </w:t>
      </w:r>
    </w:p>
    <w:p w14:paraId="65255DC8" w14:textId="77777777" w:rsidR="00A36F1E" w:rsidRDefault="00A36F1E" w:rsidP="00DF64C7">
      <w:pPr>
        <w:pStyle w:val="Akapitzlist"/>
        <w:numPr>
          <w:ilvl w:val="0"/>
          <w:numId w:val="10"/>
        </w:numPr>
        <w:ind w:hanging="436"/>
        <w:jc w:val="left"/>
      </w:pPr>
      <w:r>
        <w:t xml:space="preserve">Wdrażanie rozwiązań zwiększających dostępność do infrastruktury i podnoszących kompetencje społeczeństwa informacyjnego oraz rozwój usług elektronicznych i mobilnych. </w:t>
      </w:r>
    </w:p>
    <w:p w14:paraId="658BA289" w14:textId="77777777" w:rsidR="00A36F1E" w:rsidRDefault="00A36F1E" w:rsidP="00DF64C7">
      <w:pPr>
        <w:pStyle w:val="Akapitzlist"/>
        <w:numPr>
          <w:ilvl w:val="0"/>
          <w:numId w:val="10"/>
        </w:numPr>
        <w:ind w:hanging="436"/>
        <w:jc w:val="left"/>
      </w:pPr>
      <w:r>
        <w:t xml:space="preserve">Zwiększenie cyfrowych umiejętności/kompetencji administracji samorządowej, w tym umiejętności otwartej komunikacji z obywatelami z wykorzystaniem narzędzi ICT. </w:t>
      </w:r>
    </w:p>
    <w:p w14:paraId="38E75CA7" w14:textId="77777777" w:rsidR="00A36F1E" w:rsidRDefault="00A36F1E" w:rsidP="00DF64C7">
      <w:pPr>
        <w:pStyle w:val="Akapitzlist"/>
        <w:numPr>
          <w:ilvl w:val="0"/>
          <w:numId w:val="10"/>
        </w:numPr>
        <w:ind w:hanging="436"/>
        <w:jc w:val="left"/>
      </w:pPr>
      <w:r>
        <w:t xml:space="preserve">Stworzenie systemu rozwijania i odkrywania talentów mieszkańców województwa. </w:t>
      </w:r>
    </w:p>
    <w:p w14:paraId="1EDA4850" w14:textId="77777777" w:rsidR="00A36F1E" w:rsidRDefault="00A36F1E" w:rsidP="00DF64C7">
      <w:pPr>
        <w:pStyle w:val="Akapitzlist"/>
        <w:numPr>
          <w:ilvl w:val="0"/>
          <w:numId w:val="10"/>
        </w:numPr>
        <w:ind w:hanging="436"/>
        <w:jc w:val="left"/>
      </w:pPr>
      <w:r>
        <w:t xml:space="preserve">Realizacja długofalowych programów edukacji kulturalnej adresowanej do różnych grup odbiorców i zwiększających zainteresowanie uczestnictwem w kulturze. </w:t>
      </w:r>
    </w:p>
    <w:p w14:paraId="3714F024" w14:textId="77777777" w:rsidR="00A36F1E" w:rsidRDefault="00A36F1E" w:rsidP="00DF64C7">
      <w:pPr>
        <w:pStyle w:val="Akapitzlist"/>
        <w:numPr>
          <w:ilvl w:val="0"/>
          <w:numId w:val="10"/>
        </w:numPr>
        <w:ind w:hanging="436"/>
        <w:jc w:val="left"/>
      </w:pPr>
      <w:r>
        <w:t xml:space="preserve">Podniesienie jakości i poprawa dostępu do oferty kultury, sportu i rekreacji oferujących możliwości rozwoju mieszkańców oraz atrakcyjnego spędzania wolnego czasu. </w:t>
      </w:r>
    </w:p>
    <w:p w14:paraId="394D6F11" w14:textId="77777777" w:rsidR="00A36F1E" w:rsidRDefault="00A36F1E" w:rsidP="00DF64C7">
      <w:pPr>
        <w:jc w:val="left"/>
      </w:pPr>
      <w:r>
        <w:t>Głównymi zakładanymi efektami planowanych działań były:</w:t>
      </w:r>
    </w:p>
    <w:p w14:paraId="6AAABEC8" w14:textId="77777777" w:rsidR="00A36F1E" w:rsidRDefault="00A36F1E" w:rsidP="00DF64C7">
      <w:pPr>
        <w:pStyle w:val="Akapitzlist"/>
        <w:numPr>
          <w:ilvl w:val="1"/>
          <w:numId w:val="11"/>
        </w:numPr>
        <w:ind w:left="709" w:hanging="425"/>
        <w:jc w:val="left"/>
      </w:pPr>
      <w:r>
        <w:t xml:space="preserve">Wysoki poziom kompetencji i wykształcenia mieszkańców. </w:t>
      </w:r>
    </w:p>
    <w:p w14:paraId="3365F62B" w14:textId="77777777" w:rsidR="00A36F1E" w:rsidRDefault="00A36F1E" w:rsidP="00DF64C7">
      <w:pPr>
        <w:pStyle w:val="Akapitzlist"/>
        <w:numPr>
          <w:ilvl w:val="1"/>
          <w:numId w:val="11"/>
        </w:numPr>
        <w:ind w:left="709" w:hanging="425"/>
        <w:jc w:val="left"/>
      </w:pPr>
      <w:r>
        <w:t xml:space="preserve">Powszechna umiejętność korzystania z usług elektronicznych i dostęp do infrastruktury ICT. </w:t>
      </w:r>
    </w:p>
    <w:p w14:paraId="69A19E98" w14:textId="77777777" w:rsidR="00A36F1E" w:rsidRDefault="00A36F1E" w:rsidP="00DF64C7">
      <w:pPr>
        <w:pStyle w:val="Akapitzlist"/>
        <w:numPr>
          <w:ilvl w:val="1"/>
          <w:numId w:val="11"/>
        </w:numPr>
        <w:ind w:left="709" w:hanging="425"/>
        <w:jc w:val="left"/>
      </w:pPr>
      <w:r>
        <w:t xml:space="preserve">Zwiększenie udziału mieszkańców w wydarzeniach i imprezach kulturalnych oraz sportowych. </w:t>
      </w:r>
    </w:p>
    <w:p w14:paraId="784E184A" w14:textId="77777777" w:rsidR="00A36F1E" w:rsidRDefault="00A36F1E" w:rsidP="00DF64C7">
      <w:pPr>
        <w:pStyle w:val="Akapitzlist"/>
        <w:numPr>
          <w:ilvl w:val="1"/>
          <w:numId w:val="11"/>
        </w:numPr>
        <w:ind w:left="709" w:hanging="425"/>
        <w:jc w:val="left"/>
      </w:pPr>
      <w:r>
        <w:t xml:space="preserve">Spadek odsetka długotrwale bezrobotnych oraz bezrobotnych do 25 roku życia i powyżej 45 roku życia. </w:t>
      </w:r>
    </w:p>
    <w:p w14:paraId="6706BE60" w14:textId="77777777" w:rsidR="00A36F1E" w:rsidRDefault="00A36F1E" w:rsidP="00DF64C7">
      <w:pPr>
        <w:pStyle w:val="Akapitzlist"/>
        <w:numPr>
          <w:ilvl w:val="1"/>
          <w:numId w:val="11"/>
        </w:numPr>
        <w:ind w:left="709" w:hanging="425"/>
        <w:jc w:val="left"/>
      </w:pPr>
      <w:r>
        <w:t xml:space="preserve">Ułatwianie wejścia na rynek pracy absolwentom szkół. </w:t>
      </w:r>
    </w:p>
    <w:p w14:paraId="08C24D82" w14:textId="77777777" w:rsidR="00A36F1E" w:rsidRDefault="00A36F1E" w:rsidP="00DF64C7">
      <w:pPr>
        <w:pStyle w:val="Akapitzlist"/>
        <w:numPr>
          <w:ilvl w:val="1"/>
          <w:numId w:val="11"/>
        </w:numPr>
        <w:ind w:left="709" w:hanging="425"/>
        <w:jc w:val="left"/>
      </w:pPr>
      <w:r>
        <w:t xml:space="preserve">Tworzenie nowych miejsc pracy. </w:t>
      </w:r>
    </w:p>
    <w:p w14:paraId="21242588" w14:textId="77777777" w:rsidR="00A36F1E" w:rsidRDefault="00A36F1E" w:rsidP="00DF64C7">
      <w:pPr>
        <w:jc w:val="left"/>
      </w:pPr>
      <w:r>
        <w:t>Wśród określonych wskaźników rezultatu, które miały potwierdzić osiągnięcie celu operacyjnego znalazły się takie, które są zbieżne ze wskaźnikami rezultatu przyjętymi w ramach OP XI i XII.</w:t>
      </w:r>
    </w:p>
    <w:p w14:paraId="02C099D1" w14:textId="2C9B1D98" w:rsidR="00A36F1E" w:rsidRDefault="00A36F1E" w:rsidP="00DF64C7">
      <w:pPr>
        <w:pStyle w:val="Legenda"/>
        <w:spacing w:line="271" w:lineRule="auto"/>
        <w:jc w:val="left"/>
      </w:pPr>
      <w:bookmarkStart w:id="85" w:name="_Toc33457230"/>
      <w:r>
        <w:t xml:space="preserve">Tabela </w:t>
      </w:r>
      <w:r>
        <w:rPr>
          <w:noProof/>
        </w:rPr>
        <w:fldChar w:fldCharType="begin"/>
      </w:r>
      <w:r>
        <w:rPr>
          <w:noProof/>
        </w:rPr>
        <w:instrText xml:space="preserve"> SEQ Tabela \* ARABIC </w:instrText>
      </w:r>
      <w:r>
        <w:rPr>
          <w:noProof/>
        </w:rPr>
        <w:fldChar w:fldCharType="separate"/>
      </w:r>
      <w:r w:rsidR="00A8147E">
        <w:rPr>
          <w:noProof/>
        </w:rPr>
        <w:t>31</w:t>
      </w:r>
      <w:r>
        <w:rPr>
          <w:noProof/>
        </w:rPr>
        <w:fldChar w:fldCharType="end"/>
      </w:r>
      <w:r>
        <w:t>. Wskaźniki rezultatu dla celu operacyjnego B.2. Strategii „ŚLĄSKIE 2020+” oraz wskaźniki rezultatu dla OP XI i XII RPO WSL 2014-2020</w:t>
      </w:r>
      <w:bookmarkEnd w:id="85"/>
    </w:p>
    <w:tbl>
      <w:tblPr>
        <w:tblStyle w:val="Jasnalistaakcent6"/>
        <w:tblW w:w="9072" w:type="dxa"/>
        <w:tblLayout w:type="fixed"/>
        <w:tblLook w:val="0000" w:firstRow="0" w:lastRow="0" w:firstColumn="0" w:lastColumn="0" w:noHBand="0" w:noVBand="0"/>
        <w:tblCaption w:val="Wskaźniki rezultatu dla celu operacyjnego B.2. Strategii „ŚLĄSKIE 2020+” oraz wskaźniki rezultatu dla OP XI i XII RPO WSL 2014-2020"/>
        <w:tblDescription w:val="Tabela przedstawia zgodność pomiędzy wskaźnikami rezultatu dla celu operacyjnego B.2. Strategii „ŚLĄSKIE 2020+” oraz wskaźnikami rezultatu dla OP XI i XII RPO WSL 2014-2020."/>
      </w:tblPr>
      <w:tblGrid>
        <w:gridCol w:w="4526"/>
        <w:gridCol w:w="4546"/>
      </w:tblGrid>
      <w:tr w:rsidR="00D22B94" w:rsidRPr="00D22B94" w14:paraId="2B19D5F4" w14:textId="77777777" w:rsidTr="00DA127E">
        <w:trPr>
          <w:trHeight w:val="20"/>
          <w:tblHeader/>
        </w:trPr>
        <w:tc>
          <w:tcPr>
            <w:cnfStyle w:val="000010000000" w:firstRow="0" w:lastRow="0" w:firstColumn="0" w:lastColumn="0" w:oddVBand="1" w:evenVBand="0" w:oddHBand="0" w:evenHBand="0" w:firstRowFirstColumn="0" w:firstRowLastColumn="0" w:lastRowFirstColumn="0" w:lastRowLastColumn="0"/>
            <w:tcW w:w="4526" w:type="dxa"/>
            <w:shd w:val="clear" w:color="auto" w:fill="F79646" w:themeFill="accent6"/>
            <w:vAlign w:val="center"/>
          </w:tcPr>
          <w:p w14:paraId="31D99E60" w14:textId="77777777" w:rsidR="00A36F1E" w:rsidRPr="007B5F7E" w:rsidRDefault="00A36F1E" w:rsidP="00DF64C7">
            <w:pPr>
              <w:pStyle w:val="Default"/>
              <w:spacing w:after="0" w:line="271" w:lineRule="auto"/>
              <w:rPr>
                <w:b/>
                <w:color w:val="FFFFFF" w:themeColor="background1"/>
                <w:sz w:val="20"/>
                <w:szCs w:val="20"/>
              </w:rPr>
            </w:pPr>
            <w:r w:rsidRPr="007B5F7E">
              <w:rPr>
                <w:b/>
                <w:bCs/>
                <w:color w:val="FFFFFF" w:themeColor="background1"/>
                <w:sz w:val="20"/>
                <w:szCs w:val="20"/>
              </w:rPr>
              <w:t>Wskaźniki rezultatu celu operacyjnego B.2.</w:t>
            </w:r>
          </w:p>
        </w:tc>
        <w:tc>
          <w:tcPr>
            <w:tcW w:w="4546" w:type="dxa"/>
            <w:shd w:val="clear" w:color="auto" w:fill="F79646" w:themeFill="accent6"/>
            <w:vAlign w:val="center"/>
          </w:tcPr>
          <w:p w14:paraId="049D8C3E" w14:textId="77777777" w:rsidR="00A36F1E" w:rsidRPr="007B5F7E" w:rsidRDefault="00A36F1E"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7B5F7E">
              <w:rPr>
                <w:b/>
                <w:color w:val="FFFFFF" w:themeColor="background1"/>
                <w:sz w:val="20"/>
                <w:szCs w:val="20"/>
              </w:rPr>
              <w:t>Wskaźniki rezultatu dla OP XI i XII</w:t>
            </w:r>
          </w:p>
        </w:tc>
      </w:tr>
      <w:tr w:rsidR="00A36F1E" w:rsidRPr="00757750" w14:paraId="5BE592A6"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26" w:type="dxa"/>
          </w:tcPr>
          <w:p w14:paraId="1931CAA8" w14:textId="77777777" w:rsidR="00A36F1E" w:rsidRPr="00757750" w:rsidRDefault="00A36F1E" w:rsidP="00DF64C7">
            <w:pPr>
              <w:pStyle w:val="Default"/>
              <w:spacing w:after="0" w:line="271" w:lineRule="auto"/>
              <w:rPr>
                <w:sz w:val="20"/>
                <w:szCs w:val="20"/>
              </w:rPr>
            </w:pPr>
            <w:r w:rsidRPr="00757750">
              <w:rPr>
                <w:sz w:val="20"/>
                <w:szCs w:val="20"/>
              </w:rPr>
              <w:t xml:space="preserve">Odsetek mieszkańców podnoszących w ostatnim roku swoje kwalifikacje za pomocą ICT </w:t>
            </w:r>
          </w:p>
        </w:tc>
        <w:tc>
          <w:tcPr>
            <w:tcW w:w="4546" w:type="dxa"/>
          </w:tcPr>
          <w:p w14:paraId="263860C8" w14:textId="77777777" w:rsidR="00A36F1E" w:rsidRPr="00757750" w:rsidRDefault="00A36F1E"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A36F1E" w:rsidRPr="00757750" w14:paraId="2E18C9E8" w14:textId="77777777" w:rsidTr="00DA127E">
        <w:trPr>
          <w:trHeight w:val="20"/>
        </w:trPr>
        <w:tc>
          <w:tcPr>
            <w:cnfStyle w:val="000010000000" w:firstRow="0" w:lastRow="0" w:firstColumn="0" w:lastColumn="0" w:oddVBand="1" w:evenVBand="0" w:oddHBand="0" w:evenHBand="0" w:firstRowFirstColumn="0" w:firstRowLastColumn="0" w:lastRowFirstColumn="0" w:lastRowLastColumn="0"/>
            <w:tcW w:w="4526" w:type="dxa"/>
          </w:tcPr>
          <w:p w14:paraId="1137DAC6" w14:textId="77777777" w:rsidR="00A36F1E" w:rsidRPr="00757750" w:rsidRDefault="00A36F1E" w:rsidP="00DF64C7">
            <w:pPr>
              <w:pStyle w:val="Default"/>
              <w:spacing w:after="0" w:line="271" w:lineRule="auto"/>
              <w:rPr>
                <w:sz w:val="20"/>
                <w:szCs w:val="20"/>
              </w:rPr>
            </w:pPr>
            <w:r w:rsidRPr="00757750">
              <w:rPr>
                <w:sz w:val="20"/>
                <w:szCs w:val="20"/>
              </w:rPr>
              <w:t xml:space="preserve">Słuchacze studiów podyplomowych na 10 tys. mieszkańców w wieku 25-64 </w:t>
            </w:r>
          </w:p>
        </w:tc>
        <w:tc>
          <w:tcPr>
            <w:tcW w:w="4546" w:type="dxa"/>
          </w:tcPr>
          <w:p w14:paraId="26D0AA0F" w14:textId="77777777" w:rsidR="00A36F1E" w:rsidRPr="00757750" w:rsidRDefault="00A36F1E"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20"/>
                <w:szCs w:val="20"/>
              </w:rPr>
            </w:pPr>
            <w:r w:rsidRPr="00757750">
              <w:rPr>
                <w:sz w:val="20"/>
                <w:szCs w:val="20"/>
              </w:rPr>
              <w:t>-</w:t>
            </w:r>
          </w:p>
        </w:tc>
      </w:tr>
      <w:tr w:rsidR="00A36F1E" w:rsidRPr="00757750" w14:paraId="60D0A501"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26" w:type="dxa"/>
          </w:tcPr>
          <w:p w14:paraId="08069590" w14:textId="77777777" w:rsidR="00A36F1E" w:rsidRPr="00757750" w:rsidRDefault="00A36F1E" w:rsidP="00DF64C7">
            <w:pPr>
              <w:pStyle w:val="Default"/>
              <w:spacing w:after="0" w:line="271" w:lineRule="auto"/>
              <w:rPr>
                <w:sz w:val="20"/>
                <w:szCs w:val="20"/>
              </w:rPr>
            </w:pPr>
            <w:r w:rsidRPr="00757750">
              <w:rPr>
                <w:sz w:val="20"/>
                <w:szCs w:val="20"/>
              </w:rPr>
              <w:t xml:space="preserve">Wskaźnik zatrudnienia mieszkańców w wieku 15-24 /55-64 </w:t>
            </w:r>
          </w:p>
        </w:tc>
        <w:tc>
          <w:tcPr>
            <w:tcW w:w="4546" w:type="dxa"/>
          </w:tcPr>
          <w:p w14:paraId="7FA46557" w14:textId="77777777" w:rsidR="00A36F1E" w:rsidRPr="00757750" w:rsidRDefault="00A36F1E"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sz w:val="20"/>
                <w:szCs w:val="20"/>
              </w:rPr>
            </w:pPr>
            <w:r w:rsidRPr="00757750">
              <w:rPr>
                <w:sz w:val="20"/>
                <w:szCs w:val="20"/>
              </w:rPr>
              <w:t>-</w:t>
            </w:r>
          </w:p>
        </w:tc>
      </w:tr>
      <w:tr w:rsidR="00A36F1E" w:rsidRPr="00757750" w14:paraId="404CC871" w14:textId="77777777" w:rsidTr="00DA127E">
        <w:trPr>
          <w:trHeight w:val="20"/>
        </w:trPr>
        <w:tc>
          <w:tcPr>
            <w:cnfStyle w:val="000010000000" w:firstRow="0" w:lastRow="0" w:firstColumn="0" w:lastColumn="0" w:oddVBand="1" w:evenVBand="0" w:oddHBand="0" w:evenHBand="0" w:firstRowFirstColumn="0" w:firstRowLastColumn="0" w:lastRowFirstColumn="0" w:lastRowLastColumn="0"/>
            <w:tcW w:w="4526" w:type="dxa"/>
            <w:vAlign w:val="center"/>
          </w:tcPr>
          <w:p w14:paraId="3F56EE81" w14:textId="77777777" w:rsidR="00A36F1E" w:rsidRPr="00757750" w:rsidRDefault="00A36F1E" w:rsidP="00DF64C7">
            <w:pPr>
              <w:pStyle w:val="Default"/>
              <w:spacing w:after="0" w:line="271" w:lineRule="auto"/>
              <w:rPr>
                <w:sz w:val="20"/>
                <w:szCs w:val="20"/>
              </w:rPr>
            </w:pPr>
            <w:r w:rsidRPr="00757750">
              <w:rPr>
                <w:sz w:val="20"/>
                <w:szCs w:val="20"/>
              </w:rPr>
              <w:t xml:space="preserve">Odsetek osób dorosłych w wieku 25-64 uczestniczących w ostatnich 4 tygodniach w kształceniu i szkoleniu </w:t>
            </w:r>
          </w:p>
        </w:tc>
        <w:tc>
          <w:tcPr>
            <w:tcW w:w="4546" w:type="dxa"/>
          </w:tcPr>
          <w:p w14:paraId="0508AE39" w14:textId="77777777" w:rsidR="00A36F1E" w:rsidRPr="00757750" w:rsidRDefault="00BE6012"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 </w:t>
            </w:r>
            <w:r w:rsidR="00A36F1E" w:rsidRPr="00757750">
              <w:rPr>
                <w:sz w:val="20"/>
                <w:szCs w:val="20"/>
              </w:rPr>
              <w:t>Działanie 11. 1 Liczba nauczycieli, którzy uzyskali kwalifikacje lub nabyli kompetencje po opuszczeniu programu (Poddziałania 11.1.1, 11.1.2, 11.1.3, 11.1.4)</w:t>
            </w:r>
            <w:r>
              <w:rPr>
                <w:sz w:val="20"/>
                <w:szCs w:val="20"/>
              </w:rPr>
              <w:t>;</w:t>
            </w:r>
          </w:p>
          <w:p w14:paraId="39106EA4" w14:textId="77777777" w:rsidR="00A36F1E" w:rsidRPr="00757750" w:rsidRDefault="00BE6012"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 </w:t>
            </w:r>
            <w:r w:rsidR="00A36F1E" w:rsidRPr="00757750">
              <w:rPr>
                <w:sz w:val="20"/>
                <w:szCs w:val="20"/>
              </w:rPr>
              <w:t>Działanie 11.2 Liczba nauczycieli kształcenia zawodowego oraz instruktorów praktycznej nauki zawodu, którzy uzyskali kwalifikacje lub nabyli kompetencje po opuszczeniu programu (obligatoryjny)</w:t>
            </w:r>
            <w:r>
              <w:rPr>
                <w:sz w:val="20"/>
                <w:szCs w:val="20"/>
              </w:rPr>
              <w:t>;</w:t>
            </w:r>
          </w:p>
          <w:p w14:paraId="46714A51" w14:textId="77777777" w:rsidR="00A36F1E" w:rsidRPr="00757750" w:rsidRDefault="00BE6012"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 </w:t>
            </w:r>
            <w:r w:rsidR="00A36F1E" w:rsidRPr="00757750">
              <w:rPr>
                <w:sz w:val="20"/>
                <w:szCs w:val="20"/>
              </w:rPr>
              <w:t>Działanie 11.4 Liczba osób o niskich kwalifikacjach, które uzyskały kwalifikacje lub nabyły kompetencje po opuszczeniu programu (obligatoryjny)</w:t>
            </w:r>
            <w:r>
              <w:rPr>
                <w:sz w:val="20"/>
                <w:szCs w:val="20"/>
              </w:rPr>
              <w:t>;</w:t>
            </w:r>
          </w:p>
          <w:p w14:paraId="033CDCDF" w14:textId="77777777" w:rsidR="00A36F1E" w:rsidRPr="00757750" w:rsidRDefault="00BE6012"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 </w:t>
            </w:r>
            <w:r w:rsidR="00A36F1E" w:rsidRPr="00757750">
              <w:rPr>
                <w:sz w:val="20"/>
                <w:szCs w:val="20"/>
              </w:rPr>
              <w:t>Działanie 11.4 Liczba osób w wieku 50 lat i więcej, które uzyskały kwalifikacje lub nabyły kompetencje po opuszczeniu programu (obligatoryjny)</w:t>
            </w:r>
            <w:r>
              <w:rPr>
                <w:sz w:val="20"/>
                <w:szCs w:val="20"/>
              </w:rPr>
              <w:t>;</w:t>
            </w:r>
          </w:p>
          <w:p w14:paraId="50F20983" w14:textId="77777777" w:rsidR="00A36F1E" w:rsidRPr="00757750" w:rsidRDefault="00BE6012"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5) </w:t>
            </w:r>
            <w:r w:rsidR="00A36F1E" w:rsidRPr="00757750">
              <w:rPr>
                <w:sz w:val="20"/>
                <w:szCs w:val="20"/>
              </w:rPr>
              <w:t>Działanie 11.4 Liczba osób w wieku 25 lat i więcej, które uzyskały kwalifikacje lub nabyły kompetencje po opuszczeniu programu (obligatoryjny)</w:t>
            </w:r>
            <w:r>
              <w:rPr>
                <w:sz w:val="20"/>
                <w:szCs w:val="20"/>
              </w:rPr>
              <w:t>;</w:t>
            </w:r>
          </w:p>
          <w:p w14:paraId="7063D0C3" w14:textId="77777777" w:rsidR="00A36F1E" w:rsidRPr="00757750" w:rsidRDefault="00A36F1E"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20"/>
                <w:szCs w:val="20"/>
              </w:rPr>
            </w:pPr>
            <w:r w:rsidRPr="00757750">
              <w:rPr>
                <w:sz w:val="20"/>
                <w:szCs w:val="20"/>
              </w:rPr>
              <w:t>Działanie 12.3 Liczba osób objętych działaniami instytucji popularyzujących naukę i innowacje</w:t>
            </w:r>
            <w:r w:rsidRPr="00757750">
              <w:rPr>
                <w:rFonts w:cs="Calibri"/>
                <w:sz w:val="20"/>
                <w:szCs w:val="20"/>
              </w:rPr>
              <w:t>.</w:t>
            </w:r>
          </w:p>
        </w:tc>
      </w:tr>
      <w:tr w:rsidR="00A36F1E" w:rsidRPr="00757750" w14:paraId="20B2A916"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26" w:type="dxa"/>
          </w:tcPr>
          <w:p w14:paraId="5CB27DC7" w14:textId="77777777" w:rsidR="00A36F1E" w:rsidRPr="00757750" w:rsidRDefault="00A36F1E" w:rsidP="00DF64C7">
            <w:pPr>
              <w:pStyle w:val="Default"/>
              <w:spacing w:after="0" w:line="271" w:lineRule="auto"/>
              <w:rPr>
                <w:sz w:val="20"/>
                <w:szCs w:val="20"/>
              </w:rPr>
            </w:pPr>
            <w:r w:rsidRPr="00757750">
              <w:rPr>
                <w:sz w:val="20"/>
                <w:szCs w:val="20"/>
              </w:rPr>
              <w:t xml:space="preserve">Odsetek osób z wykształceniem wyższym w ludności w wieku 15-64 </w:t>
            </w:r>
          </w:p>
        </w:tc>
        <w:tc>
          <w:tcPr>
            <w:tcW w:w="4546" w:type="dxa"/>
          </w:tcPr>
          <w:p w14:paraId="46901641" w14:textId="77777777" w:rsidR="00A36F1E" w:rsidRPr="00757750" w:rsidRDefault="00A36F1E"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sz w:val="20"/>
                <w:szCs w:val="20"/>
              </w:rPr>
            </w:pPr>
            <w:r w:rsidRPr="00757750">
              <w:rPr>
                <w:sz w:val="20"/>
                <w:szCs w:val="20"/>
              </w:rPr>
              <w:t>-</w:t>
            </w:r>
          </w:p>
        </w:tc>
      </w:tr>
      <w:tr w:rsidR="00A36F1E" w:rsidRPr="00757750" w14:paraId="7D22DBFD" w14:textId="77777777" w:rsidTr="00DA127E">
        <w:trPr>
          <w:trHeight w:val="20"/>
        </w:trPr>
        <w:tc>
          <w:tcPr>
            <w:cnfStyle w:val="000010000000" w:firstRow="0" w:lastRow="0" w:firstColumn="0" w:lastColumn="0" w:oddVBand="1" w:evenVBand="0" w:oddHBand="0" w:evenHBand="0" w:firstRowFirstColumn="0" w:firstRowLastColumn="0" w:lastRowFirstColumn="0" w:lastRowLastColumn="0"/>
            <w:tcW w:w="4526" w:type="dxa"/>
          </w:tcPr>
          <w:p w14:paraId="010D72EF" w14:textId="77777777" w:rsidR="00A36F1E" w:rsidRPr="00757750" w:rsidRDefault="00A36F1E" w:rsidP="00DF64C7">
            <w:pPr>
              <w:pStyle w:val="Default"/>
              <w:spacing w:after="0" w:line="271" w:lineRule="auto"/>
              <w:rPr>
                <w:sz w:val="20"/>
                <w:szCs w:val="20"/>
              </w:rPr>
            </w:pPr>
            <w:r w:rsidRPr="00757750">
              <w:rPr>
                <w:sz w:val="20"/>
                <w:szCs w:val="20"/>
              </w:rPr>
              <w:t xml:space="preserve">Średni wynik egzaminu gimnazjalnego w części matematyczno-przyrodniczej </w:t>
            </w:r>
          </w:p>
        </w:tc>
        <w:tc>
          <w:tcPr>
            <w:tcW w:w="4546" w:type="dxa"/>
          </w:tcPr>
          <w:p w14:paraId="7BFEE84D" w14:textId="77777777" w:rsidR="00A36F1E" w:rsidRPr="00757750" w:rsidRDefault="00A36F1E"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20"/>
                <w:szCs w:val="20"/>
              </w:rPr>
            </w:pPr>
            <w:r w:rsidRPr="00757750">
              <w:rPr>
                <w:sz w:val="20"/>
                <w:szCs w:val="20"/>
              </w:rPr>
              <w:t>-</w:t>
            </w:r>
          </w:p>
        </w:tc>
      </w:tr>
      <w:tr w:rsidR="00A36F1E" w:rsidRPr="00757750" w14:paraId="59911C13"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26" w:type="dxa"/>
          </w:tcPr>
          <w:p w14:paraId="3D5E749E" w14:textId="77777777" w:rsidR="00A36F1E" w:rsidRPr="00757750" w:rsidRDefault="00A36F1E" w:rsidP="00DF64C7">
            <w:pPr>
              <w:pStyle w:val="Default"/>
              <w:spacing w:after="0" w:line="271" w:lineRule="auto"/>
              <w:rPr>
                <w:sz w:val="20"/>
                <w:szCs w:val="20"/>
              </w:rPr>
            </w:pPr>
            <w:r w:rsidRPr="00757750">
              <w:rPr>
                <w:sz w:val="20"/>
                <w:szCs w:val="20"/>
              </w:rPr>
              <w:t>Zdawalność egzaminu maturalnego</w:t>
            </w:r>
          </w:p>
        </w:tc>
        <w:tc>
          <w:tcPr>
            <w:tcW w:w="4546" w:type="dxa"/>
          </w:tcPr>
          <w:p w14:paraId="6BACA70A" w14:textId="77777777" w:rsidR="00A36F1E" w:rsidRPr="00757750" w:rsidRDefault="00A36F1E"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sz w:val="20"/>
                <w:szCs w:val="20"/>
              </w:rPr>
            </w:pPr>
            <w:r w:rsidRPr="00757750">
              <w:rPr>
                <w:sz w:val="20"/>
                <w:szCs w:val="20"/>
              </w:rPr>
              <w:t>-</w:t>
            </w:r>
          </w:p>
        </w:tc>
      </w:tr>
      <w:tr w:rsidR="00A36F1E" w:rsidRPr="00757750" w14:paraId="28AF5D9E" w14:textId="77777777" w:rsidTr="00DA127E">
        <w:trPr>
          <w:trHeight w:val="20"/>
        </w:trPr>
        <w:tc>
          <w:tcPr>
            <w:cnfStyle w:val="000010000000" w:firstRow="0" w:lastRow="0" w:firstColumn="0" w:lastColumn="0" w:oddVBand="1" w:evenVBand="0" w:oddHBand="0" w:evenHBand="0" w:firstRowFirstColumn="0" w:firstRowLastColumn="0" w:lastRowFirstColumn="0" w:lastRowLastColumn="0"/>
            <w:tcW w:w="4526" w:type="dxa"/>
          </w:tcPr>
          <w:p w14:paraId="2EEEDF0B" w14:textId="77777777" w:rsidR="00A36F1E" w:rsidRPr="00757750" w:rsidRDefault="00A36F1E" w:rsidP="00DF64C7">
            <w:pPr>
              <w:pStyle w:val="Default"/>
              <w:spacing w:after="0" w:line="271" w:lineRule="auto"/>
              <w:rPr>
                <w:sz w:val="20"/>
                <w:szCs w:val="20"/>
              </w:rPr>
            </w:pPr>
            <w:r w:rsidRPr="00757750">
              <w:rPr>
                <w:sz w:val="20"/>
                <w:szCs w:val="20"/>
              </w:rPr>
              <w:t xml:space="preserve">Uczestnicy imprez organizowanych przez domy i ośrodki kultury, świetlice na 1 000 mieszkańców </w:t>
            </w:r>
          </w:p>
        </w:tc>
        <w:tc>
          <w:tcPr>
            <w:tcW w:w="4546" w:type="dxa"/>
          </w:tcPr>
          <w:p w14:paraId="1CEF702E" w14:textId="77777777" w:rsidR="00A36F1E" w:rsidRPr="00757750" w:rsidRDefault="00A36F1E"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20"/>
                <w:szCs w:val="20"/>
              </w:rPr>
            </w:pPr>
            <w:r w:rsidRPr="00757750">
              <w:rPr>
                <w:sz w:val="20"/>
                <w:szCs w:val="20"/>
              </w:rPr>
              <w:t>-</w:t>
            </w:r>
          </w:p>
        </w:tc>
      </w:tr>
      <w:tr w:rsidR="00A36F1E" w:rsidRPr="00757750" w14:paraId="00D0BE88"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26" w:type="dxa"/>
          </w:tcPr>
          <w:p w14:paraId="6AA7461F" w14:textId="77777777" w:rsidR="00A36F1E" w:rsidRPr="00757750" w:rsidRDefault="00A36F1E" w:rsidP="00DF64C7">
            <w:pPr>
              <w:pStyle w:val="Default"/>
              <w:spacing w:after="0" w:line="271" w:lineRule="auto"/>
              <w:rPr>
                <w:sz w:val="20"/>
                <w:szCs w:val="20"/>
              </w:rPr>
            </w:pPr>
            <w:r w:rsidRPr="00757750">
              <w:rPr>
                <w:sz w:val="20"/>
                <w:szCs w:val="20"/>
              </w:rPr>
              <w:t xml:space="preserve">Stopień wykorzystania infrastruktury sportowej w województwie: boiska uniwersalne hale sportowe i sale gimnastyczne </w:t>
            </w:r>
          </w:p>
        </w:tc>
        <w:tc>
          <w:tcPr>
            <w:tcW w:w="4546" w:type="dxa"/>
          </w:tcPr>
          <w:p w14:paraId="2E39F74B" w14:textId="77777777" w:rsidR="00A36F1E" w:rsidRPr="00757750" w:rsidRDefault="00A36F1E"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sz w:val="20"/>
                <w:szCs w:val="20"/>
              </w:rPr>
            </w:pPr>
            <w:r w:rsidRPr="00757750">
              <w:rPr>
                <w:sz w:val="20"/>
                <w:szCs w:val="20"/>
              </w:rPr>
              <w:t>-</w:t>
            </w:r>
          </w:p>
        </w:tc>
      </w:tr>
      <w:tr w:rsidR="00A36F1E" w:rsidRPr="00757750" w14:paraId="51B6CC92" w14:textId="77777777" w:rsidTr="00DA127E">
        <w:trPr>
          <w:trHeight w:val="20"/>
        </w:trPr>
        <w:tc>
          <w:tcPr>
            <w:cnfStyle w:val="000010000000" w:firstRow="0" w:lastRow="0" w:firstColumn="0" w:lastColumn="0" w:oddVBand="1" w:evenVBand="0" w:oddHBand="0" w:evenHBand="0" w:firstRowFirstColumn="0" w:firstRowLastColumn="0" w:lastRowFirstColumn="0" w:lastRowLastColumn="0"/>
            <w:tcW w:w="4526" w:type="dxa"/>
          </w:tcPr>
          <w:p w14:paraId="632A296B" w14:textId="77777777" w:rsidR="00A36F1E" w:rsidRPr="00757750" w:rsidRDefault="00A36F1E" w:rsidP="00DF64C7">
            <w:pPr>
              <w:pStyle w:val="Default"/>
              <w:spacing w:after="0" w:line="271" w:lineRule="auto"/>
              <w:rPr>
                <w:sz w:val="20"/>
                <w:szCs w:val="20"/>
              </w:rPr>
            </w:pPr>
            <w:r w:rsidRPr="00757750">
              <w:rPr>
                <w:sz w:val="20"/>
                <w:szCs w:val="20"/>
              </w:rPr>
              <w:t xml:space="preserve">Ćwiczący w klubach sportowych na 1 000 mieszkańców </w:t>
            </w:r>
          </w:p>
        </w:tc>
        <w:tc>
          <w:tcPr>
            <w:tcW w:w="4546" w:type="dxa"/>
          </w:tcPr>
          <w:p w14:paraId="6383C8AF" w14:textId="77777777" w:rsidR="00A36F1E" w:rsidRPr="00757750" w:rsidRDefault="00A36F1E"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20"/>
                <w:szCs w:val="20"/>
              </w:rPr>
            </w:pPr>
            <w:r w:rsidRPr="00757750">
              <w:rPr>
                <w:sz w:val="20"/>
                <w:szCs w:val="20"/>
              </w:rPr>
              <w:t>-</w:t>
            </w:r>
          </w:p>
        </w:tc>
      </w:tr>
      <w:tr w:rsidR="00A36F1E" w:rsidRPr="00757750" w14:paraId="14CB7342"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26" w:type="dxa"/>
          </w:tcPr>
          <w:p w14:paraId="6CD2E590" w14:textId="77777777" w:rsidR="00A36F1E" w:rsidRPr="00757750" w:rsidRDefault="00A36F1E" w:rsidP="00DF64C7">
            <w:pPr>
              <w:pStyle w:val="Default"/>
              <w:spacing w:after="0" w:line="271" w:lineRule="auto"/>
              <w:rPr>
                <w:sz w:val="20"/>
                <w:szCs w:val="20"/>
              </w:rPr>
            </w:pPr>
            <w:r w:rsidRPr="00757750">
              <w:rPr>
                <w:sz w:val="20"/>
                <w:szCs w:val="20"/>
              </w:rPr>
              <w:t>Udział długotrwale bezrobotnych</w:t>
            </w:r>
            <w:r w:rsidRPr="00757750">
              <w:rPr>
                <w:bCs/>
                <w:sz w:val="20"/>
                <w:szCs w:val="20"/>
              </w:rPr>
              <w:t xml:space="preserve"> </w:t>
            </w:r>
            <w:r w:rsidRPr="00757750">
              <w:rPr>
                <w:sz w:val="20"/>
                <w:szCs w:val="20"/>
              </w:rPr>
              <w:t xml:space="preserve">w ogólnej liczbie bezrobotnych </w:t>
            </w:r>
          </w:p>
        </w:tc>
        <w:tc>
          <w:tcPr>
            <w:tcW w:w="4546" w:type="dxa"/>
          </w:tcPr>
          <w:p w14:paraId="71BDAE0F" w14:textId="77777777" w:rsidR="00A36F1E" w:rsidRPr="00757750" w:rsidRDefault="00A36F1E" w:rsidP="00DF64C7">
            <w:pPr>
              <w:pStyle w:val="Default"/>
              <w:spacing w:after="0" w:line="271" w:lineRule="auto"/>
              <w:cnfStyle w:val="000000100000" w:firstRow="0" w:lastRow="0" w:firstColumn="0" w:lastColumn="0" w:oddVBand="0" w:evenVBand="0" w:oddHBand="1" w:evenHBand="0" w:firstRowFirstColumn="0" w:firstRowLastColumn="0" w:lastRowFirstColumn="0" w:lastRowLastColumn="0"/>
              <w:rPr>
                <w:sz w:val="20"/>
                <w:szCs w:val="20"/>
              </w:rPr>
            </w:pPr>
            <w:r w:rsidRPr="00757750">
              <w:rPr>
                <w:sz w:val="20"/>
                <w:szCs w:val="20"/>
              </w:rPr>
              <w:t>-</w:t>
            </w:r>
          </w:p>
        </w:tc>
      </w:tr>
      <w:tr w:rsidR="00A36F1E" w:rsidRPr="00757750" w14:paraId="03726345" w14:textId="77777777" w:rsidTr="00DA127E">
        <w:trPr>
          <w:trHeight w:val="20"/>
        </w:trPr>
        <w:tc>
          <w:tcPr>
            <w:cnfStyle w:val="000010000000" w:firstRow="0" w:lastRow="0" w:firstColumn="0" w:lastColumn="0" w:oddVBand="1" w:evenVBand="0" w:oddHBand="0" w:evenHBand="0" w:firstRowFirstColumn="0" w:firstRowLastColumn="0" w:lastRowFirstColumn="0" w:lastRowLastColumn="0"/>
            <w:tcW w:w="4526" w:type="dxa"/>
          </w:tcPr>
          <w:p w14:paraId="5C115D8D" w14:textId="77777777" w:rsidR="00A36F1E" w:rsidRPr="00757750" w:rsidRDefault="00A36F1E" w:rsidP="00DF64C7">
            <w:pPr>
              <w:pStyle w:val="Default"/>
              <w:spacing w:after="0" w:line="271" w:lineRule="auto"/>
              <w:rPr>
                <w:sz w:val="20"/>
                <w:szCs w:val="20"/>
              </w:rPr>
            </w:pPr>
            <w:r w:rsidRPr="00757750">
              <w:rPr>
                <w:sz w:val="20"/>
                <w:szCs w:val="20"/>
              </w:rPr>
              <w:t xml:space="preserve">Udział bezrobotnych do 24 roku życia/powyżej 45 roku życia w ogólnej liczbie bezrobotnych </w:t>
            </w:r>
          </w:p>
        </w:tc>
        <w:tc>
          <w:tcPr>
            <w:tcW w:w="4546" w:type="dxa"/>
          </w:tcPr>
          <w:p w14:paraId="213EDB5E" w14:textId="77777777" w:rsidR="00A36F1E" w:rsidRPr="00757750" w:rsidRDefault="00A36F1E" w:rsidP="00DF64C7">
            <w:pPr>
              <w:pStyle w:val="Default"/>
              <w:spacing w:after="0" w:line="271" w:lineRule="auto"/>
              <w:cnfStyle w:val="000000000000" w:firstRow="0" w:lastRow="0" w:firstColumn="0" w:lastColumn="0" w:oddVBand="0" w:evenVBand="0" w:oddHBand="0" w:evenHBand="0" w:firstRowFirstColumn="0" w:firstRowLastColumn="0" w:lastRowFirstColumn="0" w:lastRowLastColumn="0"/>
              <w:rPr>
                <w:sz w:val="20"/>
                <w:szCs w:val="20"/>
              </w:rPr>
            </w:pPr>
            <w:r w:rsidRPr="00757750">
              <w:rPr>
                <w:sz w:val="20"/>
                <w:szCs w:val="20"/>
              </w:rPr>
              <w:t>-</w:t>
            </w:r>
          </w:p>
        </w:tc>
      </w:tr>
    </w:tbl>
    <w:p w14:paraId="5656F16E" w14:textId="77777777" w:rsidR="00A36F1E" w:rsidRDefault="00A36F1E" w:rsidP="00DF64C7">
      <w:pPr>
        <w:pStyle w:val="podpisrdailustracji"/>
        <w:spacing w:line="271" w:lineRule="auto"/>
        <w:jc w:val="left"/>
      </w:pPr>
      <w:r w:rsidRPr="00BA7EB1">
        <w:t>Źródło: Opracowanie własne EU-Consult Sp. z o.o. na podstawie</w:t>
      </w:r>
      <w:r w:rsidR="00367F85">
        <w:t xml:space="preserve"> </w:t>
      </w:r>
      <w:r>
        <w:t>Strategii Rozwoju Województwa Śląskiego „ŚLĄSKIE 2020+” oraz Szczegółowego Opisu Osi Priorytetowych Regionalnego Programu Operacyjnego Województwa Śląskiego na lata 2014-2020</w:t>
      </w:r>
    </w:p>
    <w:p w14:paraId="6078FEF9" w14:textId="77777777" w:rsidR="00EA2E51" w:rsidRDefault="00EA2E51" w:rsidP="00DF64C7">
      <w:pPr>
        <w:jc w:val="left"/>
      </w:pPr>
      <w:r>
        <w:t xml:space="preserve">Przedstawiciele IZ i IP potwierdzili zgodność projektów realizowanych w ramach OP XI i XII RPO WSL 2014-2020 z celami strategicznymi i operacyjnymi określonymi </w:t>
      </w:r>
      <w:r w:rsidRPr="0097127B">
        <w:t>w Programie Rozwoju Szkolnictwa Zawodowego Województwa Śląskiego na lata 2014-2020 oraz w ramach celu operacyjnego B.2. Rozwój kompetencji, umiejętności i wzrost poziomu aktywności mieszkańców określonego w Strategii Rozwoju Województwa Śląskiego „Śląskie 2020+”</w:t>
      </w:r>
      <w:r>
        <w:t>. Podkreślano, że szczególnie widoczne powiązanie w tym zakresie zauważyć można w przypadku strategii subregionalnych, których zapisy są zbieżne z ww. dokumentami. Fakt ten jest szczególnie istotny ze względu na kryteria wyboru projektów, które uwzględniają właśnie zgodność z zapisami tychże strategii subregionalnych. Badani jako przykłady realizacji powyższych celów podawali kryteria dostępu dot. warunku uczestnictwa określonego procenta uczniów w stażach i praktykach u pracodawców oraz kryterium dotyczące współpracy szkół z</w:t>
      </w:r>
      <w:r w:rsidR="00233BF6">
        <w:t xml:space="preserve"> pracodawcami (działanie 11.2).</w:t>
      </w:r>
    </w:p>
    <w:p w14:paraId="1CDA7385" w14:textId="77777777" w:rsidR="000C3BE9" w:rsidRDefault="000C3BE9" w:rsidP="00DF64C7">
      <w:pPr>
        <w:jc w:val="left"/>
      </w:pPr>
    </w:p>
    <w:p w14:paraId="038E7FB9" w14:textId="77777777" w:rsidR="00EA2E51" w:rsidRDefault="00EA2E51" w:rsidP="00DF64C7">
      <w:pPr>
        <w:pStyle w:val="podpisrdailustracji"/>
        <w:spacing w:after="0" w:line="271" w:lineRule="auto"/>
        <w:jc w:val="left"/>
        <w:rPr>
          <w:rStyle w:val="Odwoanieintensywne"/>
          <w:rFonts w:eastAsiaTheme="minorEastAsia"/>
        </w:rPr>
      </w:pPr>
      <w:r w:rsidRPr="00EA2E51">
        <w:rPr>
          <w:rStyle w:val="Odwoanieintensywne"/>
        </w:rPr>
        <w:t>Podsumowanie</w:t>
      </w:r>
    </w:p>
    <w:p w14:paraId="0CC69DD9" w14:textId="77777777" w:rsidR="00EA2E51" w:rsidRDefault="00591415" w:rsidP="00DF64C7">
      <w:pPr>
        <w:jc w:val="left"/>
      </w:pPr>
      <w:r>
        <w:t xml:space="preserve">Analiza desk research oraz przeprowadzone badania wykazały, iż </w:t>
      </w:r>
      <w:r w:rsidRPr="00561A8F">
        <w:t>projekt</w:t>
      </w:r>
      <w:r>
        <w:t xml:space="preserve">y </w:t>
      </w:r>
      <w:r w:rsidRPr="00561A8F">
        <w:t>realizowan</w:t>
      </w:r>
      <w:r>
        <w:t>e</w:t>
      </w:r>
      <w:r w:rsidRPr="00561A8F">
        <w:t xml:space="preserve"> w ramach OP XI i XII RPO WSL 2014-2020</w:t>
      </w:r>
      <w:r>
        <w:t xml:space="preserve"> zgodne są z </w:t>
      </w:r>
      <w:r w:rsidRPr="00561A8F">
        <w:t>celami strategicznymi i operacyjnymi określonymi w Programie Rozwoju Szkolnictwa Zawodowego Województwa Śląskiego na lata 2014-2020 oraz w ramach celu operacyjnego B.2. Rozwój kompetencji, umiejętności i wzrost poziomu aktywności mieszkańców określonego w Strategii Rozwoju Województwa Śląskiego „Śląskie 2020+”.</w:t>
      </w:r>
      <w:r>
        <w:t xml:space="preserve"> Szereg wskaźników </w:t>
      </w:r>
      <w:r w:rsidRPr="00561A8F">
        <w:t>rezultatu dla OP XI i XII</w:t>
      </w:r>
      <w:r>
        <w:t xml:space="preserve"> wpisuje się we wskaźnik rezultatu celu operacyjnego B.2.: </w:t>
      </w:r>
      <w:r w:rsidRPr="00036D00">
        <w:rPr>
          <w:i/>
        </w:rPr>
        <w:t>Odsetek osób dorosłych w wieku 25-64 uczestniczących w ostatnich 4 tygodniach w kształceniu i szkoleniu</w:t>
      </w:r>
      <w:r>
        <w:t>, zaś IV cel szczegółowy OP XI i II cel szczegółowy OP XII wpisują się w dwa cele operacyjne P</w:t>
      </w:r>
      <w:r w:rsidRPr="00036D00">
        <w:t>rogram</w:t>
      </w:r>
      <w:r>
        <w:t>u</w:t>
      </w:r>
      <w:r w:rsidRPr="00036D00">
        <w:t xml:space="preserve"> rozwoju szkolnictwa zawodowego województwa śląskiego na lata 2014-2020</w:t>
      </w:r>
      <w:r>
        <w:t>.</w:t>
      </w:r>
      <w:r w:rsidR="00977E56">
        <w:t xml:space="preserve"> Szczególnie wysoki poziom realizacji ww. celów zidentyfikowano w przypadku projektów dofinansowanych w formule ZIT/RIT, ze względu na zbieżność analizowanych celów z zapisami strategii subregionalnych (mającymi przełożenie na kryteria wyboru projektów).</w:t>
      </w:r>
    </w:p>
    <w:p w14:paraId="3AA245CE" w14:textId="77777777" w:rsidR="000C3BE9" w:rsidRPr="00233BF6" w:rsidRDefault="000C3BE9" w:rsidP="00DF64C7">
      <w:pPr>
        <w:jc w:val="left"/>
        <w:rPr>
          <w:rStyle w:val="Odwoanieintensywne"/>
          <w:b w:val="0"/>
          <w:bCs w:val="0"/>
          <w:color w:val="auto"/>
          <w:u w:val="none"/>
        </w:rPr>
      </w:pPr>
    </w:p>
    <w:p w14:paraId="7E5CBD9C" w14:textId="708A2A13" w:rsidR="00A464CB" w:rsidRDefault="00A464CB" w:rsidP="00DF64C7">
      <w:pPr>
        <w:pStyle w:val="Nagwek3"/>
        <w:spacing w:line="271" w:lineRule="auto"/>
        <w:ind w:left="426"/>
        <w:jc w:val="left"/>
        <w:rPr>
          <w:rFonts w:eastAsia="Arial"/>
        </w:rPr>
      </w:pPr>
      <w:bookmarkStart w:id="86" w:name="_Toc24466812"/>
      <w:bookmarkStart w:id="87" w:name="_Toc25664302"/>
      <w:bookmarkStart w:id="88" w:name="_Toc26526283"/>
      <w:bookmarkStart w:id="89" w:name="_Toc38035015"/>
      <w:r w:rsidRPr="00610089">
        <w:rPr>
          <w:rFonts w:eastAsia="Arial"/>
        </w:rPr>
        <w:t>Czy system wyboru projektów wspiera (w jaki</w:t>
      </w:r>
      <w:r w:rsidR="00443AD1">
        <w:rPr>
          <w:rFonts w:eastAsia="Arial"/>
        </w:rPr>
        <w:t>m</w:t>
      </w:r>
      <w:r w:rsidRPr="00610089">
        <w:rPr>
          <w:rFonts w:eastAsia="Arial"/>
        </w:rPr>
        <w:t xml:space="preserve"> stopniu) realizację projektów zgodnych</w:t>
      </w:r>
      <w:r>
        <w:rPr>
          <w:rFonts w:eastAsia="Arial"/>
        </w:rPr>
        <w:t xml:space="preserve"> z </w:t>
      </w:r>
      <w:r w:rsidRPr="00610089">
        <w:rPr>
          <w:rFonts w:eastAsia="Arial"/>
        </w:rPr>
        <w:t>inteligentnymi specjalizacjami regionu?</w:t>
      </w:r>
      <w:bookmarkEnd w:id="86"/>
      <w:bookmarkEnd w:id="87"/>
      <w:bookmarkEnd w:id="88"/>
      <w:bookmarkEnd w:id="89"/>
    </w:p>
    <w:p w14:paraId="46E2F857" w14:textId="77777777" w:rsidR="00A36F1E" w:rsidRDefault="00A36F1E" w:rsidP="00DF64C7">
      <w:pPr>
        <w:jc w:val="left"/>
        <w:rPr>
          <w:rFonts w:eastAsia="Calibri" w:cs="Arial"/>
        </w:rPr>
      </w:pPr>
      <w:r>
        <w:rPr>
          <w:rFonts w:eastAsia="Calibri" w:cs="Arial"/>
        </w:rPr>
        <w:t xml:space="preserve">Przeprowadzona analiza kryteriów oceny wykazała, że w przypadku części z nich opracowany </w:t>
      </w:r>
      <w:r w:rsidRPr="00610089">
        <w:t>system wyboru projektów wspiera realizację projektów zgodnych</w:t>
      </w:r>
      <w:r>
        <w:t xml:space="preserve"> z </w:t>
      </w:r>
      <w:r w:rsidRPr="00610089">
        <w:t>intelig</w:t>
      </w:r>
      <w:r>
        <w:t>entnymi specjalizacjami regionu. Dotyczy to przede wszystkim Działania 12.2, które objęły dwa kryteria związane z przedmiotowymi specjalizacjami:</w:t>
      </w:r>
    </w:p>
    <w:p w14:paraId="0C5E0663" w14:textId="77777777" w:rsidR="00A36F1E" w:rsidRPr="00C36511" w:rsidRDefault="00A36F1E" w:rsidP="00DF64C7">
      <w:pPr>
        <w:pStyle w:val="Akapitzlist"/>
        <w:numPr>
          <w:ilvl w:val="0"/>
          <w:numId w:val="14"/>
        </w:numPr>
        <w:jc w:val="left"/>
        <w:rPr>
          <w:szCs w:val="20"/>
        </w:rPr>
      </w:pPr>
      <w:r w:rsidRPr="00C36511">
        <w:rPr>
          <w:u w:val="single"/>
        </w:rPr>
        <w:t xml:space="preserve">Kryterium 1. </w:t>
      </w:r>
      <w:r w:rsidRPr="00C36511">
        <w:rPr>
          <w:szCs w:val="20"/>
          <w:u w:val="single"/>
        </w:rPr>
        <w:t>Zgodność przedmiotu projektu z regionalnymi specjalizacjami bądź z zawodami wynikającymi z potrzeb rynku pracy</w:t>
      </w:r>
      <w:r w:rsidRPr="00C36511">
        <w:rPr>
          <w:szCs w:val="20"/>
        </w:rPr>
        <w:t xml:space="preserve"> – w ramach tego kryterium ocenie podlegała zgodność założeń projektu z regionalnymi specjalizacjami</w:t>
      </w:r>
      <w:r w:rsidR="00367F85">
        <w:rPr>
          <w:szCs w:val="20"/>
        </w:rPr>
        <w:t xml:space="preserve"> </w:t>
      </w:r>
      <w:r w:rsidRPr="00C36511">
        <w:rPr>
          <w:szCs w:val="20"/>
        </w:rPr>
        <w:t>wynikającymi z </w:t>
      </w:r>
      <w:r w:rsidRPr="00E86E53">
        <w:rPr>
          <w:i/>
          <w:szCs w:val="20"/>
        </w:rPr>
        <w:t>Regionalnej Strategii Innowacji Województwa Śląskiego na lata 2013-2020, Programu Rozwoju Technologii Województwa Śląskiego na lata 2010-2020</w:t>
      </w:r>
      <w:r w:rsidRPr="00C36511">
        <w:rPr>
          <w:szCs w:val="20"/>
        </w:rPr>
        <w:t xml:space="preserve"> lub z potrzebami rynku pracy. </w:t>
      </w:r>
      <w:r>
        <w:rPr>
          <w:szCs w:val="20"/>
        </w:rPr>
        <w:t>Jest to k</w:t>
      </w:r>
      <w:r w:rsidRPr="00C36511">
        <w:rPr>
          <w:rFonts w:eastAsia="Calibri" w:cs="Arial"/>
        </w:rPr>
        <w:t>ryterium merytoryczne</w:t>
      </w:r>
      <w:r>
        <w:rPr>
          <w:rFonts w:eastAsia="Calibri" w:cs="Arial"/>
        </w:rPr>
        <w:t>, uwzględniane</w:t>
      </w:r>
      <w:r w:rsidRPr="00C36511">
        <w:rPr>
          <w:rFonts w:eastAsia="Calibri" w:cs="Arial"/>
        </w:rPr>
        <w:t xml:space="preserve"> na etapie </w:t>
      </w:r>
      <w:r w:rsidRPr="005549E8">
        <w:t>o</w:t>
      </w:r>
      <w:r>
        <w:t>ceny</w:t>
      </w:r>
      <w:r w:rsidRPr="005549E8">
        <w:t xml:space="preserve"> merytoryczn</w:t>
      </w:r>
      <w:r>
        <w:t>ej.</w:t>
      </w:r>
    </w:p>
    <w:p w14:paraId="0E27C335" w14:textId="77777777" w:rsidR="00A36F1E" w:rsidRPr="00C36511" w:rsidRDefault="00A36F1E" w:rsidP="00DF64C7">
      <w:pPr>
        <w:pStyle w:val="Akapitzlist"/>
        <w:numPr>
          <w:ilvl w:val="0"/>
          <w:numId w:val="14"/>
        </w:numPr>
        <w:jc w:val="left"/>
        <w:rPr>
          <w:szCs w:val="20"/>
        </w:rPr>
      </w:pPr>
      <w:r w:rsidRPr="00C36511">
        <w:rPr>
          <w:u w:val="single"/>
        </w:rPr>
        <w:t>Kryterium 2</w:t>
      </w:r>
      <w:r w:rsidRPr="00C36511">
        <w:rPr>
          <w:szCs w:val="20"/>
          <w:u w:val="single"/>
        </w:rPr>
        <w:t>. Przygotowanie infrastruktury i wyposażenia kształcenia zawodowego pod kątem zgodności zawodów z regionalnymi specjalizacjami, bądź z potrzebami rynku pracy</w:t>
      </w:r>
      <w:r w:rsidRPr="00C36511">
        <w:rPr>
          <w:szCs w:val="20"/>
        </w:rPr>
        <w:t xml:space="preserve"> – </w:t>
      </w:r>
      <w:r>
        <w:rPr>
          <w:szCs w:val="20"/>
        </w:rPr>
        <w:t>o</w:t>
      </w:r>
      <w:r w:rsidRPr="00C36511">
        <w:rPr>
          <w:szCs w:val="20"/>
        </w:rPr>
        <w:t>cenie podlega</w:t>
      </w:r>
      <w:r>
        <w:rPr>
          <w:szCs w:val="20"/>
        </w:rPr>
        <w:t>ły</w:t>
      </w:r>
      <w:r w:rsidRPr="00C36511">
        <w:rPr>
          <w:szCs w:val="20"/>
        </w:rPr>
        <w:t xml:space="preserve"> zawody pod kątem zgodności z regionalnymi specjalizacjami wynikającymi z </w:t>
      </w:r>
      <w:r w:rsidRPr="008B55AF">
        <w:rPr>
          <w:i/>
          <w:szCs w:val="20"/>
        </w:rPr>
        <w:t>Regionalnej Strategii Innowacji Województwa Śląskiego na lata 2013-2020, Programu Rozwoju Technologii Województwa Śląskiego na lata 2010-2020</w:t>
      </w:r>
      <w:r w:rsidRPr="00C36511">
        <w:rPr>
          <w:szCs w:val="20"/>
        </w:rPr>
        <w:t xml:space="preserve"> lub potrzebami rynku pracy, dla których w ramach projektu przygotowywana będzie infrastruktura i wyposażenie. </w:t>
      </w:r>
      <w:r>
        <w:rPr>
          <w:szCs w:val="20"/>
        </w:rPr>
        <w:t>Jest to k</w:t>
      </w:r>
      <w:r w:rsidRPr="00C36511">
        <w:rPr>
          <w:rFonts w:eastAsia="Calibri" w:cs="Arial"/>
        </w:rPr>
        <w:t>ryterium merytoryczne</w:t>
      </w:r>
      <w:r>
        <w:rPr>
          <w:rFonts w:eastAsia="Calibri" w:cs="Arial"/>
        </w:rPr>
        <w:t>, uwzględniane</w:t>
      </w:r>
      <w:r w:rsidRPr="00C36511">
        <w:rPr>
          <w:rFonts w:eastAsia="Calibri" w:cs="Arial"/>
        </w:rPr>
        <w:t xml:space="preserve"> na etapie </w:t>
      </w:r>
      <w:r w:rsidRPr="005549E8">
        <w:t>o</w:t>
      </w:r>
      <w:r>
        <w:t>ceny</w:t>
      </w:r>
      <w:r w:rsidRPr="005549E8">
        <w:t xml:space="preserve"> merytoryczn</w:t>
      </w:r>
      <w:r>
        <w:t>ej.</w:t>
      </w:r>
    </w:p>
    <w:p w14:paraId="2678876C" w14:textId="77777777" w:rsidR="00A36F1E" w:rsidRDefault="00A36F1E" w:rsidP="00DF64C7">
      <w:pPr>
        <w:spacing w:after="240"/>
        <w:jc w:val="left"/>
        <w:rPr>
          <w:rFonts w:eastAsia="Calibri" w:cs="Arial"/>
        </w:rPr>
      </w:pPr>
      <w:r>
        <w:rPr>
          <w:rFonts w:eastAsia="Calibri"/>
        </w:rPr>
        <w:t xml:space="preserve">Ponadto, w ramach Działań 12.1, 12.2 oraz 12.3 OP XII, jednym z dodatkowych zastosowanych kryteriów merytorycznych była zgodność planowanej inwestycji </w:t>
      </w:r>
      <w:r>
        <w:t>z </w:t>
      </w:r>
      <w:r w:rsidRPr="008B55AF">
        <w:rPr>
          <w:i/>
        </w:rPr>
        <w:t>Regionalną Strategią Innowacji Województwa Śląskiego na lata 2013-2020</w:t>
      </w:r>
      <w:r>
        <w:t xml:space="preserve"> i </w:t>
      </w:r>
      <w:r w:rsidRPr="008B55AF">
        <w:rPr>
          <w:i/>
        </w:rPr>
        <w:t>Modelem Wdrożeniowym Regionalnej Strategii Innowacji Województwa Śląskiego na lata 2013-2020</w:t>
      </w:r>
      <w:r w:rsidR="005A0452">
        <w:t>.</w:t>
      </w:r>
      <w:r>
        <w:t xml:space="preserve"> </w:t>
      </w:r>
      <w:r w:rsidR="005A0452">
        <w:t>O</w:t>
      </w:r>
      <w:r>
        <w:t xml:space="preserve">znaczało to, że oceniany </w:t>
      </w:r>
      <w:r w:rsidR="008B55AF">
        <w:t>p</w:t>
      </w:r>
      <w:r>
        <w:t xml:space="preserve">rojekt wpisywał się w jeden z obszarów inteligentnych specjalizacji </w:t>
      </w:r>
      <w:r w:rsidR="008B55AF">
        <w:t>w</w:t>
      </w:r>
      <w:r>
        <w:t xml:space="preserve">ojewództwa </w:t>
      </w:r>
      <w:r w:rsidR="008B55AF">
        <w:t>ś</w:t>
      </w:r>
      <w:r>
        <w:t xml:space="preserve">ląskiego na lata 2013-2020 (energetyka, medycyna, technologie informacyjne i komunikacyjne, przemysły wschodzące, zielona gospodarka). Kryterium to stosowane było </w:t>
      </w:r>
      <w:r w:rsidR="008B55AF">
        <w:t xml:space="preserve">także </w:t>
      </w:r>
      <w:r>
        <w:t>na etapie dokonywania oceny merytorycznej.</w:t>
      </w:r>
      <w:r w:rsidR="00337C1A">
        <w:t xml:space="preserve"> Warto też zaznaczyć, że w przypadku Poddziałania 11.2.1 zastosowano kryterium dodatkowe, uwzględniane na etapie oceny formalno-merytorycznej: kryterium 15. </w:t>
      </w:r>
      <w:r w:rsidR="00337C1A" w:rsidRPr="00FF4BF3">
        <w:rPr>
          <w:i/>
        </w:rPr>
        <w:t>Czy formy wsparcia realizowane w projekcie przyczyniają się do realizacji założeń Regionalnej Strategii Innowacji Województwa Śląskiego na lata 2013-2020 i obowiązującego „Programu Rozwoju Technologii Województwa Śląskiego na lata 2010-2020?</w:t>
      </w:r>
    </w:p>
    <w:p w14:paraId="78EFF26D" w14:textId="77777777" w:rsidR="0061424E" w:rsidRDefault="0061424E" w:rsidP="00DF64C7">
      <w:pPr>
        <w:jc w:val="left"/>
      </w:pPr>
      <w:r>
        <w:t xml:space="preserve">Badani przedstawiciele IZ i IP potwierdzili </w:t>
      </w:r>
      <w:r w:rsidR="001854A9">
        <w:t xml:space="preserve">występowanie zjawiska </w:t>
      </w:r>
      <w:r>
        <w:t>wspierani</w:t>
      </w:r>
      <w:r w:rsidR="001854A9">
        <w:t>a</w:t>
      </w:r>
      <w:r>
        <w:t xml:space="preserve"> </w:t>
      </w:r>
      <w:r w:rsidR="00C84520">
        <w:t>realizacji projektów zgodnych z </w:t>
      </w:r>
      <w:r>
        <w:t>inteligentnymi specjalizacjami regionu</w:t>
      </w:r>
      <w:r w:rsidR="00175F7E">
        <w:t xml:space="preserve">, w tym również </w:t>
      </w:r>
      <w:r w:rsidR="00683642">
        <w:t>w zakresie projektów finansowanych z EFS</w:t>
      </w:r>
      <w:r w:rsidR="00175F7E">
        <w:t xml:space="preserve"> (ww. Poddziałanie 11.2.1)</w:t>
      </w:r>
      <w:r>
        <w:t xml:space="preserve">. Przywoływano w tym zakresie przykład kryterium zgodności wspieranych w projekcie zawodów z Regionalną Strategią Innowacji. Szczególny wpływ w tym zakresie identyfikowano </w:t>
      </w:r>
      <w:r w:rsidR="001B36C5">
        <w:t xml:space="preserve">w zakresie Zielonej Gospodarki. Podczas badania fokusowego wskazano jednak, że z inteligentnymi specjalizacjami związane jest </w:t>
      </w:r>
      <w:r w:rsidR="00337C1A">
        <w:t xml:space="preserve">w większym stopniu </w:t>
      </w:r>
      <w:r w:rsidR="001B36C5">
        <w:t>szkolnictwo wyższe, które ma znacznie lepszy dostęp do wysoko wyspecjalizowanych technik</w:t>
      </w:r>
      <w:r w:rsidR="00337C1A">
        <w:t>, niż szkolnictwo zawodowe i ogólnokształcące</w:t>
      </w:r>
      <w:r w:rsidR="001B36C5">
        <w:t>.</w:t>
      </w:r>
    </w:p>
    <w:p w14:paraId="283448A5" w14:textId="77777777" w:rsidR="00261F2A" w:rsidRDefault="00261F2A" w:rsidP="00DF64C7">
      <w:pPr>
        <w:jc w:val="left"/>
      </w:pPr>
    </w:p>
    <w:p w14:paraId="78D39DF5" w14:textId="77777777" w:rsidR="00261F2A" w:rsidRPr="007B5F7E" w:rsidRDefault="00261F2A" w:rsidP="00DF64C7">
      <w:pPr>
        <w:jc w:val="left"/>
      </w:pPr>
      <w:r w:rsidRPr="007B5F7E">
        <w:t>O kwestie związane z inteligentnymi specjalizacjami regionu zapytano również beneficjentów wsparcia biorących udział w badaniu CAWI/CATI, przy czym pod uwagę wzięto zarówno projekty realizowane w ramach OP XI, jak i OP XII</w:t>
      </w:r>
      <w:r w:rsidR="00D05002">
        <w:t xml:space="preserve"> (za wyjątkiem Działań 11.1 oraz 12.1, ze względu na rodzaj wsparcia, tj. skierowanego ku placówkom przedszkolnym)</w:t>
      </w:r>
      <w:r w:rsidRPr="007B5F7E">
        <w:t>. Respondenci badania wyrazili inną opinię, niż wykazana została w wyniku powyższej analizy, stwierdzając, iż elementy niemal połowy analizowanych projektów wpisywały się w inteligentne specjalizacje</w:t>
      </w:r>
      <w:r w:rsidR="005A0452">
        <w:t>.</w:t>
      </w:r>
      <w:r w:rsidRPr="007B5F7E">
        <w:t xml:space="preserve"> </w:t>
      </w:r>
      <w:r w:rsidR="005A0452">
        <w:t>Z</w:t>
      </w:r>
      <w:r w:rsidRPr="007B5F7E">
        <w:t>godnie z przeprowadzonymi wywiadami ankietowymi, w inteligentne specjalizacje regionu wpisywały się elementy 79 projektów realizowanych przez badanych beneficjentów (beneficjenci decydujący się na odpowiedź twierdzącą stanowili 47,9% wszystkich beneficjentów odpowiadających na to pytanie w ramach badania</w:t>
      </w:r>
      <w:r w:rsidR="005A0452">
        <w:t xml:space="preserve"> - n</w:t>
      </w:r>
      <w:r w:rsidRPr="007B5F7E">
        <w:t>ajwiększa ich liczba przypadała na działanie 11.4, gdzie pośród wszystkich poddanych analizie w ramach badania CAWI/CATI projektów aż 68,2% wpisywało się w inteligentne specjalizacje regionu</w:t>
      </w:r>
      <w:r w:rsidR="001854A9">
        <w:t xml:space="preserve"> (przy czym można wnosić, że wg beneficjentów </w:t>
      </w:r>
      <w:r w:rsidR="001854A9" w:rsidRPr="001854A9">
        <w:t>tzw. inteligentną specjalizacją jest cały obszar ICT, a nie jego elementy wyszczególnione we właściwej liście</w:t>
      </w:r>
      <w:r w:rsidR="001854A9">
        <w:t>)</w:t>
      </w:r>
      <w:r w:rsidRPr="007B5F7E">
        <w:t>. Pozostałe projekty przypadały na działanie 11.2 (stanowiąc 51,1% analizowanych projektów realizowanych w ramach tego działania) oraz 11.3 (31,6%). Beneficjenci wskazywali, że główną dziedziną, w którą wpisują się projekty, są technologie informacyjne i komunikacyjne. Ponadto wyróżniającymi się, zdaniem respondentów badania, działaniami wpisującymi się w poszczególne inteligentne specjalizacje regionu są:</w:t>
      </w:r>
    </w:p>
    <w:p w14:paraId="695FACCC" w14:textId="77777777" w:rsidR="00261F2A" w:rsidRPr="007B5F7E" w:rsidRDefault="00261F2A" w:rsidP="00DF64C7">
      <w:pPr>
        <w:pStyle w:val="Akapitzlist"/>
        <w:numPr>
          <w:ilvl w:val="0"/>
          <w:numId w:val="58"/>
        </w:numPr>
        <w:jc w:val="left"/>
      </w:pPr>
      <w:r w:rsidRPr="007B5F7E">
        <w:t>Energetyka - staże i szkolenia dla uczniów w zawodzie elektryk i technik elektryk, zakup wyposażenia energooszczędnego, modernizacja sal;</w:t>
      </w:r>
    </w:p>
    <w:p w14:paraId="1675046D" w14:textId="77777777" w:rsidR="00261F2A" w:rsidRPr="007B5F7E" w:rsidRDefault="00261F2A" w:rsidP="00DF64C7">
      <w:pPr>
        <w:pStyle w:val="Akapitzlist"/>
        <w:numPr>
          <w:ilvl w:val="0"/>
          <w:numId w:val="58"/>
        </w:numPr>
        <w:jc w:val="left"/>
      </w:pPr>
      <w:r w:rsidRPr="007B5F7E">
        <w:t>Technologie informacyjne i komunikacyjne - wsparcie uczniów w zakresie kompetencji cyfrowych, wyposażenie pracowni technika informatyka i teleinformatyka, szkolenia z wykorzystaniem najnowocześniejszych technologii;</w:t>
      </w:r>
    </w:p>
    <w:p w14:paraId="223775CF" w14:textId="77777777" w:rsidR="00261F2A" w:rsidRPr="007B5F7E" w:rsidRDefault="00261F2A" w:rsidP="00DF64C7">
      <w:pPr>
        <w:pStyle w:val="Akapitzlist"/>
        <w:numPr>
          <w:ilvl w:val="0"/>
          <w:numId w:val="58"/>
        </w:numPr>
        <w:jc w:val="left"/>
      </w:pPr>
      <w:r w:rsidRPr="007B5F7E">
        <w:t>Medycyna - wsparcie dla uczniów i wyposażenie pracowni technika informatyka i elektronika z elementami informatyki i elektroniki medycznej, kursy, w tym języka migowego, kontroli jakości badań laboratoryjnych oraz weryfikacji błędu, obsługa automatycznych urządzeń diagnostycznych;</w:t>
      </w:r>
    </w:p>
    <w:p w14:paraId="44AF401E" w14:textId="77777777" w:rsidR="00261F2A" w:rsidRPr="007B5F7E" w:rsidRDefault="00261F2A" w:rsidP="00DF64C7">
      <w:pPr>
        <w:pStyle w:val="Akapitzlist"/>
        <w:numPr>
          <w:ilvl w:val="0"/>
          <w:numId w:val="58"/>
        </w:numPr>
        <w:jc w:val="left"/>
      </w:pPr>
      <w:r w:rsidRPr="007B5F7E">
        <w:t>Przemysły wschodzące - wsparcie dla uczniów i wyposażenie pracowni technika urządzeń i systemów energetyki odnawialnej, modernizowanie sal;</w:t>
      </w:r>
    </w:p>
    <w:p w14:paraId="123BA867" w14:textId="77777777" w:rsidR="00261F2A" w:rsidRPr="007B5F7E" w:rsidRDefault="00261F2A" w:rsidP="00DF64C7">
      <w:pPr>
        <w:pStyle w:val="Akapitzlist"/>
        <w:numPr>
          <w:ilvl w:val="0"/>
          <w:numId w:val="58"/>
        </w:numPr>
        <w:jc w:val="left"/>
      </w:pPr>
      <w:r w:rsidRPr="007B5F7E">
        <w:t>Zielona Gospodarka – Zakup nowoczesnego wyposażenia niskoemisyjnego do pracowni i sal.</w:t>
      </w:r>
    </w:p>
    <w:p w14:paraId="15B8214E" w14:textId="345A66B6" w:rsidR="00261F2A" w:rsidRPr="007B5F7E" w:rsidRDefault="00261F2A" w:rsidP="00DF64C7">
      <w:pPr>
        <w:pStyle w:val="Legenda"/>
        <w:spacing w:line="271" w:lineRule="auto"/>
        <w:jc w:val="left"/>
      </w:pPr>
      <w:r w:rsidRPr="007B5F7E">
        <w:t xml:space="preserve">Wykres </w:t>
      </w:r>
      <w:r w:rsidR="00BE2CE0">
        <w:rPr>
          <w:noProof/>
        </w:rPr>
        <w:fldChar w:fldCharType="begin"/>
      </w:r>
      <w:r w:rsidR="00BE2CE0">
        <w:rPr>
          <w:noProof/>
        </w:rPr>
        <w:instrText xml:space="preserve"> SEQ Wykres \* ARABIC </w:instrText>
      </w:r>
      <w:r w:rsidR="00BE2CE0">
        <w:rPr>
          <w:noProof/>
        </w:rPr>
        <w:fldChar w:fldCharType="separate"/>
      </w:r>
      <w:r w:rsidR="00A8147E">
        <w:rPr>
          <w:noProof/>
        </w:rPr>
        <w:t>23</w:t>
      </w:r>
      <w:r w:rsidR="00BE2CE0">
        <w:rPr>
          <w:noProof/>
        </w:rPr>
        <w:fldChar w:fldCharType="end"/>
      </w:r>
      <w:r w:rsidRPr="007B5F7E">
        <w:t>. Czy projekt (lub któryś z jego elementów) wpisywał się w inteligentne specjalizacje regionu?</w:t>
      </w:r>
    </w:p>
    <w:p w14:paraId="53E2756B" w14:textId="77777777" w:rsidR="00261F2A" w:rsidRPr="007B5F7E" w:rsidRDefault="00261F2A" w:rsidP="00DF64C7">
      <w:pPr>
        <w:jc w:val="left"/>
      </w:pPr>
      <w:r w:rsidRPr="007B5F7E">
        <w:rPr>
          <w:noProof/>
          <w:lang w:eastAsia="pl-PL"/>
        </w:rPr>
        <w:drawing>
          <wp:inline distT="0" distB="0" distL="0" distR="0" wp14:anchorId="0E444FD3" wp14:editId="6DB714A3">
            <wp:extent cx="5486400" cy="1781175"/>
            <wp:effectExtent l="0" t="0" r="19050" b="9525"/>
            <wp:docPr id="63" name="Wykres 63" descr="Do zaprezentowania wyników badania, wykorzystany został wykres kołowy. Odpowiedzi beneficjentów dziłań 11.2, 11.3, 11.4 oraz 12.2 przedstawiały się następująco: tak (47,9%), nie (52,1%)." title="Czy projekt (lub któryś z jego elementów) wpisywał się w inteligentne specjalizacje regionu?"/>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BF59AC" w14:textId="77777777" w:rsidR="00261F2A" w:rsidRPr="007B5F7E" w:rsidRDefault="00261F2A" w:rsidP="00DF64C7">
      <w:pPr>
        <w:pStyle w:val="podpisrdailustracji"/>
        <w:spacing w:line="271" w:lineRule="auto"/>
        <w:jc w:val="left"/>
      </w:pPr>
      <w:bookmarkStart w:id="90" w:name="_Toc33459804"/>
      <w:r w:rsidRPr="007B5F7E">
        <w:t>Źródło: opracowanie własne na podstawie badania CAWI/CATI z beneficjentami Działań 11.2, 11.3, 11.4, oraz 12.2, n=165.</w:t>
      </w:r>
    </w:p>
    <w:p w14:paraId="14DFE01F" w14:textId="55C0F920" w:rsidR="00261F2A" w:rsidRPr="007B5F7E" w:rsidRDefault="00261F2A" w:rsidP="00DF64C7">
      <w:pPr>
        <w:pStyle w:val="Legenda"/>
        <w:spacing w:line="271" w:lineRule="auto"/>
        <w:jc w:val="left"/>
      </w:pPr>
      <w:r w:rsidRPr="007B5F7E">
        <w:t xml:space="preserve">Wykres </w:t>
      </w:r>
      <w:r w:rsidRPr="007B5F7E">
        <w:rPr>
          <w:noProof/>
        </w:rPr>
        <w:fldChar w:fldCharType="begin"/>
      </w:r>
      <w:r w:rsidRPr="007B5F7E">
        <w:rPr>
          <w:noProof/>
        </w:rPr>
        <w:instrText xml:space="preserve"> SEQ Wykres \* ARABIC </w:instrText>
      </w:r>
      <w:r w:rsidRPr="007B5F7E">
        <w:rPr>
          <w:noProof/>
        </w:rPr>
        <w:fldChar w:fldCharType="separate"/>
      </w:r>
      <w:r w:rsidR="00A8147E">
        <w:rPr>
          <w:noProof/>
        </w:rPr>
        <w:t>24</w:t>
      </w:r>
      <w:r w:rsidRPr="007B5F7E">
        <w:rPr>
          <w:noProof/>
        </w:rPr>
        <w:fldChar w:fldCharType="end"/>
      </w:r>
      <w:r w:rsidRPr="007B5F7E">
        <w:rPr>
          <w:noProof/>
        </w:rPr>
        <w:t>.</w:t>
      </w:r>
      <w:r w:rsidRPr="007B5F7E">
        <w:t xml:space="preserve"> W jakie specjalizacje wpisywał się projekt?</w:t>
      </w:r>
      <w:bookmarkEnd w:id="90"/>
    </w:p>
    <w:p w14:paraId="6BA5C76C" w14:textId="77777777" w:rsidR="00261F2A" w:rsidRPr="007B5F7E" w:rsidRDefault="00261F2A" w:rsidP="00DF64C7">
      <w:pPr>
        <w:jc w:val="left"/>
      </w:pPr>
      <w:r w:rsidRPr="007B5F7E">
        <w:rPr>
          <w:i/>
          <w:noProof/>
          <w:lang w:eastAsia="pl-PL"/>
        </w:rPr>
        <w:drawing>
          <wp:inline distT="0" distB="0" distL="0" distR="0" wp14:anchorId="239F99E4" wp14:editId="3CDF903A">
            <wp:extent cx="5676181" cy="1699404"/>
            <wp:effectExtent l="0" t="0" r="20320" b="15240"/>
            <wp:docPr id="11" name="Wykres 11" descr="Wykres przedstawia procentowy rozkład odpowiedzi beneficjentów na pytanie: &quot;W jakie specjalizacje wpisywał się projekt?&quot;. Do przedstawienia danych wykorzystany został wykres kolumnowy: technologie informacyjne i komunikacyjne (73,1%), medycyna (17,5%), energetyka (15,8%), przemysly wschodzące (10,5%), zielona gospodarka (3,50%)." title="W jakie specjalizacje wpisywał się projekt?"/>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1E062FC" w14:textId="77777777" w:rsidR="00261F2A" w:rsidRPr="00261F2A" w:rsidRDefault="00261F2A" w:rsidP="00DF64C7">
      <w:pPr>
        <w:pStyle w:val="podpisrdailustracji"/>
        <w:spacing w:line="271" w:lineRule="auto"/>
        <w:jc w:val="left"/>
      </w:pPr>
      <w:r w:rsidRPr="007B5F7E">
        <w:t>Źródło: opracowanie własne na podstawie badania CAWI/CATI z beneficjentami Działań 11.2, 11.3, 11.4, oraz 12.2, n=165.</w:t>
      </w:r>
    </w:p>
    <w:p w14:paraId="284234FD" w14:textId="77777777" w:rsidR="00261F2A" w:rsidRPr="007B5F7E" w:rsidRDefault="00261F2A" w:rsidP="00DF64C7">
      <w:pPr>
        <w:jc w:val="left"/>
      </w:pPr>
      <w:r w:rsidRPr="007B5F7E">
        <w:t xml:space="preserve">Beneficjentów uczestniczących w badaniu CAWI/CATI zapytano również czy kryteria oceny projektów powinny premiować uwzględnianie w projektach powiązania z inteligentnymi specjalizacjami regionu. </w:t>
      </w:r>
      <w:r w:rsidR="00D222A6">
        <w:t>Blisko połowa</w:t>
      </w:r>
      <w:r w:rsidR="00D222A6" w:rsidRPr="007B5F7E">
        <w:t xml:space="preserve"> </w:t>
      </w:r>
      <w:r w:rsidRPr="007B5F7E">
        <w:t>respondentów badania nie miała wiedzy w tym zakresie,</w:t>
      </w:r>
      <w:r w:rsidR="00F61E57">
        <w:t xml:space="preserve"> </w:t>
      </w:r>
      <w:r w:rsidRPr="007B5F7E">
        <w:t>choć większa liczba beneficjentów</w:t>
      </w:r>
      <w:r w:rsidR="00D222A6">
        <w:t xml:space="preserve"> (z pozostałej grupy)</w:t>
      </w:r>
      <w:r w:rsidRPr="007B5F7E">
        <w:t xml:space="preserve"> udzielała odpowiedzi twierdzącej, niż przeczącej. Osoby udzielające odpowiedzi „zdecydowanie tak” oraz „raczej tak” zostały poproszone o wskazanie sposobu, w jaki powinny być one premiowane – jak wynika z udzielonych odpowiedzi, kryteria oceny projektów powinny premiować uwzględnianie w projektach powiązania z inteligentnymi specjalizacjami regionu poprzez przyznanie dodatkowej ilości punktów, tzw. premii punktowej. Ponadto, zauważyć należy, iż </w:t>
      </w:r>
      <w:r w:rsidR="00C332C1">
        <w:t>wśród</w:t>
      </w:r>
      <w:r w:rsidRPr="007B5F7E">
        <w:t xml:space="preserve"> </w:t>
      </w:r>
      <w:r w:rsidR="001854A9">
        <w:t xml:space="preserve">badanych </w:t>
      </w:r>
      <w:r w:rsidRPr="007B5F7E">
        <w:t xml:space="preserve">beneficjentów OP XII nie </w:t>
      </w:r>
      <w:r w:rsidR="00C332C1">
        <w:t xml:space="preserve">odnotowano odpowiedzi, które warunkowałyby fakt uwzględniania w projektach powiązań z inteligentnymi specjalizacjami z premiowaniem ich występowania przez kryteria oceny. </w:t>
      </w:r>
      <w:r w:rsidR="00C332C1" w:rsidRPr="007B5F7E" w:rsidDel="00C332C1">
        <w:t xml:space="preserve"> </w:t>
      </w:r>
    </w:p>
    <w:p w14:paraId="0EF7A6C7" w14:textId="09CD28D9" w:rsidR="00261F2A" w:rsidRPr="007B5F7E" w:rsidRDefault="00261F2A" w:rsidP="00DF64C7">
      <w:pPr>
        <w:pStyle w:val="Legenda"/>
        <w:spacing w:line="271" w:lineRule="auto"/>
        <w:jc w:val="left"/>
      </w:pPr>
      <w:r w:rsidRPr="007B5F7E">
        <w:t xml:space="preserve">Wykres </w:t>
      </w:r>
      <w:r w:rsidR="00BE2CE0">
        <w:rPr>
          <w:noProof/>
        </w:rPr>
        <w:fldChar w:fldCharType="begin"/>
      </w:r>
      <w:r w:rsidR="00BE2CE0">
        <w:rPr>
          <w:noProof/>
        </w:rPr>
        <w:instrText xml:space="preserve"> SEQ Wykres \* ARABIC </w:instrText>
      </w:r>
      <w:r w:rsidR="00BE2CE0">
        <w:rPr>
          <w:noProof/>
        </w:rPr>
        <w:fldChar w:fldCharType="separate"/>
      </w:r>
      <w:r w:rsidR="00A8147E">
        <w:rPr>
          <w:noProof/>
        </w:rPr>
        <w:t>25</w:t>
      </w:r>
      <w:r w:rsidR="00BE2CE0">
        <w:rPr>
          <w:noProof/>
        </w:rPr>
        <w:fldChar w:fldCharType="end"/>
      </w:r>
      <w:r w:rsidRPr="007B5F7E">
        <w:t>. Czy kryteria oceny projektów powinny premiować uwzględnianie w projektach powiązania z inteligentnymi specjalizacjami regionu?</w:t>
      </w:r>
    </w:p>
    <w:p w14:paraId="4DC5E41A" w14:textId="77777777" w:rsidR="00261F2A" w:rsidRPr="007B5F7E" w:rsidRDefault="00261F2A" w:rsidP="00DF64C7">
      <w:pPr>
        <w:jc w:val="left"/>
      </w:pPr>
      <w:r w:rsidRPr="007B5F7E">
        <w:rPr>
          <w:i/>
          <w:noProof/>
          <w:lang w:eastAsia="pl-PL"/>
        </w:rPr>
        <w:drawing>
          <wp:inline distT="0" distB="0" distL="0" distR="0" wp14:anchorId="67ACD716" wp14:editId="6CC454E9">
            <wp:extent cx="5676181" cy="1699404"/>
            <wp:effectExtent l="0" t="0" r="1270" b="15240"/>
            <wp:docPr id="52" name="Wykres 52" descr="Wykres przedstawia procentowy rozkład odpowiedzi beneficjentów na pytanie: &quot;Czy kryteria oceny projektów powinny premiować uwzględnianie w projektach powiązania z inteligentnymi specjalizacjami regionu?&quot;. Odpowiedzi przedstawone zostały na wykresie kolumnowym: zdecydowanie tak (15,8%), racej tak (21,1%), trudno powiedzieć (49,1%), raczej nie (8,8%), zdecydowanie niie (5,26%)." title="Czy kryteria oceny projektów powinny premiować uwzględnianie w projektach powiązania z inteligentnymi specjalizacjami regionu?"/>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BCCA20C" w14:textId="77777777" w:rsidR="00261F2A" w:rsidRPr="00261F2A" w:rsidRDefault="00261F2A" w:rsidP="00DF64C7">
      <w:pPr>
        <w:pStyle w:val="podpisrdailustracji"/>
        <w:spacing w:line="271" w:lineRule="auto"/>
        <w:jc w:val="left"/>
      </w:pPr>
      <w:r w:rsidRPr="007B5F7E">
        <w:t>Źródło: opracowanie własne na podstawie badania CAWI/CATI z beneficjentami, n=57.</w:t>
      </w:r>
    </w:p>
    <w:p w14:paraId="34716FB7" w14:textId="6D49268B" w:rsidR="00261F2A" w:rsidRPr="007B5F7E" w:rsidRDefault="00261F2A" w:rsidP="00DF64C7">
      <w:pPr>
        <w:pStyle w:val="Legenda"/>
        <w:spacing w:line="271" w:lineRule="auto"/>
        <w:jc w:val="left"/>
      </w:pPr>
      <w:r w:rsidRPr="007B5F7E">
        <w:t xml:space="preserve">Wykres </w:t>
      </w:r>
      <w:r w:rsidR="00BE2CE0">
        <w:rPr>
          <w:noProof/>
        </w:rPr>
        <w:fldChar w:fldCharType="begin"/>
      </w:r>
      <w:r w:rsidR="00BE2CE0">
        <w:rPr>
          <w:noProof/>
        </w:rPr>
        <w:instrText xml:space="preserve"> SEQ Wykres \* ARABIC </w:instrText>
      </w:r>
      <w:r w:rsidR="00BE2CE0">
        <w:rPr>
          <w:noProof/>
        </w:rPr>
        <w:fldChar w:fldCharType="separate"/>
      </w:r>
      <w:r w:rsidR="00A8147E">
        <w:rPr>
          <w:noProof/>
        </w:rPr>
        <w:t>26</w:t>
      </w:r>
      <w:r w:rsidR="00BE2CE0">
        <w:rPr>
          <w:noProof/>
        </w:rPr>
        <w:fldChar w:fldCharType="end"/>
      </w:r>
      <w:r w:rsidRPr="007B5F7E">
        <w:t>. Czy gdyby nie fakt, że kryteria oceny projektów premiowały wpisywanie się projektów w inteligentne specjalizacje regionu, uwzględniliby je Państwo w swoim projekcie?</w:t>
      </w:r>
    </w:p>
    <w:p w14:paraId="7ED792A6" w14:textId="77777777" w:rsidR="00261F2A" w:rsidRPr="007B5F7E" w:rsidRDefault="00261F2A" w:rsidP="00DF64C7">
      <w:pPr>
        <w:jc w:val="left"/>
      </w:pPr>
      <w:r w:rsidRPr="007B5F7E">
        <w:rPr>
          <w:i/>
          <w:noProof/>
          <w:lang w:eastAsia="pl-PL"/>
        </w:rPr>
        <w:drawing>
          <wp:inline distT="0" distB="0" distL="0" distR="0" wp14:anchorId="42FA5A64" wp14:editId="196A8FF6">
            <wp:extent cx="5676181" cy="1699404"/>
            <wp:effectExtent l="0" t="0" r="1270" b="15240"/>
            <wp:docPr id="53" name="Wykres 53" descr="Wykres przedstawia procentowy rozkład odpowiedzi beneficjentów na pytanie: &quot;Czy gdyby nie fakt, że kryteria oceny projektów premiowały wpisywanie się projektów w inteligentne specjalizacje regionu, uwzględniliby je Państwo w swoim projekcie?&quot;. Odpowiedzi przedstawone zostały na wykresie kolumnowym: raczej tak (27,3%), trudno powiedzieć (72,7%)." title="Czy gdyby nie fakt, że kryteria oceny projektów premiowały wpisywanie się projektów w inteligentne specjalizacje regionu, uwzględniliby je Państwo w swoim projekci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F21DBF9" w14:textId="77777777" w:rsidR="00261F2A" w:rsidRDefault="00261F2A" w:rsidP="00DF64C7">
      <w:pPr>
        <w:pStyle w:val="podpisrdailustracji"/>
        <w:spacing w:line="271" w:lineRule="auto"/>
        <w:jc w:val="left"/>
      </w:pPr>
      <w:r w:rsidRPr="007B5F7E">
        <w:t>Źródło: opracowanie własne na podstawie badania CAWI/CATI z beneficjentami, n=22.</w:t>
      </w:r>
    </w:p>
    <w:p w14:paraId="4100A810" w14:textId="77777777" w:rsidR="00261F2A" w:rsidRDefault="00261F2A" w:rsidP="00DF64C7">
      <w:pPr>
        <w:jc w:val="left"/>
      </w:pPr>
      <w:r w:rsidRPr="007B5F7E">
        <w:t xml:space="preserve">Zgodnie z badaniami TDI, przykładem wpisywania się w inteligentne specjalizacje regionu była organizacja kursów zawodowych technika elektryka i elektronika, kursy pisania programów w programie AutoCAD, projektowanie układów elektronicznych. </w:t>
      </w:r>
      <w:r w:rsidRPr="007B5F7E">
        <w:rPr>
          <w:rFonts w:cs="Arial"/>
        </w:rPr>
        <w:t>Wskazano również na zieloną gospodarkę jako obszar związany z kursami, na których przekazywano uczniom wiedzę z zakresu budowy układów fotowoltaicznych. Zgodnie z deklaracjami beneficjentów, uwzględnienie przez nich inteligentnych specjalizacji regionu wynikało z potrzeb województwa – przekształceń, jakie zachodzą w regionie, kształtu rynku zatrudnienia i aktualnego zapotrzebowania na wybrane zawody. Wiązało się to również z diagnozą wykonaną przed realizacją projektu oraz kontaktami ze sferą biznesu.</w:t>
      </w:r>
    </w:p>
    <w:p w14:paraId="513C4807" w14:textId="77777777" w:rsidR="00261F2A" w:rsidRDefault="00261F2A" w:rsidP="00DF64C7">
      <w:pPr>
        <w:jc w:val="left"/>
      </w:pPr>
    </w:p>
    <w:p w14:paraId="10A402B2" w14:textId="77777777" w:rsidR="00EF182D" w:rsidRPr="00EF182D" w:rsidRDefault="00EF182D" w:rsidP="00DF64C7">
      <w:pPr>
        <w:jc w:val="left"/>
        <w:rPr>
          <w:rStyle w:val="Odwoanieintensywne"/>
        </w:rPr>
      </w:pPr>
      <w:r w:rsidRPr="00EF182D">
        <w:rPr>
          <w:rStyle w:val="Odwoanieintensywne"/>
        </w:rPr>
        <w:t>Podsumowanie</w:t>
      </w:r>
    </w:p>
    <w:p w14:paraId="7F082B72" w14:textId="77777777" w:rsidR="00771AE9" w:rsidRDefault="00A36F1E" w:rsidP="00DF64C7">
      <w:pPr>
        <w:jc w:val="left"/>
      </w:pPr>
      <w:r>
        <w:t>Zgodnie z przeprowadzoną analizą należy stwierdzić, że s</w:t>
      </w:r>
      <w:r w:rsidRPr="00610089">
        <w:t>ystem wyboru projektów wspiera realizację projektów zgodnych</w:t>
      </w:r>
      <w:r>
        <w:t xml:space="preserve"> z </w:t>
      </w:r>
      <w:r w:rsidRPr="00610089">
        <w:t>inteligentnymi specjalizacjami regionu</w:t>
      </w:r>
      <w:r>
        <w:t xml:space="preserve">, stosując kryteria merytoryczne, które premiują </w:t>
      </w:r>
      <w:r w:rsidRPr="001929ED">
        <w:t xml:space="preserve">projekty </w:t>
      </w:r>
      <w:r>
        <w:t>pod kątem zgodności z </w:t>
      </w:r>
      <w:r w:rsidRPr="001929ED">
        <w:t xml:space="preserve">regionalnymi specjalizacjami wynikającymi z </w:t>
      </w:r>
      <w:r w:rsidRPr="008B55AF">
        <w:rPr>
          <w:i/>
        </w:rPr>
        <w:t>Regionalnej Strategii Innowacji Województwa Śląskiego na lata 2013-2020</w:t>
      </w:r>
      <w:r>
        <w:t xml:space="preserve">. </w:t>
      </w:r>
      <w:r w:rsidR="00933742">
        <w:t xml:space="preserve">Aż </w:t>
      </w:r>
      <w:r w:rsidR="008C737D" w:rsidRPr="007F3717">
        <w:t>47,9%</w:t>
      </w:r>
      <w:r w:rsidR="00933742">
        <w:t xml:space="preserve"> badanych</w:t>
      </w:r>
      <w:r w:rsidR="00591415">
        <w:t xml:space="preserve"> beneficjentów wskazało, </w:t>
      </w:r>
      <w:r w:rsidR="00933742">
        <w:t>że</w:t>
      </w:r>
      <w:r w:rsidR="00591415">
        <w:t xml:space="preserve"> ich projekt wpisuje się w inteligentne specjalizacje regionu</w:t>
      </w:r>
      <w:r w:rsidR="00933742">
        <w:t xml:space="preserve">. </w:t>
      </w:r>
      <w:r w:rsidR="00933742" w:rsidRPr="00933742">
        <w:t>Najczęściej realizowane projekty wpływały na rozwój technologii informacyjnych i komunikacyjnych (w tym wsparcie uczniów w zakresie kompetencji cyfrowych, wyposażenie pracowni technika informatyka i teleinformatyka, szkolenia z wykorzystaniem najnowocześniejszych technologii).</w:t>
      </w:r>
      <w:r w:rsidR="00933742">
        <w:t xml:space="preserve"> Biorąc pod uwagę brak </w:t>
      </w:r>
      <w:r w:rsidR="00C332C1">
        <w:t>jednoznacznego</w:t>
      </w:r>
      <w:r w:rsidR="00933742">
        <w:t xml:space="preserve"> zdania beneficjentów w zakresie potrzeby premiowania projektów wpisujących się w inteligentne specjalizacje</w:t>
      </w:r>
      <w:r w:rsidR="00C332C1">
        <w:t>,</w:t>
      </w:r>
      <w:r w:rsidR="00933742">
        <w:t xml:space="preserve"> można wnioskować o stosunkowo niewielkiej wiedzy beneficjentów dot. </w:t>
      </w:r>
      <w:r w:rsidR="00C332C1">
        <w:t>ich potencjału</w:t>
      </w:r>
      <w:r w:rsidR="00933742">
        <w:t xml:space="preserve"> względem</w:t>
      </w:r>
      <w:r w:rsidR="00C332C1">
        <w:t xml:space="preserve"> rozwoju</w:t>
      </w:r>
      <w:r w:rsidR="00933742">
        <w:t xml:space="preserve"> gospodarki regionu.</w:t>
      </w:r>
    </w:p>
    <w:p w14:paraId="7777AADF" w14:textId="77777777" w:rsidR="00A464CB" w:rsidRDefault="00A464CB" w:rsidP="00DF64C7">
      <w:pPr>
        <w:pStyle w:val="Nagwek3"/>
        <w:spacing w:line="271" w:lineRule="auto"/>
        <w:ind w:left="426"/>
        <w:jc w:val="left"/>
      </w:pPr>
      <w:bookmarkStart w:id="91" w:name="_Toc24466821"/>
      <w:bookmarkStart w:id="92" w:name="_Toc25664303"/>
      <w:bookmarkStart w:id="93" w:name="_Toc26526284"/>
      <w:bookmarkStart w:id="94" w:name="_Toc38035016"/>
      <w:r w:rsidRPr="00610089">
        <w:t xml:space="preserve">Jakie typy </w:t>
      </w:r>
      <w:r w:rsidR="00A42CE3">
        <w:t>projektów</w:t>
      </w:r>
      <w:r w:rsidR="00A42CE3" w:rsidRPr="00610089">
        <w:t xml:space="preserve"> </w:t>
      </w:r>
      <w:r w:rsidRPr="00610089">
        <w:t>dominują</w:t>
      </w:r>
      <w:r>
        <w:t xml:space="preserve"> w </w:t>
      </w:r>
      <w:r w:rsidRPr="00610089">
        <w:t>projektach realizowanych</w:t>
      </w:r>
      <w:r>
        <w:t xml:space="preserve"> w </w:t>
      </w:r>
      <w:r w:rsidRPr="00610089">
        <w:t>ramach OP XI</w:t>
      </w:r>
      <w:r>
        <w:t xml:space="preserve"> i </w:t>
      </w:r>
      <w:r w:rsidRPr="00610089">
        <w:t>XII</w:t>
      </w:r>
      <w:r>
        <w:t xml:space="preserve"> i </w:t>
      </w:r>
      <w:r w:rsidRPr="00610089">
        <w:t>dlaczego?</w:t>
      </w:r>
      <w:bookmarkEnd w:id="91"/>
      <w:bookmarkEnd w:id="92"/>
      <w:bookmarkEnd w:id="93"/>
      <w:bookmarkEnd w:id="94"/>
    </w:p>
    <w:p w14:paraId="44E333F5" w14:textId="77777777" w:rsidR="0085119E" w:rsidRDefault="00E921C6" w:rsidP="00DF64C7">
      <w:pPr>
        <w:jc w:val="left"/>
      </w:pPr>
      <w:r>
        <w:t>W poniższym zestawieniu zaprezentowane zostały informacje dot. wartości wybranych do dofinansowania projektów oraz wartości projektów, które nie zostały wybrane od objęcia wsparciem (w podziale na działania i poddziałania). Najwyższe wartości w zakresie wybranych do dofinansowania projektów przypadły na poddziałania 11.1.4, 11.3 oraz 12.1.1. Warto natomiast zwrócić uwagę, że w przypadku niektórych z poddziałań można mówić o wciąż występującym zapotrzebowaniu – o czym świadczy bardzo wysoka wartość projektów niewybranych do dofinansowania. Mowa tu o poddziałaniu 11.4.3, 11.3 oraz 11.1.4 (łączna wartość projektów złożonych, lecz niewybranych do dofinansowania wyniosła ponad 1,07 mld PLN</w:t>
      </w:r>
      <w:r w:rsidR="00CE5075">
        <w:t>.</w:t>
      </w:r>
    </w:p>
    <w:p w14:paraId="5B4D1D16" w14:textId="552A1C50" w:rsidR="0085119E" w:rsidRDefault="0085119E" w:rsidP="00DF64C7">
      <w:pPr>
        <w:pStyle w:val="Legenda"/>
        <w:spacing w:line="271" w:lineRule="auto"/>
        <w:jc w:val="left"/>
      </w:pPr>
      <w:bookmarkStart w:id="95" w:name="_Toc33457233"/>
      <w:r>
        <w:t xml:space="preserve">Tabela </w:t>
      </w:r>
      <w:r>
        <w:rPr>
          <w:noProof/>
        </w:rPr>
        <w:fldChar w:fldCharType="begin"/>
      </w:r>
      <w:r>
        <w:rPr>
          <w:noProof/>
        </w:rPr>
        <w:instrText xml:space="preserve"> SEQ Tabela \* ARABIC </w:instrText>
      </w:r>
      <w:r>
        <w:rPr>
          <w:noProof/>
        </w:rPr>
        <w:fldChar w:fldCharType="separate"/>
      </w:r>
      <w:r w:rsidR="00A8147E">
        <w:rPr>
          <w:noProof/>
        </w:rPr>
        <w:t>32</w:t>
      </w:r>
      <w:r>
        <w:rPr>
          <w:noProof/>
        </w:rPr>
        <w:fldChar w:fldCharType="end"/>
      </w:r>
      <w:r>
        <w:t xml:space="preserve">. </w:t>
      </w:r>
      <w:r w:rsidR="00E921C6">
        <w:t xml:space="preserve">Wartość wybranych i niewybranych do dofinansowania projektów </w:t>
      </w:r>
      <w:r>
        <w:t>w ramach OP XI i XII RPO WSL 2014-2020</w:t>
      </w:r>
      <w:bookmarkEnd w:id="95"/>
      <w:r w:rsidR="00E921C6">
        <w:t xml:space="preserve"> (EUR)</w:t>
      </w:r>
    </w:p>
    <w:tbl>
      <w:tblPr>
        <w:tblStyle w:val="Tabelasiatki5ciemnaakcent61"/>
        <w:tblW w:w="5000" w:type="pct"/>
        <w:tblLook w:val="04A0" w:firstRow="1" w:lastRow="0" w:firstColumn="1" w:lastColumn="0" w:noHBand="0" w:noVBand="1"/>
        <w:tblCaption w:val="Dominujące typy działań w ramach OP XI i XII RPO WSL 2014-2020"/>
        <w:tblDescription w:val="Tabela przedstawia dominujące typy działań w ramach OP XI i XII RPO WSL 2014-2020, w tym dane dotyczące liczby złożonych wniosków oraz wniosków przyjętych do dofinansowania w ramach określonych typów działań."/>
      </w:tblPr>
      <w:tblGrid>
        <w:gridCol w:w="1881"/>
        <w:gridCol w:w="3489"/>
        <w:gridCol w:w="3690"/>
      </w:tblGrid>
      <w:tr w:rsidR="00D22B94" w:rsidRPr="00A714C1" w14:paraId="25D791E0" w14:textId="77777777" w:rsidTr="0012060B">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3861C217" w14:textId="77777777" w:rsidR="00E921C6" w:rsidRPr="00E24BD3" w:rsidRDefault="00E921C6" w:rsidP="00DF64C7">
            <w:pPr>
              <w:jc w:val="left"/>
              <w:rPr>
                <w:rFonts w:ascii="Times New Roman" w:eastAsia="Times New Roman" w:hAnsi="Times New Roman" w:cs="Times New Roman"/>
                <w:b w:val="0"/>
                <w:bCs w:val="0"/>
                <w:sz w:val="24"/>
                <w:szCs w:val="24"/>
                <w:lang w:eastAsia="pl-PL"/>
              </w:rPr>
            </w:pPr>
            <w:r w:rsidRPr="00A714C1">
              <w:rPr>
                <w:rFonts w:ascii="Times New Roman" w:eastAsia="Times New Roman" w:hAnsi="Times New Roman" w:cs="Times New Roman"/>
                <w:sz w:val="24"/>
                <w:szCs w:val="24"/>
                <w:lang w:eastAsia="pl-PL"/>
              </w:rPr>
              <w:t>Działanie/Poddziałanie</w:t>
            </w:r>
          </w:p>
        </w:tc>
        <w:tc>
          <w:tcPr>
            <w:tcW w:w="1925" w:type="pct"/>
            <w:noWrap/>
            <w:vAlign w:val="center"/>
            <w:hideMark/>
          </w:tcPr>
          <w:p w14:paraId="195FB1D1" w14:textId="77777777" w:rsidR="00E921C6" w:rsidRPr="00A714C1" w:rsidRDefault="00E921C6"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714C1">
              <w:rPr>
                <w:rFonts w:ascii="Calibri" w:eastAsia="Times New Roman" w:hAnsi="Calibri" w:cs="Calibri"/>
                <w:lang w:eastAsia="pl-PL"/>
              </w:rPr>
              <w:t>Wartość wybranych do dofinansowania projektów</w:t>
            </w:r>
          </w:p>
        </w:tc>
        <w:tc>
          <w:tcPr>
            <w:tcW w:w="2036" w:type="pct"/>
            <w:noWrap/>
            <w:vAlign w:val="center"/>
            <w:hideMark/>
          </w:tcPr>
          <w:p w14:paraId="07356104" w14:textId="77777777" w:rsidR="00E921C6" w:rsidRPr="00A714C1" w:rsidRDefault="00E921C6"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714C1">
              <w:rPr>
                <w:rFonts w:ascii="Calibri" w:eastAsia="Times New Roman" w:hAnsi="Calibri" w:cs="Calibri"/>
                <w:lang w:eastAsia="pl-PL"/>
              </w:rPr>
              <w:t>Wartość projektów niewybranych do dofinansowania</w:t>
            </w:r>
          </w:p>
        </w:tc>
      </w:tr>
      <w:tr w:rsidR="00E921C6" w:rsidRPr="00E921C6" w14:paraId="0123D91F" w14:textId="77777777" w:rsidTr="007B5F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5A03F36C"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11.1.1</w:t>
            </w:r>
          </w:p>
        </w:tc>
        <w:tc>
          <w:tcPr>
            <w:tcW w:w="1925" w:type="pct"/>
            <w:noWrap/>
            <w:vAlign w:val="center"/>
            <w:hideMark/>
          </w:tcPr>
          <w:p w14:paraId="649E6726"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26 572 462</w:t>
            </w:r>
          </w:p>
        </w:tc>
        <w:tc>
          <w:tcPr>
            <w:tcW w:w="2036" w:type="pct"/>
            <w:noWrap/>
            <w:vAlign w:val="center"/>
            <w:hideMark/>
          </w:tcPr>
          <w:p w14:paraId="2BE812BE"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14 993 013</w:t>
            </w:r>
          </w:p>
        </w:tc>
      </w:tr>
      <w:tr w:rsidR="00E921C6" w:rsidRPr="00E921C6" w14:paraId="74E645E2" w14:textId="77777777" w:rsidTr="007B5F7E">
        <w:trPr>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574D226C"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11.1.2</w:t>
            </w:r>
          </w:p>
        </w:tc>
        <w:tc>
          <w:tcPr>
            <w:tcW w:w="1925" w:type="pct"/>
            <w:noWrap/>
            <w:vAlign w:val="center"/>
            <w:hideMark/>
          </w:tcPr>
          <w:p w14:paraId="452E70DD"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16 378 259</w:t>
            </w:r>
          </w:p>
        </w:tc>
        <w:tc>
          <w:tcPr>
            <w:tcW w:w="2036" w:type="pct"/>
            <w:noWrap/>
            <w:vAlign w:val="center"/>
            <w:hideMark/>
          </w:tcPr>
          <w:p w14:paraId="21AC953F"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16 465 057</w:t>
            </w:r>
          </w:p>
        </w:tc>
      </w:tr>
      <w:tr w:rsidR="00E921C6" w:rsidRPr="00E921C6" w14:paraId="6507A818" w14:textId="77777777" w:rsidTr="007B5F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4113F18D"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11.1.3</w:t>
            </w:r>
          </w:p>
        </w:tc>
        <w:tc>
          <w:tcPr>
            <w:tcW w:w="1925" w:type="pct"/>
            <w:noWrap/>
            <w:vAlign w:val="center"/>
            <w:hideMark/>
          </w:tcPr>
          <w:p w14:paraId="35269134"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66 507 777</w:t>
            </w:r>
          </w:p>
        </w:tc>
        <w:tc>
          <w:tcPr>
            <w:tcW w:w="2036" w:type="pct"/>
            <w:noWrap/>
            <w:vAlign w:val="center"/>
            <w:hideMark/>
          </w:tcPr>
          <w:p w14:paraId="239D4FB5"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78 790 858</w:t>
            </w:r>
          </w:p>
        </w:tc>
      </w:tr>
      <w:tr w:rsidR="00E921C6" w:rsidRPr="00E921C6" w14:paraId="4359C486" w14:textId="77777777" w:rsidTr="007B5F7E">
        <w:trPr>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71C89CA6"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11.1.4</w:t>
            </w:r>
          </w:p>
        </w:tc>
        <w:tc>
          <w:tcPr>
            <w:tcW w:w="1925" w:type="pct"/>
            <w:noWrap/>
            <w:vAlign w:val="center"/>
            <w:hideMark/>
          </w:tcPr>
          <w:p w14:paraId="382E76C7"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152 401 883</w:t>
            </w:r>
          </w:p>
        </w:tc>
        <w:tc>
          <w:tcPr>
            <w:tcW w:w="2036" w:type="pct"/>
            <w:noWrap/>
            <w:vAlign w:val="center"/>
            <w:hideMark/>
          </w:tcPr>
          <w:p w14:paraId="698F8E7A"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258 712 756</w:t>
            </w:r>
          </w:p>
        </w:tc>
      </w:tr>
      <w:tr w:rsidR="00E921C6" w:rsidRPr="00E921C6" w14:paraId="6CF6F70D" w14:textId="77777777" w:rsidTr="007B5F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65D5193A"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11.1.5</w:t>
            </w:r>
          </w:p>
        </w:tc>
        <w:tc>
          <w:tcPr>
            <w:tcW w:w="1925" w:type="pct"/>
            <w:noWrap/>
            <w:vAlign w:val="center"/>
            <w:hideMark/>
          </w:tcPr>
          <w:p w14:paraId="3B35AA06"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19 796 560</w:t>
            </w:r>
          </w:p>
        </w:tc>
        <w:tc>
          <w:tcPr>
            <w:tcW w:w="2036" w:type="pct"/>
            <w:noWrap/>
            <w:vAlign w:val="center"/>
            <w:hideMark/>
          </w:tcPr>
          <w:p w14:paraId="14C88DDC"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eastAsia="Times New Roman" w:hAnsi="Calibri" w:cs="Calibri"/>
                <w:color w:val="000000"/>
                <w:lang w:eastAsia="pl-PL"/>
              </w:rPr>
              <w:t>0</w:t>
            </w:r>
          </w:p>
        </w:tc>
      </w:tr>
      <w:tr w:rsidR="00E921C6" w:rsidRPr="00E921C6" w14:paraId="1C41B4BF" w14:textId="77777777" w:rsidTr="007B5F7E">
        <w:trPr>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5970AE86"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11.2.1</w:t>
            </w:r>
          </w:p>
        </w:tc>
        <w:tc>
          <w:tcPr>
            <w:tcW w:w="1925" w:type="pct"/>
            <w:noWrap/>
            <w:vAlign w:val="center"/>
            <w:hideMark/>
          </w:tcPr>
          <w:p w14:paraId="52E42DCF"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67 078 628</w:t>
            </w:r>
          </w:p>
        </w:tc>
        <w:tc>
          <w:tcPr>
            <w:tcW w:w="2036" w:type="pct"/>
            <w:noWrap/>
            <w:vAlign w:val="center"/>
            <w:hideMark/>
          </w:tcPr>
          <w:p w14:paraId="16BE43F4"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37 076 271</w:t>
            </w:r>
          </w:p>
        </w:tc>
      </w:tr>
      <w:tr w:rsidR="00E921C6" w:rsidRPr="00E921C6" w14:paraId="34ECBC63" w14:textId="77777777" w:rsidTr="007B5F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1FBFB358"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11.2.2</w:t>
            </w:r>
          </w:p>
        </w:tc>
        <w:tc>
          <w:tcPr>
            <w:tcW w:w="1925" w:type="pct"/>
            <w:noWrap/>
            <w:vAlign w:val="center"/>
            <w:hideMark/>
          </w:tcPr>
          <w:p w14:paraId="184FF40A"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41 409 010</w:t>
            </w:r>
          </w:p>
        </w:tc>
        <w:tc>
          <w:tcPr>
            <w:tcW w:w="2036" w:type="pct"/>
            <w:noWrap/>
            <w:vAlign w:val="center"/>
            <w:hideMark/>
          </w:tcPr>
          <w:p w14:paraId="4E51D888"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21 947 973</w:t>
            </w:r>
          </w:p>
        </w:tc>
      </w:tr>
      <w:tr w:rsidR="00E921C6" w:rsidRPr="00E921C6" w14:paraId="29BA8105" w14:textId="77777777" w:rsidTr="007B5F7E">
        <w:trPr>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7903F9C7"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11.2.3</w:t>
            </w:r>
          </w:p>
        </w:tc>
        <w:tc>
          <w:tcPr>
            <w:tcW w:w="1925" w:type="pct"/>
            <w:noWrap/>
            <w:vAlign w:val="center"/>
            <w:hideMark/>
          </w:tcPr>
          <w:p w14:paraId="28924300"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61 811 429</w:t>
            </w:r>
          </w:p>
        </w:tc>
        <w:tc>
          <w:tcPr>
            <w:tcW w:w="2036" w:type="pct"/>
            <w:noWrap/>
            <w:vAlign w:val="center"/>
            <w:hideMark/>
          </w:tcPr>
          <w:p w14:paraId="0E212CA5"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87 238 152</w:t>
            </w:r>
          </w:p>
        </w:tc>
      </w:tr>
      <w:tr w:rsidR="00E921C6" w:rsidRPr="00E921C6" w14:paraId="44B76D49" w14:textId="77777777" w:rsidTr="007B5F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72F476CD"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11.3</w:t>
            </w:r>
          </w:p>
        </w:tc>
        <w:tc>
          <w:tcPr>
            <w:tcW w:w="1925" w:type="pct"/>
            <w:noWrap/>
            <w:vAlign w:val="center"/>
            <w:hideMark/>
          </w:tcPr>
          <w:p w14:paraId="277E9C72"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128 204 952</w:t>
            </w:r>
          </w:p>
        </w:tc>
        <w:tc>
          <w:tcPr>
            <w:tcW w:w="2036" w:type="pct"/>
            <w:noWrap/>
            <w:vAlign w:val="center"/>
            <w:hideMark/>
          </w:tcPr>
          <w:p w14:paraId="3F449290"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325 122 838</w:t>
            </w:r>
          </w:p>
        </w:tc>
      </w:tr>
      <w:tr w:rsidR="00E921C6" w:rsidRPr="00E921C6" w14:paraId="0ABB1B09" w14:textId="77777777" w:rsidTr="007B5F7E">
        <w:trPr>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4BE87497"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11.4.1</w:t>
            </w:r>
          </w:p>
        </w:tc>
        <w:tc>
          <w:tcPr>
            <w:tcW w:w="1925" w:type="pct"/>
            <w:noWrap/>
            <w:vAlign w:val="center"/>
            <w:hideMark/>
          </w:tcPr>
          <w:p w14:paraId="2FCDB45A"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11 550 533</w:t>
            </w:r>
          </w:p>
        </w:tc>
        <w:tc>
          <w:tcPr>
            <w:tcW w:w="2036" w:type="pct"/>
            <w:noWrap/>
            <w:vAlign w:val="center"/>
            <w:hideMark/>
          </w:tcPr>
          <w:p w14:paraId="018C9EF7"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38 271 936</w:t>
            </w:r>
          </w:p>
        </w:tc>
      </w:tr>
      <w:tr w:rsidR="00E921C6" w:rsidRPr="00E921C6" w14:paraId="43F6228C" w14:textId="77777777" w:rsidTr="007B5F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4708EFAD"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11.4.2</w:t>
            </w:r>
          </w:p>
        </w:tc>
        <w:tc>
          <w:tcPr>
            <w:tcW w:w="1925" w:type="pct"/>
            <w:noWrap/>
            <w:vAlign w:val="center"/>
            <w:hideMark/>
          </w:tcPr>
          <w:p w14:paraId="3CDFA929"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1 530 210</w:t>
            </w:r>
          </w:p>
        </w:tc>
        <w:tc>
          <w:tcPr>
            <w:tcW w:w="2036" w:type="pct"/>
            <w:noWrap/>
            <w:vAlign w:val="center"/>
            <w:hideMark/>
          </w:tcPr>
          <w:p w14:paraId="6B695BDD"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22 431 250</w:t>
            </w:r>
          </w:p>
        </w:tc>
      </w:tr>
      <w:tr w:rsidR="00E921C6" w:rsidRPr="00E921C6" w14:paraId="0A4E3928" w14:textId="77777777" w:rsidTr="007B5F7E">
        <w:trPr>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5498390A"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11.4.3</w:t>
            </w:r>
          </w:p>
        </w:tc>
        <w:tc>
          <w:tcPr>
            <w:tcW w:w="1925" w:type="pct"/>
            <w:noWrap/>
            <w:vAlign w:val="center"/>
            <w:hideMark/>
          </w:tcPr>
          <w:p w14:paraId="6ED108DA"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79 044 221</w:t>
            </w:r>
          </w:p>
        </w:tc>
        <w:tc>
          <w:tcPr>
            <w:tcW w:w="2036" w:type="pct"/>
            <w:noWrap/>
            <w:vAlign w:val="center"/>
            <w:hideMark/>
          </w:tcPr>
          <w:p w14:paraId="644D7354"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486 402 869</w:t>
            </w:r>
          </w:p>
        </w:tc>
      </w:tr>
      <w:tr w:rsidR="00E921C6" w:rsidRPr="00E921C6" w14:paraId="426C2DB8" w14:textId="77777777" w:rsidTr="007B5F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75F36CA0"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12.1.1</w:t>
            </w:r>
          </w:p>
        </w:tc>
        <w:tc>
          <w:tcPr>
            <w:tcW w:w="1925" w:type="pct"/>
            <w:noWrap/>
            <w:vAlign w:val="center"/>
            <w:hideMark/>
          </w:tcPr>
          <w:p w14:paraId="169B1FB4"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132 017 961</w:t>
            </w:r>
          </w:p>
        </w:tc>
        <w:tc>
          <w:tcPr>
            <w:tcW w:w="2036" w:type="pct"/>
            <w:noWrap/>
            <w:vAlign w:val="center"/>
            <w:hideMark/>
          </w:tcPr>
          <w:p w14:paraId="581BED51" w14:textId="77777777" w:rsidR="00E921C6" w:rsidRPr="00E921C6" w:rsidRDefault="00E921C6"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50 568 745</w:t>
            </w:r>
          </w:p>
        </w:tc>
      </w:tr>
      <w:tr w:rsidR="00E921C6" w:rsidRPr="00E921C6" w14:paraId="3CAF2AB6" w14:textId="77777777" w:rsidTr="007B5F7E">
        <w:trPr>
          <w:trHeight w:val="288"/>
        </w:trPr>
        <w:tc>
          <w:tcPr>
            <w:cnfStyle w:val="001000000000" w:firstRow="0" w:lastRow="0" w:firstColumn="1" w:lastColumn="0" w:oddVBand="0" w:evenVBand="0" w:oddHBand="0" w:evenHBand="0" w:firstRowFirstColumn="0" w:firstRowLastColumn="0" w:lastRowFirstColumn="0" w:lastRowLastColumn="0"/>
            <w:tcW w:w="1038" w:type="pct"/>
            <w:noWrap/>
            <w:vAlign w:val="center"/>
            <w:hideMark/>
          </w:tcPr>
          <w:p w14:paraId="4B22B7E5" w14:textId="77777777" w:rsidR="00E921C6" w:rsidRPr="00A714C1" w:rsidRDefault="00E921C6" w:rsidP="00DF64C7">
            <w:pPr>
              <w:jc w:val="left"/>
              <w:rPr>
                <w:rFonts w:ascii="Calibri" w:eastAsia="Times New Roman" w:hAnsi="Calibri" w:cs="Calibri"/>
                <w:lang w:eastAsia="pl-PL"/>
              </w:rPr>
            </w:pPr>
            <w:r w:rsidRPr="00A714C1">
              <w:rPr>
                <w:rFonts w:ascii="Calibri" w:eastAsia="Times New Roman" w:hAnsi="Calibri" w:cs="Calibri"/>
                <w:lang w:eastAsia="pl-PL"/>
              </w:rPr>
              <w:t>12.2.2.</w:t>
            </w:r>
          </w:p>
        </w:tc>
        <w:tc>
          <w:tcPr>
            <w:tcW w:w="1925" w:type="pct"/>
            <w:noWrap/>
            <w:vAlign w:val="center"/>
            <w:hideMark/>
          </w:tcPr>
          <w:p w14:paraId="0DF5B40C"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99 713 621</w:t>
            </w:r>
          </w:p>
        </w:tc>
        <w:tc>
          <w:tcPr>
            <w:tcW w:w="2036" w:type="pct"/>
            <w:noWrap/>
            <w:vAlign w:val="center"/>
            <w:hideMark/>
          </w:tcPr>
          <w:p w14:paraId="2608DA65" w14:textId="77777777" w:rsidR="00E921C6" w:rsidRPr="00E921C6" w:rsidRDefault="00E921C6"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sz w:val="18"/>
                <w:szCs w:val="18"/>
                <w:lang w:eastAsia="pl-PL"/>
              </w:rPr>
            </w:pPr>
            <w:r>
              <w:rPr>
                <w:rFonts w:ascii="Calibri" w:hAnsi="Calibri" w:cs="Calibri"/>
                <w:color w:val="000000"/>
              </w:rPr>
              <w:t>42 625 943</w:t>
            </w:r>
          </w:p>
        </w:tc>
      </w:tr>
    </w:tbl>
    <w:p w14:paraId="27064FAD" w14:textId="77777777" w:rsidR="0085119E" w:rsidRDefault="0085119E" w:rsidP="00DF64C7">
      <w:pPr>
        <w:pStyle w:val="podpisrdailustracji"/>
        <w:spacing w:line="271" w:lineRule="auto"/>
        <w:jc w:val="left"/>
      </w:pPr>
      <w:r>
        <w:t xml:space="preserve">Źródło: </w:t>
      </w:r>
      <w:r w:rsidRPr="00BA7EB1">
        <w:t>Opracowanie własne EU-Consult Sp. z o.o. na podstawie</w:t>
      </w:r>
      <w:r>
        <w:t xml:space="preserve"> danych </w:t>
      </w:r>
      <w:r w:rsidR="00B01899">
        <w:t>LSI2014</w:t>
      </w:r>
      <w:r w:rsidR="00A81F8B">
        <w:t xml:space="preserve"> </w:t>
      </w:r>
      <w:r w:rsidR="00AB5D0E" w:rsidRPr="00AB5D0E">
        <w:t>(data dostępu: 30.09.2019 r.).</w:t>
      </w:r>
    </w:p>
    <w:p w14:paraId="382B653B" w14:textId="77777777" w:rsidR="0085119E" w:rsidRDefault="0085119E" w:rsidP="00DF64C7">
      <w:pPr>
        <w:jc w:val="left"/>
      </w:pPr>
      <w:r>
        <w:t xml:space="preserve">Rozbieżności w zakresie liczebności typów </w:t>
      </w:r>
      <w:r w:rsidR="00656E6E">
        <w:t xml:space="preserve">projektów </w:t>
      </w:r>
      <w:r>
        <w:t>realizowanych w ramach poszczególnych Osi, Działań i Poddziałań wynikają przede wszystkim z zapotrzebowania na dane działania w regionie. Wiąże się to bezpośrednio z wynikami diagnozy przygotowanej dla RPO WSL 2014-2020. Na tej podstawie założono</w:t>
      </w:r>
      <w:r w:rsidR="00B01899">
        <w:t>,</w:t>
      </w:r>
      <w:r>
        <w:t xml:space="preserve"> jakie inicjatywy należy wdrożyć, aby podnieść jakość systemu edukacji w regionie. Następnie w oparciu o sporządzoną diagnozę ustalono odpowiednią wysokość środków finansowych przeznaczonych na konkretne </w:t>
      </w:r>
      <w:r w:rsidR="00B01899">
        <w:t>d</w:t>
      </w:r>
      <w:r w:rsidR="005B5B86">
        <w:t>ziałania i </w:t>
      </w:r>
      <w:r w:rsidR="00B01899">
        <w:t>p</w:t>
      </w:r>
      <w:r w:rsidR="006550AD">
        <w:t>oddziałania.</w:t>
      </w:r>
    </w:p>
    <w:p w14:paraId="73D769EA" w14:textId="77777777" w:rsidR="0085119E" w:rsidRDefault="006550AD" w:rsidP="00DF64C7">
      <w:pPr>
        <w:jc w:val="left"/>
      </w:pPr>
      <w:r>
        <w:t xml:space="preserve">Analiza </w:t>
      </w:r>
      <w:r w:rsidR="00904100">
        <w:t xml:space="preserve">liczby składanych wniosków wg typów projektów </w:t>
      </w:r>
      <w:r>
        <w:t xml:space="preserve">wskazała, że dużą popularnością cieszyły się </w:t>
      </w:r>
      <w:r w:rsidR="00904100">
        <w:t xml:space="preserve">działania </w:t>
      </w:r>
      <w:r>
        <w:t xml:space="preserve">realizowane w ramach ZIT, na co wpływ może mieć duże zapotrzebowanie na tego typu działania na tym obszarze </w:t>
      </w:r>
      <w:r w:rsidR="0036754E">
        <w:t>oraz dobra współpraca beneficjentów i potencjalnych beneficjentów z IP.</w:t>
      </w:r>
      <w:r w:rsidR="006D55E2">
        <w:t xml:space="preserve"> </w:t>
      </w:r>
      <w:r w:rsidR="0085119E">
        <w:t>Z założenia liczba projektów była również większa w przypadku inwestycji, które wiązały się z niższymi nakładami finansowymi</w:t>
      </w:r>
      <w:r w:rsidR="00B01899">
        <w:t>, a co za tym idzie – wymaganym niższym wkładem własnym</w:t>
      </w:r>
      <w:r w:rsidR="0085119E">
        <w:t>.</w:t>
      </w:r>
      <w:r w:rsidR="00A714C1">
        <w:t xml:space="preserve"> Wpływa to na wyższą liczbę projektów realizowanych z EFS, w stosunku do bardziej kosztownych projektów infrastrukturalnych (EFRR).</w:t>
      </w:r>
    </w:p>
    <w:p w14:paraId="2A071BE9" w14:textId="77777777" w:rsidR="00A714C1" w:rsidRDefault="00A714C1" w:rsidP="00DF64C7">
      <w:pPr>
        <w:jc w:val="left"/>
      </w:pPr>
      <w:r>
        <w:t>Warto również zwrócić uwagę, że najwyższa liczba złożonych wniosków przypadła na Poddziałanie 11.1.4. Jednocześnie w tym przypadku zidentyfikowano najwyższą rozbieżność, między liczbą złożonych wniosków, a faktycznie przyjętą do dofinansowania. Można więc wnosić o występowaniu dalszego, wysokiego zapotrzebowania na wsparcie oferowane w tym zakresie.</w:t>
      </w:r>
      <w:r w:rsidR="0054374B">
        <w:t xml:space="preserve"> Biorąc pod uwagę opinie przedstawicieli IP ZIT, warto byłoby również (w ramach przyszłej perspektywy finansowej) umożliwić realizację tego rodzaju działania w formule ZIT/RIT.</w:t>
      </w:r>
    </w:p>
    <w:p w14:paraId="6DC694AE" w14:textId="0D54FFE6" w:rsidR="00A714C1" w:rsidRDefault="00A714C1" w:rsidP="00DF64C7">
      <w:pPr>
        <w:pStyle w:val="Legenda"/>
        <w:spacing w:line="271" w:lineRule="auto"/>
        <w:jc w:val="left"/>
      </w:pPr>
      <w:r>
        <w:t xml:space="preserve">Tabela </w:t>
      </w:r>
      <w:r>
        <w:rPr>
          <w:noProof/>
        </w:rPr>
        <w:fldChar w:fldCharType="begin"/>
      </w:r>
      <w:r>
        <w:rPr>
          <w:noProof/>
        </w:rPr>
        <w:instrText xml:space="preserve"> SEQ Tabela \* ARABIC </w:instrText>
      </w:r>
      <w:r>
        <w:rPr>
          <w:noProof/>
        </w:rPr>
        <w:fldChar w:fldCharType="separate"/>
      </w:r>
      <w:r w:rsidR="00A8147E">
        <w:rPr>
          <w:noProof/>
        </w:rPr>
        <w:t>33</w:t>
      </w:r>
      <w:r>
        <w:rPr>
          <w:noProof/>
        </w:rPr>
        <w:fldChar w:fldCharType="end"/>
      </w:r>
      <w:r>
        <w:t>. Dominujące typy działań w ramach OP XI i XII RPO WSL 2014-2020</w:t>
      </w:r>
    </w:p>
    <w:tbl>
      <w:tblPr>
        <w:tblStyle w:val="redniasiatka3ak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ominujące typy działań w ramach OP XI i XII RPO WSL 2014-2020"/>
        <w:tblDescription w:val="Tabela przedstawia dominujące typy działań w ramach OP XI i XII RPO WSL 2014-2020, w tym dane dotyczące liczby złożonych wniosków oraz wniosków przyjętych do dofinansowania w ramach określonych typów działań."/>
      </w:tblPr>
      <w:tblGrid>
        <w:gridCol w:w="1526"/>
        <w:gridCol w:w="4678"/>
        <w:gridCol w:w="1275"/>
        <w:gridCol w:w="1809"/>
      </w:tblGrid>
      <w:tr w:rsidR="00A714C1" w:rsidRPr="00806E3D" w14:paraId="080FA77A" w14:textId="77777777" w:rsidTr="00E24BD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526" w:type="dxa"/>
          </w:tcPr>
          <w:p w14:paraId="7642CBA6" w14:textId="77777777" w:rsidR="00A714C1" w:rsidRPr="00806E3D" w:rsidRDefault="00A714C1" w:rsidP="00DF64C7">
            <w:pPr>
              <w:jc w:val="left"/>
              <w:rPr>
                <w:sz w:val="19"/>
                <w:szCs w:val="19"/>
              </w:rPr>
            </w:pPr>
            <w:r w:rsidRPr="00806E3D">
              <w:rPr>
                <w:sz w:val="19"/>
                <w:szCs w:val="19"/>
              </w:rPr>
              <w:t>OP, Działania, Poddziałanie</w:t>
            </w:r>
          </w:p>
        </w:tc>
        <w:tc>
          <w:tcPr>
            <w:tcW w:w="4678" w:type="dxa"/>
          </w:tcPr>
          <w:p w14:paraId="7B8B83A1" w14:textId="77777777" w:rsidR="00A714C1" w:rsidRPr="00806E3D" w:rsidRDefault="00A714C1" w:rsidP="00DF64C7">
            <w:pPr>
              <w:jc w:val="left"/>
              <w:cnfStyle w:val="100000000000" w:firstRow="1" w:lastRow="0" w:firstColumn="0" w:lastColumn="0" w:oddVBand="0" w:evenVBand="0" w:oddHBand="0" w:evenHBand="0" w:firstRowFirstColumn="0" w:firstRowLastColumn="0" w:lastRowFirstColumn="0" w:lastRowLastColumn="0"/>
              <w:rPr>
                <w:sz w:val="19"/>
                <w:szCs w:val="19"/>
              </w:rPr>
            </w:pPr>
            <w:r w:rsidRPr="00806E3D">
              <w:rPr>
                <w:sz w:val="19"/>
                <w:szCs w:val="19"/>
              </w:rPr>
              <w:t xml:space="preserve">Dominujący typ </w:t>
            </w:r>
            <w:r w:rsidR="00656E6E">
              <w:rPr>
                <w:sz w:val="19"/>
                <w:szCs w:val="19"/>
              </w:rPr>
              <w:t>projektów</w:t>
            </w:r>
          </w:p>
        </w:tc>
        <w:tc>
          <w:tcPr>
            <w:tcW w:w="1275" w:type="dxa"/>
          </w:tcPr>
          <w:p w14:paraId="3245C015" w14:textId="77777777" w:rsidR="00A714C1" w:rsidRPr="00806E3D" w:rsidRDefault="00A714C1" w:rsidP="00DF64C7">
            <w:pPr>
              <w:jc w:val="left"/>
              <w:cnfStyle w:val="100000000000" w:firstRow="1" w:lastRow="0" w:firstColumn="0" w:lastColumn="0" w:oddVBand="0" w:evenVBand="0" w:oddHBand="0" w:evenHBand="0" w:firstRowFirstColumn="0" w:firstRowLastColumn="0" w:lastRowFirstColumn="0" w:lastRowLastColumn="0"/>
              <w:rPr>
                <w:sz w:val="19"/>
                <w:szCs w:val="19"/>
              </w:rPr>
            </w:pPr>
            <w:r w:rsidRPr="00806E3D">
              <w:rPr>
                <w:sz w:val="19"/>
                <w:szCs w:val="19"/>
              </w:rPr>
              <w:t>Liczba złożonych wniosków</w:t>
            </w:r>
          </w:p>
        </w:tc>
        <w:tc>
          <w:tcPr>
            <w:tcW w:w="1809" w:type="dxa"/>
          </w:tcPr>
          <w:p w14:paraId="38E6C490" w14:textId="77777777" w:rsidR="00A714C1" w:rsidRPr="00806E3D" w:rsidRDefault="00A714C1" w:rsidP="00DF64C7">
            <w:pPr>
              <w:jc w:val="left"/>
              <w:cnfStyle w:val="100000000000" w:firstRow="1" w:lastRow="0" w:firstColumn="0" w:lastColumn="0" w:oddVBand="0" w:evenVBand="0" w:oddHBand="0" w:evenHBand="0" w:firstRowFirstColumn="0" w:firstRowLastColumn="0" w:lastRowFirstColumn="0" w:lastRowLastColumn="0"/>
              <w:rPr>
                <w:sz w:val="19"/>
                <w:szCs w:val="19"/>
              </w:rPr>
            </w:pPr>
            <w:r w:rsidRPr="00806E3D">
              <w:rPr>
                <w:sz w:val="19"/>
                <w:szCs w:val="19"/>
              </w:rPr>
              <w:t>Liczba wniosków przyjętych do dofinansowania</w:t>
            </w:r>
          </w:p>
        </w:tc>
      </w:tr>
      <w:tr w:rsidR="00A714C1" w:rsidRPr="00806E3D" w14:paraId="00C84579" w14:textId="77777777" w:rsidTr="00A714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14:paraId="5B989AA8" w14:textId="77777777" w:rsidR="00A714C1" w:rsidRPr="00806E3D" w:rsidRDefault="00A714C1" w:rsidP="00DF64C7">
            <w:pPr>
              <w:jc w:val="left"/>
              <w:rPr>
                <w:rFonts w:cs="Arial"/>
                <w:sz w:val="19"/>
                <w:szCs w:val="19"/>
              </w:rPr>
            </w:pPr>
            <w:r w:rsidRPr="00806E3D">
              <w:rPr>
                <w:rFonts w:cs="Arial"/>
                <w:sz w:val="19"/>
                <w:szCs w:val="19"/>
              </w:rPr>
              <w:t>OP XI, Działanie 11.1, Poddziałanie 11.1.3</w:t>
            </w:r>
          </w:p>
        </w:tc>
        <w:tc>
          <w:tcPr>
            <w:tcW w:w="4678" w:type="dxa"/>
          </w:tcPr>
          <w:p w14:paraId="087206BC" w14:textId="77777777" w:rsidR="00A714C1" w:rsidRPr="00806E3D" w:rsidRDefault="00A714C1" w:rsidP="00DF64C7">
            <w:pPr>
              <w:jc w:val="left"/>
              <w:cnfStyle w:val="000000100000" w:firstRow="0" w:lastRow="0" w:firstColumn="0" w:lastColumn="0" w:oddVBand="0" w:evenVBand="0" w:oddHBand="1" w:evenHBand="0" w:firstRowFirstColumn="0" w:firstRowLastColumn="0" w:lastRowFirstColumn="0" w:lastRowLastColumn="0"/>
              <w:rPr>
                <w:sz w:val="19"/>
                <w:szCs w:val="19"/>
              </w:rPr>
            </w:pPr>
            <w:r w:rsidRPr="00806E3D">
              <w:rPr>
                <w:rFonts w:eastAsia="Times New Roman" w:cs="Arial"/>
                <w:color w:val="000000"/>
                <w:sz w:val="19"/>
                <w:szCs w:val="19"/>
                <w:lang w:eastAsia="pl-PL"/>
              </w:rPr>
              <w:t xml:space="preserve">(1) Programy zapewniania dostępu do wysokiej jakości edukacji przedszkolnej, zwiększające liczbę miejsc wychowania przedszkolnego poprzez utworzenie nowych miejsc (w tym dostosowanie ich do potrzeb dzieci </w:t>
            </w:r>
            <w:r w:rsidRPr="00806E3D">
              <w:rPr>
                <w:rFonts w:cs="Arial"/>
                <w:sz w:val="19"/>
                <w:szCs w:val="19"/>
              </w:rPr>
              <w:t>z niepełnosprawnościami</w:t>
            </w:r>
            <w:r w:rsidRPr="00806E3D">
              <w:rPr>
                <w:rFonts w:eastAsia="Times New Roman" w:cs="Arial"/>
                <w:color w:val="000000"/>
                <w:sz w:val="19"/>
                <w:szCs w:val="19"/>
                <w:lang w:eastAsia="pl-PL"/>
              </w:rPr>
              <w:t>) oraz podnoszące jakość edukacji, obejmujące m.in. adaptację pomieszczeń i doposażenie placówek w pomoce dydaktyczne oraz organizację zajęć dodatkowych.</w:t>
            </w:r>
          </w:p>
        </w:tc>
        <w:tc>
          <w:tcPr>
            <w:tcW w:w="1275" w:type="dxa"/>
          </w:tcPr>
          <w:p w14:paraId="19791CC3" w14:textId="77777777" w:rsidR="00A714C1" w:rsidRPr="00806E3D" w:rsidRDefault="00A714C1" w:rsidP="003E5E36">
            <w:pPr>
              <w:jc w:val="right"/>
              <w:cnfStyle w:val="000000100000" w:firstRow="0" w:lastRow="0" w:firstColumn="0" w:lastColumn="0" w:oddVBand="0" w:evenVBand="0" w:oddHBand="1" w:evenHBand="0" w:firstRowFirstColumn="0" w:firstRowLastColumn="0" w:lastRowFirstColumn="0" w:lastRowLastColumn="0"/>
              <w:rPr>
                <w:sz w:val="19"/>
                <w:szCs w:val="19"/>
              </w:rPr>
            </w:pPr>
            <w:r w:rsidRPr="00806E3D">
              <w:rPr>
                <w:sz w:val="19"/>
                <w:szCs w:val="19"/>
              </w:rPr>
              <w:t>264</w:t>
            </w:r>
          </w:p>
        </w:tc>
        <w:tc>
          <w:tcPr>
            <w:tcW w:w="1809" w:type="dxa"/>
          </w:tcPr>
          <w:p w14:paraId="56511CBC" w14:textId="77777777" w:rsidR="00A714C1" w:rsidRPr="00806E3D" w:rsidRDefault="00A714C1" w:rsidP="003E5E36">
            <w:pPr>
              <w:jc w:val="right"/>
              <w:cnfStyle w:val="000000100000" w:firstRow="0" w:lastRow="0" w:firstColumn="0" w:lastColumn="0" w:oddVBand="0" w:evenVBand="0" w:oddHBand="1" w:evenHBand="0" w:firstRowFirstColumn="0" w:firstRowLastColumn="0" w:lastRowFirstColumn="0" w:lastRowLastColumn="0"/>
              <w:rPr>
                <w:sz w:val="19"/>
                <w:szCs w:val="19"/>
              </w:rPr>
            </w:pPr>
            <w:r w:rsidRPr="00806E3D">
              <w:rPr>
                <w:sz w:val="19"/>
                <w:szCs w:val="19"/>
              </w:rPr>
              <w:t>115</w:t>
            </w:r>
          </w:p>
        </w:tc>
      </w:tr>
      <w:tr w:rsidR="00A714C1" w:rsidRPr="00806E3D" w14:paraId="549A5195" w14:textId="77777777" w:rsidTr="00A714C1">
        <w:trPr>
          <w:trHeight w:val="340"/>
        </w:trPr>
        <w:tc>
          <w:tcPr>
            <w:cnfStyle w:val="001000000000" w:firstRow="0" w:lastRow="0" w:firstColumn="1" w:lastColumn="0" w:oddVBand="0" w:evenVBand="0" w:oddHBand="0" w:evenHBand="0" w:firstRowFirstColumn="0" w:firstRowLastColumn="0" w:lastRowFirstColumn="0" w:lastRowLastColumn="0"/>
            <w:tcW w:w="1526" w:type="dxa"/>
          </w:tcPr>
          <w:p w14:paraId="1E1DD906" w14:textId="77777777" w:rsidR="00A714C1" w:rsidRPr="00806E3D" w:rsidRDefault="00A714C1" w:rsidP="00DF64C7">
            <w:pPr>
              <w:jc w:val="left"/>
              <w:rPr>
                <w:rFonts w:cs="Arial"/>
                <w:sz w:val="19"/>
                <w:szCs w:val="19"/>
              </w:rPr>
            </w:pPr>
            <w:r w:rsidRPr="00806E3D">
              <w:rPr>
                <w:rFonts w:cs="Arial"/>
                <w:sz w:val="19"/>
                <w:szCs w:val="19"/>
              </w:rPr>
              <w:t>OP XI, Działanie 11.1, Poddziałanie 11.1.4</w:t>
            </w:r>
          </w:p>
        </w:tc>
        <w:tc>
          <w:tcPr>
            <w:tcW w:w="4678" w:type="dxa"/>
          </w:tcPr>
          <w:p w14:paraId="7A1B7925" w14:textId="77777777" w:rsidR="00A714C1" w:rsidRPr="00806E3D" w:rsidRDefault="00A714C1" w:rsidP="00DF64C7">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806E3D">
              <w:rPr>
                <w:rFonts w:cs="Arial"/>
                <w:sz w:val="19"/>
                <w:szCs w:val="19"/>
              </w:rPr>
              <w:t>(1) Kształtowanie kompetencji i umiejętności uczniów na potrzeby rynku pracy.</w:t>
            </w:r>
          </w:p>
          <w:p w14:paraId="0B036E1A" w14:textId="77777777" w:rsidR="00A714C1" w:rsidRPr="00806E3D" w:rsidRDefault="00A714C1" w:rsidP="00DF64C7">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275" w:type="dxa"/>
          </w:tcPr>
          <w:p w14:paraId="1DA39BA9" w14:textId="77777777" w:rsidR="00A714C1" w:rsidRPr="00806E3D" w:rsidRDefault="00A714C1" w:rsidP="003E5E36">
            <w:pPr>
              <w:jc w:val="right"/>
              <w:cnfStyle w:val="000000000000" w:firstRow="0" w:lastRow="0" w:firstColumn="0" w:lastColumn="0" w:oddVBand="0" w:evenVBand="0" w:oddHBand="0" w:evenHBand="0" w:firstRowFirstColumn="0" w:firstRowLastColumn="0" w:lastRowFirstColumn="0" w:lastRowLastColumn="0"/>
              <w:rPr>
                <w:sz w:val="19"/>
                <w:szCs w:val="19"/>
              </w:rPr>
            </w:pPr>
            <w:r w:rsidRPr="00806E3D">
              <w:rPr>
                <w:sz w:val="19"/>
                <w:szCs w:val="19"/>
              </w:rPr>
              <w:t>583</w:t>
            </w:r>
          </w:p>
        </w:tc>
        <w:tc>
          <w:tcPr>
            <w:tcW w:w="1809" w:type="dxa"/>
          </w:tcPr>
          <w:p w14:paraId="28976F6C" w14:textId="77777777" w:rsidR="00A714C1" w:rsidRPr="00806E3D" w:rsidRDefault="00A714C1" w:rsidP="003E5E36">
            <w:pPr>
              <w:jc w:val="right"/>
              <w:cnfStyle w:val="000000000000" w:firstRow="0" w:lastRow="0" w:firstColumn="0" w:lastColumn="0" w:oddVBand="0" w:evenVBand="0" w:oddHBand="0" w:evenHBand="0" w:firstRowFirstColumn="0" w:firstRowLastColumn="0" w:lastRowFirstColumn="0" w:lastRowLastColumn="0"/>
              <w:rPr>
                <w:sz w:val="19"/>
                <w:szCs w:val="19"/>
              </w:rPr>
            </w:pPr>
            <w:r w:rsidRPr="00806E3D">
              <w:rPr>
                <w:sz w:val="19"/>
                <w:szCs w:val="19"/>
              </w:rPr>
              <w:t>224</w:t>
            </w:r>
          </w:p>
        </w:tc>
      </w:tr>
      <w:tr w:rsidR="00A714C1" w:rsidRPr="00806E3D" w14:paraId="043B607B" w14:textId="77777777" w:rsidTr="00A714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14:paraId="3F38A8AE" w14:textId="77777777" w:rsidR="00A714C1" w:rsidRPr="00806E3D" w:rsidRDefault="00A714C1" w:rsidP="00DF64C7">
            <w:pPr>
              <w:jc w:val="left"/>
              <w:rPr>
                <w:sz w:val="19"/>
                <w:szCs w:val="19"/>
              </w:rPr>
            </w:pPr>
            <w:r w:rsidRPr="00806E3D">
              <w:rPr>
                <w:rFonts w:cs="Arial"/>
                <w:sz w:val="19"/>
                <w:szCs w:val="19"/>
              </w:rPr>
              <w:t>OP XI, Działanie 11.1, Poddziałanie 11.1.4</w:t>
            </w:r>
          </w:p>
        </w:tc>
        <w:tc>
          <w:tcPr>
            <w:tcW w:w="4678" w:type="dxa"/>
          </w:tcPr>
          <w:p w14:paraId="7BABF618" w14:textId="77777777" w:rsidR="00A714C1" w:rsidRPr="00806E3D" w:rsidRDefault="00A714C1" w:rsidP="00DF64C7">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806E3D">
              <w:rPr>
                <w:rFonts w:cs="Arial"/>
                <w:sz w:val="19"/>
                <w:szCs w:val="19"/>
              </w:rPr>
              <w:t>(2) Tworzenie w szkołach warunków do nauczania eksperymentalnego.</w:t>
            </w:r>
          </w:p>
          <w:p w14:paraId="0F0D0396" w14:textId="77777777" w:rsidR="00A714C1" w:rsidRPr="00806E3D" w:rsidRDefault="00A714C1" w:rsidP="00DF64C7">
            <w:pPr>
              <w:jc w:val="left"/>
              <w:cnfStyle w:val="000000100000" w:firstRow="0" w:lastRow="0" w:firstColumn="0" w:lastColumn="0" w:oddVBand="0" w:evenVBand="0" w:oddHBand="1" w:evenHBand="0" w:firstRowFirstColumn="0" w:firstRowLastColumn="0" w:lastRowFirstColumn="0" w:lastRowLastColumn="0"/>
              <w:rPr>
                <w:sz w:val="19"/>
                <w:szCs w:val="19"/>
              </w:rPr>
            </w:pPr>
          </w:p>
        </w:tc>
        <w:tc>
          <w:tcPr>
            <w:tcW w:w="1275" w:type="dxa"/>
          </w:tcPr>
          <w:p w14:paraId="014F578E" w14:textId="77777777" w:rsidR="00A714C1" w:rsidRPr="00806E3D" w:rsidRDefault="00A714C1" w:rsidP="003E5E36">
            <w:pPr>
              <w:jc w:val="right"/>
              <w:cnfStyle w:val="000000100000" w:firstRow="0" w:lastRow="0" w:firstColumn="0" w:lastColumn="0" w:oddVBand="0" w:evenVBand="0" w:oddHBand="1" w:evenHBand="0" w:firstRowFirstColumn="0" w:firstRowLastColumn="0" w:lastRowFirstColumn="0" w:lastRowLastColumn="0"/>
              <w:rPr>
                <w:sz w:val="19"/>
                <w:szCs w:val="19"/>
              </w:rPr>
            </w:pPr>
            <w:r w:rsidRPr="00806E3D">
              <w:rPr>
                <w:sz w:val="19"/>
                <w:szCs w:val="19"/>
              </w:rPr>
              <w:t>90</w:t>
            </w:r>
          </w:p>
        </w:tc>
        <w:tc>
          <w:tcPr>
            <w:tcW w:w="1809" w:type="dxa"/>
          </w:tcPr>
          <w:p w14:paraId="5BDE8FB1" w14:textId="77777777" w:rsidR="00A714C1" w:rsidRPr="00806E3D" w:rsidRDefault="00A714C1" w:rsidP="003E5E36">
            <w:pPr>
              <w:jc w:val="right"/>
              <w:cnfStyle w:val="000000100000" w:firstRow="0" w:lastRow="0" w:firstColumn="0" w:lastColumn="0" w:oddVBand="0" w:evenVBand="0" w:oddHBand="1" w:evenHBand="0" w:firstRowFirstColumn="0" w:firstRowLastColumn="0" w:lastRowFirstColumn="0" w:lastRowLastColumn="0"/>
              <w:rPr>
                <w:sz w:val="19"/>
                <w:szCs w:val="19"/>
              </w:rPr>
            </w:pPr>
            <w:r w:rsidRPr="00806E3D">
              <w:rPr>
                <w:sz w:val="19"/>
                <w:szCs w:val="19"/>
              </w:rPr>
              <w:t>48</w:t>
            </w:r>
          </w:p>
        </w:tc>
      </w:tr>
      <w:tr w:rsidR="00A714C1" w:rsidRPr="00806E3D" w14:paraId="4D099A23" w14:textId="77777777" w:rsidTr="00A714C1">
        <w:trPr>
          <w:trHeight w:val="340"/>
        </w:trPr>
        <w:tc>
          <w:tcPr>
            <w:cnfStyle w:val="001000000000" w:firstRow="0" w:lastRow="0" w:firstColumn="1" w:lastColumn="0" w:oddVBand="0" w:evenVBand="0" w:oddHBand="0" w:evenHBand="0" w:firstRowFirstColumn="0" w:firstRowLastColumn="0" w:lastRowFirstColumn="0" w:lastRowLastColumn="0"/>
            <w:tcW w:w="1526" w:type="dxa"/>
          </w:tcPr>
          <w:p w14:paraId="74F11231" w14:textId="77777777" w:rsidR="00A714C1" w:rsidRPr="00806E3D" w:rsidRDefault="00A714C1" w:rsidP="00DF64C7">
            <w:pPr>
              <w:jc w:val="left"/>
              <w:rPr>
                <w:sz w:val="19"/>
                <w:szCs w:val="19"/>
              </w:rPr>
            </w:pPr>
            <w:r w:rsidRPr="00806E3D">
              <w:rPr>
                <w:rFonts w:cs="Arial"/>
                <w:sz w:val="19"/>
                <w:szCs w:val="19"/>
              </w:rPr>
              <w:t>OP XI, Działanie 11.1, Poddziałanie 11.1.4</w:t>
            </w:r>
          </w:p>
        </w:tc>
        <w:tc>
          <w:tcPr>
            <w:tcW w:w="4678" w:type="dxa"/>
          </w:tcPr>
          <w:p w14:paraId="5F53D4E4" w14:textId="77777777" w:rsidR="00A714C1" w:rsidRPr="00806E3D" w:rsidRDefault="00A714C1" w:rsidP="00DF64C7">
            <w:pPr>
              <w:jc w:val="left"/>
              <w:cnfStyle w:val="000000000000" w:firstRow="0" w:lastRow="0" w:firstColumn="0" w:lastColumn="0" w:oddVBand="0" w:evenVBand="0" w:oddHBand="0" w:evenHBand="0" w:firstRowFirstColumn="0" w:firstRowLastColumn="0" w:lastRowFirstColumn="0" w:lastRowLastColumn="0"/>
              <w:rPr>
                <w:sz w:val="19"/>
                <w:szCs w:val="19"/>
              </w:rPr>
            </w:pPr>
            <w:r w:rsidRPr="00806E3D">
              <w:rPr>
                <w:rFonts w:cs="Arial"/>
                <w:sz w:val="19"/>
                <w:szCs w:val="19"/>
              </w:rPr>
              <w:t>(4) Doskonalenie umiejętności i kompetencji zawodowych nauczycieli w zakresie zgodnym z zaplanowanym wsparciem na rzecz uczniów.</w:t>
            </w:r>
          </w:p>
        </w:tc>
        <w:tc>
          <w:tcPr>
            <w:tcW w:w="1275" w:type="dxa"/>
          </w:tcPr>
          <w:p w14:paraId="2E1B08AB" w14:textId="77777777" w:rsidR="00A714C1" w:rsidRPr="00806E3D" w:rsidRDefault="00A714C1" w:rsidP="003E5E36">
            <w:pPr>
              <w:jc w:val="right"/>
              <w:cnfStyle w:val="000000000000" w:firstRow="0" w:lastRow="0" w:firstColumn="0" w:lastColumn="0" w:oddVBand="0" w:evenVBand="0" w:oddHBand="0" w:evenHBand="0" w:firstRowFirstColumn="0" w:firstRowLastColumn="0" w:lastRowFirstColumn="0" w:lastRowLastColumn="0"/>
              <w:rPr>
                <w:sz w:val="19"/>
                <w:szCs w:val="19"/>
              </w:rPr>
            </w:pPr>
            <w:r w:rsidRPr="00806E3D">
              <w:rPr>
                <w:sz w:val="19"/>
                <w:szCs w:val="19"/>
              </w:rPr>
              <w:t>478</w:t>
            </w:r>
          </w:p>
        </w:tc>
        <w:tc>
          <w:tcPr>
            <w:tcW w:w="1809" w:type="dxa"/>
          </w:tcPr>
          <w:p w14:paraId="5E2859CB" w14:textId="77777777" w:rsidR="00A714C1" w:rsidRPr="00806E3D" w:rsidRDefault="00A714C1" w:rsidP="003E5E36">
            <w:pPr>
              <w:jc w:val="right"/>
              <w:cnfStyle w:val="000000000000" w:firstRow="0" w:lastRow="0" w:firstColumn="0" w:lastColumn="0" w:oddVBand="0" w:evenVBand="0" w:oddHBand="0" w:evenHBand="0" w:firstRowFirstColumn="0" w:firstRowLastColumn="0" w:lastRowFirstColumn="0" w:lastRowLastColumn="0"/>
              <w:rPr>
                <w:sz w:val="19"/>
                <w:szCs w:val="19"/>
              </w:rPr>
            </w:pPr>
            <w:r w:rsidRPr="00806E3D">
              <w:rPr>
                <w:sz w:val="19"/>
                <w:szCs w:val="19"/>
              </w:rPr>
              <w:t>214</w:t>
            </w:r>
          </w:p>
        </w:tc>
      </w:tr>
      <w:tr w:rsidR="00A714C1" w:rsidRPr="00806E3D" w14:paraId="3254A86F" w14:textId="77777777" w:rsidTr="00A714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14:paraId="046AFEF2" w14:textId="77777777" w:rsidR="00A714C1" w:rsidRPr="00806E3D" w:rsidRDefault="00A714C1" w:rsidP="00DF64C7">
            <w:pPr>
              <w:jc w:val="left"/>
              <w:rPr>
                <w:sz w:val="19"/>
                <w:szCs w:val="19"/>
              </w:rPr>
            </w:pPr>
            <w:r w:rsidRPr="00806E3D">
              <w:rPr>
                <w:rFonts w:cs="Arial"/>
                <w:sz w:val="19"/>
                <w:szCs w:val="19"/>
              </w:rPr>
              <w:t>OP XI, Działanie 11.2, Poddziałanie 11.2.1</w:t>
            </w:r>
          </w:p>
        </w:tc>
        <w:tc>
          <w:tcPr>
            <w:tcW w:w="4678" w:type="dxa"/>
          </w:tcPr>
          <w:p w14:paraId="17C32F4E" w14:textId="77777777" w:rsidR="00A714C1" w:rsidRPr="00806E3D" w:rsidRDefault="00A714C1" w:rsidP="00DF64C7">
            <w:pPr>
              <w:jc w:val="left"/>
              <w:cnfStyle w:val="000000100000" w:firstRow="0" w:lastRow="0" w:firstColumn="0" w:lastColumn="0" w:oddVBand="0" w:evenVBand="0" w:oddHBand="1" w:evenHBand="0" w:firstRowFirstColumn="0" w:firstRowLastColumn="0" w:lastRowFirstColumn="0" w:lastRowLastColumn="0"/>
              <w:rPr>
                <w:rFonts w:cs="Arial"/>
                <w:sz w:val="19"/>
                <w:szCs w:val="19"/>
              </w:rPr>
            </w:pPr>
            <w:r w:rsidRPr="00806E3D">
              <w:rPr>
                <w:rFonts w:eastAsia="Times New Roman" w:cs="Arial"/>
                <w:sz w:val="19"/>
                <w:szCs w:val="19"/>
                <w:lang w:eastAsia="pl-PL"/>
              </w:rPr>
              <w:t>(1) Poprawa jakości edukacji w szkołach i placówkach prowadzących kształcenie zawodowe m.in. poprzez doskonalenie zawodowe nauczycieli i instruktorów praktycznej nauki zawodu, uzyskanie kwalifikacji zawodowych przez uczniów oraz rozwój współpracy szkół z otoczeniem.</w:t>
            </w:r>
          </w:p>
        </w:tc>
        <w:tc>
          <w:tcPr>
            <w:tcW w:w="1275" w:type="dxa"/>
          </w:tcPr>
          <w:p w14:paraId="35FA8F50" w14:textId="77777777" w:rsidR="00A714C1" w:rsidRPr="00806E3D" w:rsidRDefault="00A714C1" w:rsidP="003E5E36">
            <w:pPr>
              <w:jc w:val="right"/>
              <w:cnfStyle w:val="000000100000" w:firstRow="0" w:lastRow="0" w:firstColumn="0" w:lastColumn="0" w:oddVBand="0" w:evenVBand="0" w:oddHBand="1" w:evenHBand="0" w:firstRowFirstColumn="0" w:firstRowLastColumn="0" w:lastRowFirstColumn="0" w:lastRowLastColumn="0"/>
              <w:rPr>
                <w:sz w:val="19"/>
                <w:szCs w:val="19"/>
              </w:rPr>
            </w:pPr>
            <w:r w:rsidRPr="00806E3D">
              <w:rPr>
                <w:sz w:val="19"/>
                <w:szCs w:val="19"/>
              </w:rPr>
              <w:t>82</w:t>
            </w:r>
          </w:p>
        </w:tc>
        <w:tc>
          <w:tcPr>
            <w:tcW w:w="1809" w:type="dxa"/>
          </w:tcPr>
          <w:p w14:paraId="6858D0F1" w14:textId="77777777" w:rsidR="00A714C1" w:rsidRPr="00806E3D" w:rsidRDefault="00A714C1" w:rsidP="003E5E36">
            <w:pPr>
              <w:jc w:val="right"/>
              <w:cnfStyle w:val="000000100000" w:firstRow="0" w:lastRow="0" w:firstColumn="0" w:lastColumn="0" w:oddVBand="0" w:evenVBand="0" w:oddHBand="1" w:evenHBand="0" w:firstRowFirstColumn="0" w:firstRowLastColumn="0" w:lastRowFirstColumn="0" w:lastRowLastColumn="0"/>
              <w:rPr>
                <w:sz w:val="19"/>
                <w:szCs w:val="19"/>
              </w:rPr>
            </w:pPr>
            <w:r w:rsidRPr="00806E3D">
              <w:rPr>
                <w:sz w:val="19"/>
                <w:szCs w:val="19"/>
              </w:rPr>
              <w:t>50</w:t>
            </w:r>
          </w:p>
        </w:tc>
      </w:tr>
      <w:tr w:rsidR="00A714C1" w:rsidRPr="00806E3D" w14:paraId="07B8D21C" w14:textId="77777777" w:rsidTr="00A714C1">
        <w:trPr>
          <w:trHeight w:val="340"/>
        </w:trPr>
        <w:tc>
          <w:tcPr>
            <w:cnfStyle w:val="001000000000" w:firstRow="0" w:lastRow="0" w:firstColumn="1" w:lastColumn="0" w:oddVBand="0" w:evenVBand="0" w:oddHBand="0" w:evenHBand="0" w:firstRowFirstColumn="0" w:firstRowLastColumn="0" w:lastRowFirstColumn="0" w:lastRowLastColumn="0"/>
            <w:tcW w:w="1526" w:type="dxa"/>
          </w:tcPr>
          <w:p w14:paraId="74CE7FF7" w14:textId="77777777" w:rsidR="00A714C1" w:rsidRPr="00806E3D" w:rsidRDefault="00A714C1" w:rsidP="00DF64C7">
            <w:pPr>
              <w:jc w:val="left"/>
              <w:rPr>
                <w:sz w:val="19"/>
                <w:szCs w:val="19"/>
              </w:rPr>
            </w:pPr>
            <w:r w:rsidRPr="00806E3D">
              <w:rPr>
                <w:rFonts w:cs="Arial"/>
                <w:sz w:val="19"/>
                <w:szCs w:val="19"/>
              </w:rPr>
              <w:t>OP XI, Działanie 11.2, Poddziałanie 11.2.1</w:t>
            </w:r>
          </w:p>
        </w:tc>
        <w:tc>
          <w:tcPr>
            <w:tcW w:w="4678" w:type="dxa"/>
          </w:tcPr>
          <w:p w14:paraId="3110182C" w14:textId="77777777" w:rsidR="00A714C1" w:rsidRPr="00806E3D" w:rsidRDefault="00A714C1" w:rsidP="00DF64C7">
            <w:pPr>
              <w:jc w:val="left"/>
              <w:cnfStyle w:val="000000000000" w:firstRow="0" w:lastRow="0" w:firstColumn="0" w:lastColumn="0" w:oddVBand="0" w:evenVBand="0" w:oddHBand="0" w:evenHBand="0" w:firstRowFirstColumn="0" w:firstRowLastColumn="0" w:lastRowFirstColumn="0" w:lastRowLastColumn="0"/>
              <w:rPr>
                <w:rFonts w:cs="Arial"/>
                <w:sz w:val="19"/>
                <w:szCs w:val="19"/>
              </w:rPr>
            </w:pPr>
            <w:r w:rsidRPr="00806E3D">
              <w:rPr>
                <w:rFonts w:cs="Arial"/>
                <w:sz w:val="19"/>
                <w:szCs w:val="19"/>
              </w:rPr>
              <w:t>(4) Realizacja działań w zakresie stworzenia w szkole i placówkach prowadzących kształcenie zawodowe warunków kształcenia zawodu, odzwierciedlających naturalne warunki pracy.</w:t>
            </w:r>
          </w:p>
        </w:tc>
        <w:tc>
          <w:tcPr>
            <w:tcW w:w="1275" w:type="dxa"/>
          </w:tcPr>
          <w:p w14:paraId="517C2A1F" w14:textId="77777777" w:rsidR="00A714C1" w:rsidRPr="00806E3D" w:rsidRDefault="00A714C1" w:rsidP="003E5E36">
            <w:pPr>
              <w:jc w:val="right"/>
              <w:cnfStyle w:val="000000000000" w:firstRow="0" w:lastRow="0" w:firstColumn="0" w:lastColumn="0" w:oddVBand="0" w:evenVBand="0" w:oddHBand="0" w:evenHBand="0" w:firstRowFirstColumn="0" w:firstRowLastColumn="0" w:lastRowFirstColumn="0" w:lastRowLastColumn="0"/>
              <w:rPr>
                <w:sz w:val="19"/>
                <w:szCs w:val="19"/>
              </w:rPr>
            </w:pPr>
            <w:r w:rsidRPr="00806E3D">
              <w:rPr>
                <w:sz w:val="19"/>
                <w:szCs w:val="19"/>
              </w:rPr>
              <w:t>62</w:t>
            </w:r>
          </w:p>
        </w:tc>
        <w:tc>
          <w:tcPr>
            <w:tcW w:w="1809" w:type="dxa"/>
          </w:tcPr>
          <w:p w14:paraId="2368D4CF" w14:textId="77777777" w:rsidR="00A714C1" w:rsidRPr="00806E3D" w:rsidRDefault="00A714C1" w:rsidP="003E5E36">
            <w:pPr>
              <w:jc w:val="right"/>
              <w:cnfStyle w:val="000000000000" w:firstRow="0" w:lastRow="0" w:firstColumn="0" w:lastColumn="0" w:oddVBand="0" w:evenVBand="0" w:oddHBand="0" w:evenHBand="0" w:firstRowFirstColumn="0" w:firstRowLastColumn="0" w:lastRowFirstColumn="0" w:lastRowLastColumn="0"/>
              <w:rPr>
                <w:sz w:val="19"/>
                <w:szCs w:val="19"/>
              </w:rPr>
            </w:pPr>
            <w:r w:rsidRPr="00806E3D">
              <w:rPr>
                <w:sz w:val="19"/>
                <w:szCs w:val="19"/>
              </w:rPr>
              <w:t>40</w:t>
            </w:r>
          </w:p>
        </w:tc>
      </w:tr>
      <w:tr w:rsidR="00A714C1" w:rsidRPr="00806E3D" w14:paraId="3AC66C68" w14:textId="77777777" w:rsidTr="00A714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26" w:type="dxa"/>
          </w:tcPr>
          <w:p w14:paraId="58612588" w14:textId="77777777" w:rsidR="00A714C1" w:rsidRPr="00806E3D" w:rsidRDefault="00A714C1" w:rsidP="00DF64C7">
            <w:pPr>
              <w:jc w:val="left"/>
              <w:rPr>
                <w:sz w:val="19"/>
                <w:szCs w:val="19"/>
              </w:rPr>
            </w:pPr>
            <w:r w:rsidRPr="00806E3D">
              <w:rPr>
                <w:rFonts w:cs="Arial"/>
                <w:sz w:val="19"/>
                <w:szCs w:val="19"/>
              </w:rPr>
              <w:t>OP XII, Działanie 12.1, Poddziałanie 12.1.1</w:t>
            </w:r>
          </w:p>
        </w:tc>
        <w:tc>
          <w:tcPr>
            <w:tcW w:w="4678" w:type="dxa"/>
          </w:tcPr>
          <w:p w14:paraId="21E9B670" w14:textId="77777777" w:rsidR="00A714C1" w:rsidRPr="00806E3D" w:rsidRDefault="00A714C1" w:rsidP="00DF64C7">
            <w:pPr>
              <w:jc w:val="left"/>
              <w:cnfStyle w:val="000000100000" w:firstRow="0" w:lastRow="0" w:firstColumn="0" w:lastColumn="0" w:oddVBand="0" w:evenVBand="0" w:oddHBand="1" w:evenHBand="0" w:firstRowFirstColumn="0" w:firstRowLastColumn="0" w:lastRowFirstColumn="0" w:lastRowLastColumn="0"/>
              <w:rPr>
                <w:sz w:val="19"/>
                <w:szCs w:val="19"/>
              </w:rPr>
            </w:pPr>
            <w:r w:rsidRPr="00806E3D">
              <w:rPr>
                <w:rFonts w:cs="Arial"/>
                <w:sz w:val="19"/>
                <w:szCs w:val="19"/>
              </w:rPr>
              <w:t>(1) Przebudowa, budowa przedszkoli, oddziałów przedszkolnych w szkołach podstawowych i innych form wychowania przedszkolnego wraz z zapewnieniem niezbędnego wyposażenia, w tym przystosowanie do potrzeb osób z niepełnosprawnościami.</w:t>
            </w:r>
          </w:p>
        </w:tc>
        <w:tc>
          <w:tcPr>
            <w:tcW w:w="1275" w:type="dxa"/>
          </w:tcPr>
          <w:p w14:paraId="1E08ACF9" w14:textId="77777777" w:rsidR="00A714C1" w:rsidRPr="00806E3D" w:rsidRDefault="00A714C1" w:rsidP="003E5E36">
            <w:pPr>
              <w:jc w:val="right"/>
              <w:cnfStyle w:val="000000100000" w:firstRow="0" w:lastRow="0" w:firstColumn="0" w:lastColumn="0" w:oddVBand="0" w:evenVBand="0" w:oddHBand="1" w:evenHBand="0" w:firstRowFirstColumn="0" w:firstRowLastColumn="0" w:lastRowFirstColumn="0" w:lastRowLastColumn="0"/>
              <w:rPr>
                <w:sz w:val="19"/>
                <w:szCs w:val="19"/>
              </w:rPr>
            </w:pPr>
            <w:r w:rsidRPr="00806E3D">
              <w:rPr>
                <w:sz w:val="19"/>
                <w:szCs w:val="19"/>
              </w:rPr>
              <w:t>47</w:t>
            </w:r>
          </w:p>
        </w:tc>
        <w:tc>
          <w:tcPr>
            <w:tcW w:w="1809" w:type="dxa"/>
          </w:tcPr>
          <w:p w14:paraId="4DE08E78" w14:textId="77777777" w:rsidR="00A714C1" w:rsidRPr="00806E3D" w:rsidRDefault="00A714C1" w:rsidP="003E5E36">
            <w:pPr>
              <w:jc w:val="right"/>
              <w:cnfStyle w:val="000000100000" w:firstRow="0" w:lastRow="0" w:firstColumn="0" w:lastColumn="0" w:oddVBand="0" w:evenVBand="0" w:oddHBand="1" w:evenHBand="0" w:firstRowFirstColumn="0" w:firstRowLastColumn="0" w:lastRowFirstColumn="0" w:lastRowLastColumn="0"/>
              <w:rPr>
                <w:sz w:val="19"/>
                <w:szCs w:val="19"/>
              </w:rPr>
            </w:pPr>
            <w:r w:rsidRPr="00806E3D">
              <w:rPr>
                <w:sz w:val="19"/>
                <w:szCs w:val="19"/>
              </w:rPr>
              <w:t>36</w:t>
            </w:r>
          </w:p>
        </w:tc>
      </w:tr>
      <w:tr w:rsidR="00A714C1" w:rsidRPr="00806E3D" w14:paraId="5F96548C" w14:textId="77777777" w:rsidTr="00A714C1">
        <w:trPr>
          <w:trHeight w:val="340"/>
        </w:trPr>
        <w:tc>
          <w:tcPr>
            <w:cnfStyle w:val="001000000000" w:firstRow="0" w:lastRow="0" w:firstColumn="1" w:lastColumn="0" w:oddVBand="0" w:evenVBand="0" w:oddHBand="0" w:evenHBand="0" w:firstRowFirstColumn="0" w:firstRowLastColumn="0" w:lastRowFirstColumn="0" w:lastRowLastColumn="0"/>
            <w:tcW w:w="1526" w:type="dxa"/>
          </w:tcPr>
          <w:p w14:paraId="6939B150" w14:textId="77777777" w:rsidR="00A714C1" w:rsidRPr="00806E3D" w:rsidRDefault="00A714C1" w:rsidP="00DF64C7">
            <w:pPr>
              <w:jc w:val="left"/>
              <w:rPr>
                <w:sz w:val="19"/>
                <w:szCs w:val="19"/>
              </w:rPr>
            </w:pPr>
            <w:r w:rsidRPr="00806E3D">
              <w:rPr>
                <w:rFonts w:cs="Arial"/>
                <w:sz w:val="19"/>
                <w:szCs w:val="19"/>
              </w:rPr>
              <w:t>OP XII, Działanie 12.2, Poddziałanie 12.2.1</w:t>
            </w:r>
          </w:p>
        </w:tc>
        <w:tc>
          <w:tcPr>
            <w:tcW w:w="4678" w:type="dxa"/>
          </w:tcPr>
          <w:p w14:paraId="65543A9A" w14:textId="77777777" w:rsidR="00A714C1" w:rsidRPr="00806E3D" w:rsidRDefault="00A714C1" w:rsidP="00DF64C7">
            <w:pPr>
              <w:jc w:val="left"/>
              <w:cnfStyle w:val="000000000000" w:firstRow="0" w:lastRow="0" w:firstColumn="0" w:lastColumn="0" w:oddVBand="0" w:evenVBand="0" w:oddHBand="0" w:evenHBand="0" w:firstRowFirstColumn="0" w:firstRowLastColumn="0" w:lastRowFirstColumn="0" w:lastRowLastColumn="0"/>
              <w:rPr>
                <w:sz w:val="19"/>
                <w:szCs w:val="19"/>
              </w:rPr>
            </w:pPr>
            <w:r w:rsidRPr="00806E3D">
              <w:rPr>
                <w:rFonts w:cs="Arial"/>
                <w:sz w:val="19"/>
                <w:szCs w:val="19"/>
              </w:rPr>
              <w:t>(1) Przebudowa, budowa, remont laboratoriów, sal do praktycznej nauki zawodu wraz z zapewnieniem wyposażenia, w tym przystosowanie do potrzeb osób z niepełnosprawnościami.</w:t>
            </w:r>
          </w:p>
        </w:tc>
        <w:tc>
          <w:tcPr>
            <w:tcW w:w="1275" w:type="dxa"/>
          </w:tcPr>
          <w:p w14:paraId="6B591F67" w14:textId="77777777" w:rsidR="00A714C1" w:rsidRPr="00806E3D" w:rsidRDefault="00A714C1" w:rsidP="003E5E36">
            <w:pPr>
              <w:jc w:val="right"/>
              <w:cnfStyle w:val="000000000000" w:firstRow="0" w:lastRow="0" w:firstColumn="0" w:lastColumn="0" w:oddVBand="0" w:evenVBand="0" w:oddHBand="0" w:evenHBand="0" w:firstRowFirstColumn="0" w:firstRowLastColumn="0" w:lastRowFirstColumn="0" w:lastRowLastColumn="0"/>
              <w:rPr>
                <w:sz w:val="19"/>
                <w:szCs w:val="19"/>
              </w:rPr>
            </w:pPr>
            <w:r w:rsidRPr="00806E3D">
              <w:rPr>
                <w:sz w:val="19"/>
                <w:szCs w:val="19"/>
              </w:rPr>
              <w:t>56</w:t>
            </w:r>
          </w:p>
        </w:tc>
        <w:tc>
          <w:tcPr>
            <w:tcW w:w="1809" w:type="dxa"/>
          </w:tcPr>
          <w:p w14:paraId="55169D1D" w14:textId="77777777" w:rsidR="00A714C1" w:rsidRPr="00806E3D" w:rsidRDefault="00A714C1" w:rsidP="003E5E36">
            <w:pPr>
              <w:jc w:val="right"/>
              <w:cnfStyle w:val="000000000000" w:firstRow="0" w:lastRow="0" w:firstColumn="0" w:lastColumn="0" w:oddVBand="0" w:evenVBand="0" w:oddHBand="0" w:evenHBand="0" w:firstRowFirstColumn="0" w:firstRowLastColumn="0" w:lastRowFirstColumn="0" w:lastRowLastColumn="0"/>
              <w:rPr>
                <w:sz w:val="19"/>
                <w:szCs w:val="19"/>
              </w:rPr>
            </w:pPr>
            <w:r w:rsidRPr="00806E3D">
              <w:rPr>
                <w:sz w:val="19"/>
                <w:szCs w:val="19"/>
              </w:rPr>
              <w:t>39</w:t>
            </w:r>
          </w:p>
        </w:tc>
      </w:tr>
    </w:tbl>
    <w:p w14:paraId="25367818" w14:textId="77777777" w:rsidR="00A714C1" w:rsidRDefault="00A714C1" w:rsidP="00DF64C7">
      <w:pPr>
        <w:pStyle w:val="podpisrdailustracji"/>
        <w:spacing w:line="271" w:lineRule="auto"/>
        <w:jc w:val="left"/>
      </w:pPr>
      <w:r>
        <w:t xml:space="preserve">Źródło: </w:t>
      </w:r>
      <w:r w:rsidRPr="00BA7EB1">
        <w:t>Opracowanie własne EU-Consult Sp. z o.o. na podstawie</w:t>
      </w:r>
      <w:r>
        <w:t xml:space="preserve"> danych SL2014 (data dostępu: 1.10.2019)</w:t>
      </w:r>
    </w:p>
    <w:p w14:paraId="35AA0683" w14:textId="77777777" w:rsidR="00A714C1" w:rsidRDefault="00A714C1" w:rsidP="00DF64C7">
      <w:pPr>
        <w:jc w:val="left"/>
      </w:pPr>
    </w:p>
    <w:p w14:paraId="56C8A89B" w14:textId="77777777" w:rsidR="000C3BE9" w:rsidRDefault="006D55E2" w:rsidP="00DF64C7">
      <w:pPr>
        <w:jc w:val="left"/>
      </w:pPr>
      <w:r>
        <w:t>Zdanie to potwierdzili beneficjenci</w:t>
      </w:r>
      <w:r w:rsidR="005A0BAE">
        <w:t xml:space="preserve"> (badanie TDI)</w:t>
      </w:r>
      <w:r>
        <w:t>, którzy wskazywali, że kwestia wyboru typu i tematyki projektu związana była przede wszystkim z profilem ich dzia</w:t>
      </w:r>
      <w:r w:rsidR="005B5B86">
        <w:t>łalności, a co z tego wynika, z </w:t>
      </w:r>
      <w:r>
        <w:t>potrzeb, jakie s</w:t>
      </w:r>
      <w:r w:rsidR="00233BF6">
        <w:t>ą w tej dziedzinie obserwowane.</w:t>
      </w:r>
      <w:r w:rsidR="005A0BAE">
        <w:t xml:space="preserve"> Pośrednio podobny wniosek wyciągnąć można z analizy wyników badania CAWI/CATI z dyrektorami i nauczycielami wspartych placówek. Badanie potwierdziło uzyskanie pozytywnych efektów wsparcia, które okazało się dopasowane do potrzeb jednostek – co również (jak w badaniu beneficjentów) świadczy o wyborze typu wsparcia związanego z prowadzoną działalnością (determinująca określone potrzeby).</w:t>
      </w:r>
    </w:p>
    <w:p w14:paraId="6AF9140E" w14:textId="77777777" w:rsidR="000C3BE9" w:rsidRDefault="000C3BE9" w:rsidP="00DF64C7">
      <w:pPr>
        <w:jc w:val="left"/>
      </w:pPr>
    </w:p>
    <w:p w14:paraId="70833D71" w14:textId="77777777" w:rsidR="003B41A8" w:rsidRPr="003B41A8" w:rsidRDefault="003B41A8" w:rsidP="00DF64C7">
      <w:pPr>
        <w:jc w:val="left"/>
        <w:rPr>
          <w:rStyle w:val="Odwoanieintensywne"/>
        </w:rPr>
      </w:pPr>
      <w:r w:rsidRPr="003B41A8">
        <w:rPr>
          <w:rStyle w:val="Odwoanieintensywne"/>
        </w:rPr>
        <w:t>Podsumowanie</w:t>
      </w:r>
    </w:p>
    <w:p w14:paraId="600B6171" w14:textId="77777777" w:rsidR="00C82AC2" w:rsidRDefault="00591415" w:rsidP="00DF64C7">
      <w:pPr>
        <w:jc w:val="left"/>
      </w:pPr>
      <w:r>
        <w:t xml:space="preserve">W wyniku przeprowadzonej analizy </w:t>
      </w:r>
      <w:r w:rsidR="002D2561">
        <w:t>zidentyfikowano, iż</w:t>
      </w:r>
      <w:r>
        <w:t xml:space="preserve"> </w:t>
      </w:r>
      <w:r w:rsidR="002D2561">
        <w:t xml:space="preserve">najwyższe wartości w zakresie wybranych do dofinansowania projektów przypadły na poddziałania 11.1.4, 11.3 oraz 12.1.1. </w:t>
      </w:r>
      <w:r w:rsidR="00CE5075">
        <w:t>Warto zwrócić uwagę, że w przypadku niektórych z poddziałań można mówić o wciąż występującym zapotrzebowaniu – o czym świadczy bardzo wysoka wartość projektów niewybranych do dofinansowania. Mowa tu o poddziałaniu 11.4.3, 11.3 oraz 11.1.4 (łączna wartość projektów złożonych, lecz niewybranych do dofinansowania wyniosła ponad 1,07 mld PLN</w:t>
      </w:r>
      <w:r w:rsidR="006F269E">
        <w:t>)</w:t>
      </w:r>
      <w:r w:rsidR="00A714C1">
        <w:t xml:space="preserve">. </w:t>
      </w:r>
      <w:r w:rsidR="00A714C1" w:rsidRPr="00A714C1">
        <w:t xml:space="preserve">Należy </w:t>
      </w:r>
      <w:r w:rsidR="002D2561">
        <w:t xml:space="preserve">również </w:t>
      </w:r>
      <w:r w:rsidR="00A714C1" w:rsidRPr="00A714C1">
        <w:t>zauważyć, że najwyższa liczba złożonych wniosków przypadła na Poddziałanie 11.1.4.</w:t>
      </w:r>
      <w:r w:rsidR="002D2561">
        <w:t xml:space="preserve"> (w zakresie dwóch typów projektów, tj. </w:t>
      </w:r>
      <w:r w:rsidR="00F26396">
        <w:t>kształtowania</w:t>
      </w:r>
      <w:r w:rsidR="002D2561">
        <w:t xml:space="preserve"> kompetencji i umiejętności ucznió</w:t>
      </w:r>
      <w:r w:rsidR="00F26396">
        <w:t>w na potrzeby rynku pracy oraz doskonalenia</w:t>
      </w:r>
      <w:r w:rsidR="002D2561">
        <w:t xml:space="preserve"> umiejętności i kompetencji zawodowych nauczycieli w zakresie zgodnym z zaplanow</w:t>
      </w:r>
      <w:r w:rsidR="00F26396">
        <w:t>anym wsparciem na rzecz uczniów</w:t>
      </w:r>
      <w:r w:rsidR="002D2561">
        <w:t>)</w:t>
      </w:r>
      <w:r w:rsidR="00F26396">
        <w:t>.</w:t>
      </w:r>
      <w:r w:rsidR="00A714C1" w:rsidRPr="00A714C1">
        <w:t xml:space="preserve"> Jednocześnie w tym przypadku zidentyfikowano najwyższą rozbieżność, między liczbą złożonych wniosków, a faktycznie przyjętą do dofinansowania. </w:t>
      </w:r>
      <w:bookmarkStart w:id="96" w:name="_Toc38035017"/>
    </w:p>
    <w:p w14:paraId="1B94C865" w14:textId="77777777" w:rsidR="00C82AC2" w:rsidRDefault="00C82AC2" w:rsidP="00DF64C7">
      <w:pPr>
        <w:jc w:val="left"/>
      </w:pPr>
    </w:p>
    <w:p w14:paraId="08389C76" w14:textId="14C9E420" w:rsidR="00A464CB" w:rsidRPr="006F67BB" w:rsidRDefault="006F67BB" w:rsidP="006F67BB">
      <w:pPr>
        <w:pStyle w:val="Nagwek1"/>
        <w:numPr>
          <w:ilvl w:val="0"/>
          <w:numId w:val="0"/>
        </w:numPr>
        <w:ind w:left="697"/>
        <w:rPr>
          <w:sz w:val="22"/>
          <w:szCs w:val="22"/>
        </w:rPr>
      </w:pPr>
      <w:r w:rsidRPr="006F67BB">
        <w:rPr>
          <w:sz w:val="22"/>
          <w:szCs w:val="22"/>
        </w:rPr>
        <w:t xml:space="preserve">6.2. </w:t>
      </w:r>
      <w:r w:rsidR="00A464CB" w:rsidRPr="006F67BB">
        <w:rPr>
          <w:sz w:val="22"/>
          <w:szCs w:val="22"/>
        </w:rPr>
        <w:t>OBSZAR II. Ocena przyjętych mechanizmów wdrażania</w:t>
      </w:r>
      <w:bookmarkEnd w:id="96"/>
    </w:p>
    <w:p w14:paraId="7ED7001A" w14:textId="77777777" w:rsidR="00A464CB" w:rsidRDefault="00A464CB" w:rsidP="00DF64C7">
      <w:pPr>
        <w:pStyle w:val="Nagwek3"/>
        <w:numPr>
          <w:ilvl w:val="0"/>
          <w:numId w:val="3"/>
        </w:numPr>
        <w:spacing w:line="271" w:lineRule="auto"/>
        <w:ind w:left="426"/>
        <w:jc w:val="left"/>
      </w:pPr>
      <w:bookmarkStart w:id="97" w:name="_Toc24466823"/>
      <w:bookmarkStart w:id="98" w:name="_Toc25664305"/>
      <w:bookmarkStart w:id="99" w:name="_Toc26526286"/>
      <w:bookmarkStart w:id="100" w:name="_Toc38035018"/>
      <w:r w:rsidRPr="00610089">
        <w:t xml:space="preserve">Jak </w:t>
      </w:r>
      <w:r w:rsidRPr="00E24E5D">
        <w:t>należy ocenić komplementarność projektów realizowanych</w:t>
      </w:r>
      <w:r>
        <w:t xml:space="preserve"> w </w:t>
      </w:r>
      <w:r w:rsidRPr="00E24E5D">
        <w:t>ramach OP XI</w:t>
      </w:r>
      <w:r>
        <w:t xml:space="preserve"> i </w:t>
      </w:r>
      <w:r w:rsidRPr="00E24E5D">
        <w:t xml:space="preserve">XII? Czy wymagany mechanizm komplementarności obligatoryjnej projektów </w:t>
      </w:r>
      <w:r w:rsidRPr="00A42CE5">
        <w:t>współfinansowanych</w:t>
      </w:r>
      <w:r>
        <w:t xml:space="preserve"> z </w:t>
      </w:r>
      <w:r w:rsidRPr="00E24E5D">
        <w:t>EFRR</w:t>
      </w:r>
      <w:r>
        <w:t xml:space="preserve"> z </w:t>
      </w:r>
      <w:r w:rsidRPr="00E24E5D">
        <w:t>projektami współfinansowanymi</w:t>
      </w:r>
      <w:r>
        <w:t xml:space="preserve"> z </w:t>
      </w:r>
      <w:r w:rsidRPr="00E24E5D">
        <w:t>EFS skutecznie wpływa na wybór projektów kompleksowo odpowiadających na zidentyfikowane problemy</w:t>
      </w:r>
      <w:r>
        <w:t xml:space="preserve"> i </w:t>
      </w:r>
      <w:r w:rsidRPr="00E24E5D">
        <w:t>rzeczywiście zwiększa realizację celów interwencji?</w:t>
      </w:r>
      <w:bookmarkEnd w:id="97"/>
      <w:bookmarkEnd w:id="98"/>
      <w:bookmarkEnd w:id="99"/>
      <w:bookmarkEnd w:id="100"/>
    </w:p>
    <w:p w14:paraId="192BF037" w14:textId="317A2282" w:rsidR="0043367C" w:rsidRDefault="0043367C" w:rsidP="00DF64C7">
      <w:pPr>
        <w:jc w:val="left"/>
      </w:pPr>
      <w:r>
        <w:t xml:space="preserve">Jak wynika z analizy projektów współfinansowanych ze środków </w:t>
      </w:r>
      <w:r w:rsidR="00B34613">
        <w:t>RPO WSL</w:t>
      </w:r>
      <w:r>
        <w:t xml:space="preserve"> na lata 2014-2020</w:t>
      </w:r>
      <w:r w:rsidR="00B34613">
        <w:t>,</w:t>
      </w:r>
      <w:r>
        <w:t xml:space="preserve"> 65% wszystkich dofinansowanych projektów (OP XI oraz OP XII) charakteryzuje się komplementarnością z innymi</w:t>
      </w:r>
      <w:r w:rsidR="00367F85">
        <w:t xml:space="preserve"> </w:t>
      </w:r>
      <w:r>
        <w:t xml:space="preserve">projektami, natomiast powiązanie celów inicjatyw dofinansowanych z EFS oraz EFRR cechuje 34% projektów, które uzyskały wsparcie. Warto zwrócić uwagę, że jedna trzecia wszystkich dofinansowanych projektów jest zarówno komplementarna z innymi projektami, jak również uwzględnia </w:t>
      </w:r>
      <w:r w:rsidR="00904100">
        <w:t xml:space="preserve">powiązanie między </w:t>
      </w:r>
      <w:r>
        <w:t>EFRR i EFS</w:t>
      </w:r>
      <w:r w:rsidR="00B06405">
        <w:rPr>
          <w:rStyle w:val="Odwoanieprzypisudolnego"/>
        </w:rPr>
        <w:footnoteReference w:id="96"/>
      </w:r>
      <w:r>
        <w:t xml:space="preserve">.  </w:t>
      </w:r>
    </w:p>
    <w:p w14:paraId="45AB30BE" w14:textId="77777777" w:rsidR="0043367C" w:rsidRDefault="0043367C" w:rsidP="00DF64C7">
      <w:pPr>
        <w:jc w:val="left"/>
      </w:pPr>
      <w:r>
        <w:t xml:space="preserve">W podziale na działania wchodzące w skład </w:t>
      </w:r>
      <w:r w:rsidR="00B34613">
        <w:t xml:space="preserve">OP </w:t>
      </w:r>
      <w:r>
        <w:t>XI i</w:t>
      </w:r>
      <w:r w:rsidR="00367F85">
        <w:t xml:space="preserve"> </w:t>
      </w:r>
      <w:r>
        <w:t>XII można zauważyć, że</w:t>
      </w:r>
      <w:r w:rsidR="00B06405">
        <w:rPr>
          <w:rStyle w:val="Odwoanieprzypisudolnego"/>
        </w:rPr>
        <w:footnoteReference w:id="97"/>
      </w:r>
      <w:r>
        <w:t>:</w:t>
      </w:r>
    </w:p>
    <w:p w14:paraId="5379BCCB" w14:textId="77777777" w:rsidR="0043367C" w:rsidRDefault="0043367C" w:rsidP="00DF64C7">
      <w:pPr>
        <w:pStyle w:val="Akapitzlist"/>
        <w:numPr>
          <w:ilvl w:val="0"/>
          <w:numId w:val="20"/>
        </w:numPr>
        <w:jc w:val="left"/>
      </w:pPr>
      <w:r>
        <w:t xml:space="preserve">W ramach działania 11.1: </w:t>
      </w:r>
    </w:p>
    <w:p w14:paraId="004C9470" w14:textId="77777777" w:rsidR="0043367C" w:rsidRDefault="0043367C" w:rsidP="00DF64C7">
      <w:pPr>
        <w:pStyle w:val="Akapitzlist"/>
        <w:numPr>
          <w:ilvl w:val="1"/>
          <w:numId w:val="20"/>
        </w:numPr>
        <w:jc w:val="left"/>
      </w:pPr>
      <w:r>
        <w:t>58% realizowanych projektów charakteryzuje się komplementarnością z</w:t>
      </w:r>
      <w:r w:rsidR="00B34613">
        <w:t> innymi projektami;</w:t>
      </w:r>
    </w:p>
    <w:p w14:paraId="14E73441" w14:textId="77777777" w:rsidR="0043367C" w:rsidRDefault="0043367C" w:rsidP="00DF64C7">
      <w:pPr>
        <w:pStyle w:val="Akapitzlist"/>
        <w:numPr>
          <w:ilvl w:val="1"/>
          <w:numId w:val="20"/>
        </w:numPr>
        <w:jc w:val="left"/>
      </w:pPr>
      <w:r>
        <w:t>17% projektów uwzględnia</w:t>
      </w:r>
      <w:r w:rsidR="00B34613">
        <w:t xml:space="preserve"> powiązania </w:t>
      </w:r>
      <w:r w:rsidR="00904100">
        <w:t xml:space="preserve">między </w:t>
      </w:r>
      <w:r w:rsidR="00B34613">
        <w:t>EFRR i EFS;</w:t>
      </w:r>
    </w:p>
    <w:p w14:paraId="04CC517F" w14:textId="77777777" w:rsidR="0043367C" w:rsidRDefault="0043367C" w:rsidP="00DF64C7">
      <w:pPr>
        <w:pStyle w:val="Akapitzlist"/>
        <w:numPr>
          <w:ilvl w:val="1"/>
          <w:numId w:val="20"/>
        </w:numPr>
        <w:jc w:val="left"/>
      </w:pPr>
      <w:r>
        <w:t>16% charakteryzuje się zarówno komplementarnością z innymi projektami, jak również uwzględnia cele EFRR i EFS.</w:t>
      </w:r>
    </w:p>
    <w:p w14:paraId="2D5F399B" w14:textId="77777777" w:rsidR="0043367C" w:rsidRDefault="0043367C" w:rsidP="00DF64C7">
      <w:pPr>
        <w:pStyle w:val="Akapitzlist"/>
        <w:numPr>
          <w:ilvl w:val="0"/>
          <w:numId w:val="20"/>
        </w:numPr>
        <w:jc w:val="left"/>
      </w:pPr>
      <w:r>
        <w:t>W ramach działania 11.2:</w:t>
      </w:r>
    </w:p>
    <w:p w14:paraId="3931AB62" w14:textId="77777777" w:rsidR="0043367C" w:rsidRDefault="0043367C" w:rsidP="00DF64C7">
      <w:pPr>
        <w:pStyle w:val="Akapitzlist"/>
        <w:numPr>
          <w:ilvl w:val="1"/>
          <w:numId w:val="20"/>
        </w:numPr>
        <w:jc w:val="left"/>
      </w:pPr>
      <w:r>
        <w:t>84% realizowanych projektów charakteryzuje się kompleme</w:t>
      </w:r>
      <w:r w:rsidR="00B34613">
        <w:t>ntarnością z innymi projektami;</w:t>
      </w:r>
    </w:p>
    <w:p w14:paraId="4188A3DF" w14:textId="77777777" w:rsidR="0043367C" w:rsidRDefault="0043367C" w:rsidP="00DF64C7">
      <w:pPr>
        <w:pStyle w:val="Akapitzlist"/>
        <w:numPr>
          <w:ilvl w:val="1"/>
          <w:numId w:val="20"/>
        </w:numPr>
        <w:jc w:val="left"/>
      </w:pPr>
      <w:r>
        <w:t>65% projektów uwzględnia</w:t>
      </w:r>
      <w:r w:rsidR="00B34613">
        <w:t xml:space="preserve"> powiązania</w:t>
      </w:r>
      <w:r w:rsidR="00904100">
        <w:t xml:space="preserve"> między</w:t>
      </w:r>
      <w:r w:rsidR="00B34613">
        <w:t xml:space="preserve"> EFRR i EFS;</w:t>
      </w:r>
    </w:p>
    <w:p w14:paraId="3203709D" w14:textId="77777777" w:rsidR="0043367C" w:rsidRDefault="0043367C" w:rsidP="00DF64C7">
      <w:pPr>
        <w:pStyle w:val="Akapitzlist"/>
        <w:numPr>
          <w:ilvl w:val="1"/>
          <w:numId w:val="20"/>
        </w:numPr>
        <w:jc w:val="left"/>
      </w:pPr>
      <w:r>
        <w:t xml:space="preserve">63% charakteryzuje się zarówno komplementarnością z innymi projektami, jak również uwzględnia cele EFRR i EFS. </w:t>
      </w:r>
    </w:p>
    <w:p w14:paraId="4903FF44" w14:textId="77777777" w:rsidR="0043367C" w:rsidRDefault="0043367C" w:rsidP="00DF64C7">
      <w:pPr>
        <w:pStyle w:val="Akapitzlist"/>
        <w:numPr>
          <w:ilvl w:val="0"/>
          <w:numId w:val="20"/>
        </w:numPr>
        <w:jc w:val="left"/>
      </w:pPr>
      <w:r>
        <w:t>W ramach działania 11.3:</w:t>
      </w:r>
    </w:p>
    <w:p w14:paraId="3964B170" w14:textId="77777777" w:rsidR="0043367C" w:rsidRDefault="0043367C" w:rsidP="00DF64C7">
      <w:pPr>
        <w:pStyle w:val="Akapitzlist"/>
        <w:numPr>
          <w:ilvl w:val="1"/>
          <w:numId w:val="20"/>
        </w:numPr>
        <w:jc w:val="left"/>
      </w:pPr>
      <w:r>
        <w:t>28% realizowanych projektów charakteryzuje się kompleme</w:t>
      </w:r>
      <w:r w:rsidR="00B34613">
        <w:t>ntarnością z innymi projektami;</w:t>
      </w:r>
    </w:p>
    <w:p w14:paraId="66F7F871" w14:textId="77777777" w:rsidR="0043367C" w:rsidRDefault="0043367C" w:rsidP="00DF64C7">
      <w:pPr>
        <w:pStyle w:val="Akapitzlist"/>
        <w:numPr>
          <w:ilvl w:val="1"/>
          <w:numId w:val="20"/>
        </w:numPr>
        <w:jc w:val="left"/>
      </w:pPr>
      <w:r>
        <w:t xml:space="preserve">żaden z projektów nie uwzględnia powiązania </w:t>
      </w:r>
      <w:r w:rsidR="00904100">
        <w:t>między</w:t>
      </w:r>
      <w:r>
        <w:t xml:space="preserve"> EFRR i EFS.</w:t>
      </w:r>
    </w:p>
    <w:p w14:paraId="5202F053" w14:textId="77777777" w:rsidR="0043367C" w:rsidRDefault="0043367C" w:rsidP="00DF64C7">
      <w:pPr>
        <w:pStyle w:val="Akapitzlist"/>
        <w:numPr>
          <w:ilvl w:val="0"/>
          <w:numId w:val="20"/>
        </w:numPr>
        <w:jc w:val="left"/>
      </w:pPr>
      <w:r>
        <w:t>W ramach działania 11.4:</w:t>
      </w:r>
    </w:p>
    <w:p w14:paraId="55CA81DC" w14:textId="77777777" w:rsidR="0043367C" w:rsidRDefault="0043367C" w:rsidP="00DF64C7">
      <w:pPr>
        <w:pStyle w:val="Akapitzlist"/>
        <w:numPr>
          <w:ilvl w:val="1"/>
          <w:numId w:val="20"/>
        </w:numPr>
        <w:jc w:val="left"/>
      </w:pPr>
      <w:r>
        <w:t>61% realizowanych projektów charakteryzuje się komplem</w:t>
      </w:r>
      <w:r w:rsidR="00FC02C6">
        <w:t>entarnością z innymi projektami;</w:t>
      </w:r>
    </w:p>
    <w:p w14:paraId="54E4A95D" w14:textId="77777777" w:rsidR="0043367C" w:rsidRDefault="0043367C" w:rsidP="00DF64C7">
      <w:pPr>
        <w:pStyle w:val="Akapitzlist"/>
        <w:numPr>
          <w:ilvl w:val="1"/>
          <w:numId w:val="20"/>
        </w:numPr>
        <w:jc w:val="left"/>
      </w:pPr>
      <w:r>
        <w:t>21% projektów uwzględnia</w:t>
      </w:r>
      <w:r w:rsidR="00FC02C6">
        <w:t xml:space="preserve"> powiązania</w:t>
      </w:r>
      <w:r w:rsidR="00904100">
        <w:t xml:space="preserve"> między </w:t>
      </w:r>
      <w:r w:rsidR="00FC02C6">
        <w:t>EFRR i EFS;</w:t>
      </w:r>
    </w:p>
    <w:p w14:paraId="634249D2" w14:textId="77777777" w:rsidR="0043367C" w:rsidRDefault="0043367C" w:rsidP="00DF64C7">
      <w:pPr>
        <w:pStyle w:val="Akapitzlist"/>
        <w:numPr>
          <w:ilvl w:val="1"/>
          <w:numId w:val="20"/>
        </w:numPr>
        <w:jc w:val="left"/>
      </w:pPr>
      <w:r>
        <w:t>21% charakteryzuje się zarówno komplementarnością z innymi projektami, jak również uwzględnia cele EFRR i EFS.</w:t>
      </w:r>
    </w:p>
    <w:p w14:paraId="0116F2DB" w14:textId="77777777" w:rsidR="0043367C" w:rsidRDefault="0043367C" w:rsidP="00DF64C7">
      <w:pPr>
        <w:pStyle w:val="Akapitzlist"/>
        <w:numPr>
          <w:ilvl w:val="0"/>
          <w:numId w:val="21"/>
        </w:numPr>
        <w:jc w:val="left"/>
      </w:pPr>
      <w:r>
        <w:t>W ramach działania</w:t>
      </w:r>
      <w:r w:rsidR="00367F85">
        <w:t xml:space="preserve"> </w:t>
      </w:r>
      <w:r>
        <w:t>12.1 – 98% projektów charakteryzuje się komplementarnością z innymi projektami.</w:t>
      </w:r>
    </w:p>
    <w:p w14:paraId="686F6ECF" w14:textId="77777777" w:rsidR="0043367C" w:rsidRDefault="0043367C" w:rsidP="00DF64C7">
      <w:pPr>
        <w:pStyle w:val="Akapitzlist"/>
        <w:numPr>
          <w:ilvl w:val="0"/>
          <w:numId w:val="21"/>
        </w:numPr>
        <w:jc w:val="left"/>
      </w:pPr>
      <w:r w:rsidRPr="00763ADD">
        <w:t>Zgodnie z obligatoryjną koniecznością wykazywania się c</w:t>
      </w:r>
      <w:r w:rsidRPr="0043367C">
        <w:t>echami przedsięwzięć kompleksowych projektów realizowanych w ramach działania 12.1 i 12.2</w:t>
      </w:r>
      <w:r w:rsidR="00FC02C6">
        <w:t>,</w:t>
      </w:r>
      <w:r w:rsidRPr="0043367C">
        <w:t xml:space="preserve"> wszystkie projekty wybrane do dofinansowania cechują się powiązaniami między</w:t>
      </w:r>
      <w:r w:rsidR="00904100">
        <w:t xml:space="preserve"> </w:t>
      </w:r>
      <w:r w:rsidRPr="0043367C">
        <w:t>funduszowymi -EFRR z</w:t>
      </w:r>
      <w:r>
        <w:t> </w:t>
      </w:r>
      <w:r w:rsidRPr="00763ADD">
        <w:t>projektami współfinansowanymi z EFS lub realizującymi cele EFS</w:t>
      </w:r>
      <w:r>
        <w:t>.</w:t>
      </w:r>
    </w:p>
    <w:p w14:paraId="15FADE55" w14:textId="77777777" w:rsidR="0043367C" w:rsidRDefault="0043367C" w:rsidP="00DF64C7">
      <w:pPr>
        <w:pStyle w:val="Akapitzlist"/>
        <w:numPr>
          <w:ilvl w:val="0"/>
          <w:numId w:val="21"/>
        </w:numPr>
        <w:jc w:val="left"/>
      </w:pPr>
      <w:r>
        <w:t>Wszystkie projekty realizowane w ramach działania 12.2 są komplementarne z innymi projektami.</w:t>
      </w:r>
    </w:p>
    <w:p w14:paraId="54302DBB" w14:textId="77777777" w:rsidR="000657CB" w:rsidRDefault="0043367C" w:rsidP="00DF64C7">
      <w:pPr>
        <w:jc w:val="left"/>
      </w:pPr>
      <w:r>
        <w:t>Jedyny projekt realizowany w ramach działania 12.3 jest zarówno komplementarny z innymi projektami, jak również cechuje się</w:t>
      </w:r>
      <w:r w:rsidRPr="00DC76D4">
        <w:t xml:space="preserve"> </w:t>
      </w:r>
      <w:r>
        <w:t>powiązaniami z celami EFRR i EFS</w:t>
      </w:r>
      <w:r w:rsidR="00B06405">
        <w:rPr>
          <w:rStyle w:val="Odwoanieprzypisudolnego"/>
        </w:rPr>
        <w:footnoteReference w:id="98"/>
      </w:r>
      <w:r w:rsidR="001364C7">
        <w:t>.</w:t>
      </w:r>
    </w:p>
    <w:p w14:paraId="57574A61" w14:textId="77777777" w:rsidR="00904100" w:rsidRDefault="00904100" w:rsidP="00DF64C7">
      <w:pPr>
        <w:jc w:val="left"/>
      </w:pPr>
      <w:r>
        <w:t>Jak więc można zauważyć, brak obligatoryjnego kryterium powiązań projektów EFRR z EFS</w:t>
      </w:r>
      <w:r w:rsidR="002D68B7">
        <w:t xml:space="preserve"> (projekty realizowane w ramach OP 11)</w:t>
      </w:r>
      <w:r>
        <w:t xml:space="preserve"> prowadzi do stosunkowo wysokiego spadku odsetka projektów, </w:t>
      </w:r>
      <w:r w:rsidR="002D68B7">
        <w:t>w ramach których beneficjenci</w:t>
      </w:r>
      <w:r>
        <w:t xml:space="preserve"> dobrowolnie takie powiązania </w:t>
      </w:r>
      <w:r w:rsidR="002D68B7">
        <w:t>zapewnili</w:t>
      </w:r>
      <w:r>
        <w:t>.</w:t>
      </w:r>
      <w:r w:rsidR="002D68B7">
        <w:t xml:space="preserve"> Wynika to jednak z charakteru wsparcia udzielanego w ramach tej Osi (wsparcie „miękkie”, nie warunkujące konieczności prowadzenia inwestycji w zakresie infrastruktury).</w:t>
      </w:r>
    </w:p>
    <w:p w14:paraId="4ACD5736" w14:textId="77777777" w:rsidR="00A67067" w:rsidRPr="00BB0B67" w:rsidRDefault="00A67067" w:rsidP="00DF64C7">
      <w:pPr>
        <w:jc w:val="left"/>
      </w:pPr>
      <w:r>
        <w:t xml:space="preserve">W porównaniu do danych wygenerowanych z </w:t>
      </w:r>
      <w:r w:rsidR="007D6394">
        <w:t>LSI</w:t>
      </w:r>
      <w:r>
        <w:t xml:space="preserve">2014, badanie CAWI/CATI z beneficjentami wykazało niższą o blisko 30 pp. wartość poziomu komplementarności projektów realizowanych w ramach </w:t>
      </w:r>
      <w:r w:rsidR="007D6394">
        <w:t xml:space="preserve">OP </w:t>
      </w:r>
      <w:r>
        <w:t>XI</w:t>
      </w:r>
      <w:r w:rsidR="000B030D">
        <w:t xml:space="preserve"> </w:t>
      </w:r>
      <w:r>
        <w:t>z innymi projektami. Na pytanie</w:t>
      </w:r>
      <w:r w:rsidR="007D6394">
        <w:t>,</w:t>
      </w:r>
      <w:r>
        <w:t xml:space="preserve"> czy realizowany lub zrealizowany przez beneficjentów projekt zakłada komplementarność z innymi projektami odpowiedzi twierdzącej udzieliło 37% uczestników badania. Jednakże warto zwrócić uwagę na relatywnie wysoki odsetek respondentów, którzy nie wskazali jednoznacznej odpowiedzi na temat zakładanej komplementarn</w:t>
      </w:r>
      <w:r w:rsidR="00DF170D">
        <w:t>ości z innymi projektami (16%).</w:t>
      </w:r>
      <w:r>
        <w:t xml:space="preserve"> Powyższa struktura odpowiedzi, wraz z subiektywną oceną komplementarności projektów podczas badania ilościowego, może generować niemiarodajny wskaźnik komplementarności projektów mających na celu wzmocnienie potencjału edukacyjnego (OP</w:t>
      </w:r>
      <w:r w:rsidR="00B80862">
        <w:t> </w:t>
      </w:r>
      <w:r w:rsidR="000B030D">
        <w:t>XI).</w:t>
      </w:r>
    </w:p>
    <w:p w14:paraId="429782A4" w14:textId="77777777" w:rsidR="004416B2" w:rsidRDefault="007D6394" w:rsidP="00DF64C7">
      <w:pPr>
        <w:jc w:val="left"/>
      </w:pPr>
      <w:r>
        <w:t>Zdecydowana większość beneficjentów</w:t>
      </w:r>
      <w:r w:rsidR="000B030D">
        <w:t xml:space="preserve"> OP XI</w:t>
      </w:r>
      <w:r w:rsidR="004416B2">
        <w:t>, któr</w:t>
      </w:r>
      <w:r w:rsidR="00985EC0">
        <w:t>a potwierdziła</w:t>
      </w:r>
      <w:r w:rsidR="004416B2">
        <w:t xml:space="preserve"> komplementarność realizowanych projektów z innymi</w:t>
      </w:r>
      <w:r w:rsidR="00DC26C0">
        <w:t xml:space="preserve"> </w:t>
      </w:r>
      <w:r w:rsidR="004416B2">
        <w:t xml:space="preserve">projektami, nie zidentyfikowała trudności związanych z zapewnieniem analizowanego rodzaju komplementarności. </w:t>
      </w:r>
      <w:r>
        <w:t>8,6</w:t>
      </w:r>
      <w:r w:rsidR="004416B2">
        <w:t>% badanych nie potrafiło wskazać jednoznacznej odpowiedz</w:t>
      </w:r>
      <w:r>
        <w:t>i</w:t>
      </w:r>
      <w:r w:rsidR="004416B2">
        <w:t xml:space="preserve">, natomiast odpowiedzi twierdzącej udzieliło zaledwie </w:t>
      </w:r>
      <w:r>
        <w:t>2,9</w:t>
      </w:r>
      <w:r w:rsidR="004416B2">
        <w:t xml:space="preserve">% beneficjentów. </w:t>
      </w:r>
      <w:r w:rsidR="004416B2" w:rsidRPr="0032116D">
        <w:t>Do zidentyfikowanych trudności zaliczyć można</w:t>
      </w:r>
      <w:r w:rsidR="0032116D" w:rsidRPr="007D6394">
        <w:t xml:space="preserve"> przede wszystkim kwestie związane z przesunięciem terminu realizacji projektów EFS </w:t>
      </w:r>
      <w:r w:rsidR="008F28C2">
        <w:t>wynikające</w:t>
      </w:r>
      <w:r w:rsidR="0032116D" w:rsidRPr="007D6394">
        <w:t xml:space="preserve"> z opóźnie</w:t>
      </w:r>
      <w:r w:rsidR="008F28C2">
        <w:t>ń</w:t>
      </w:r>
      <w:r w:rsidR="0032116D" w:rsidRPr="007D6394">
        <w:t xml:space="preserve"> realizacji projektów infrastrukturalnych (inwestycje budowlane, przebudowa, remont, adaptacja itd.</w:t>
      </w:r>
      <w:r w:rsidR="0032116D" w:rsidRPr="0032116D">
        <w:t>)</w:t>
      </w:r>
      <w:r w:rsidR="0032116D" w:rsidRPr="00AC4902">
        <w:t>.</w:t>
      </w:r>
    </w:p>
    <w:p w14:paraId="497BA71E" w14:textId="7303803E" w:rsidR="001364C7" w:rsidRDefault="001364C7" w:rsidP="00DF64C7">
      <w:pPr>
        <w:pStyle w:val="Legenda"/>
        <w:spacing w:line="271" w:lineRule="auto"/>
        <w:jc w:val="left"/>
      </w:pPr>
      <w:bookmarkStart w:id="101" w:name="_Toc33459805"/>
      <w:r>
        <w:t xml:space="preserve">Wykres </w:t>
      </w:r>
      <w:r w:rsidR="00A83EB8">
        <w:rPr>
          <w:noProof/>
        </w:rPr>
        <w:fldChar w:fldCharType="begin"/>
      </w:r>
      <w:r w:rsidR="00A83EB8">
        <w:rPr>
          <w:noProof/>
        </w:rPr>
        <w:instrText xml:space="preserve"> SEQ Wykres \* ARABIC </w:instrText>
      </w:r>
      <w:r w:rsidR="00A83EB8">
        <w:rPr>
          <w:noProof/>
        </w:rPr>
        <w:fldChar w:fldCharType="separate"/>
      </w:r>
      <w:r w:rsidR="00A8147E">
        <w:rPr>
          <w:noProof/>
        </w:rPr>
        <w:t>27</w:t>
      </w:r>
      <w:r w:rsidR="00A83EB8">
        <w:rPr>
          <w:noProof/>
        </w:rPr>
        <w:fldChar w:fldCharType="end"/>
      </w:r>
      <w:r w:rsidR="005B5B86">
        <w:rPr>
          <w:noProof/>
        </w:rPr>
        <w:t>.</w:t>
      </w:r>
      <w:r>
        <w:t xml:space="preserve"> </w:t>
      </w:r>
      <w:r w:rsidR="005E4A68">
        <w:t>C</w:t>
      </w:r>
      <w:r w:rsidRPr="00800CB0">
        <w:t>zy zapewnienie komplementarności z innymi projektami sprawiło Państwu trudność?</w:t>
      </w:r>
      <w:bookmarkEnd w:id="101"/>
    </w:p>
    <w:p w14:paraId="27C70610" w14:textId="77777777" w:rsidR="001364C7" w:rsidRDefault="007D6394" w:rsidP="00DF64C7">
      <w:pPr>
        <w:jc w:val="left"/>
      </w:pPr>
      <w:r>
        <w:rPr>
          <w:noProof/>
          <w:lang w:eastAsia="pl-PL"/>
        </w:rPr>
        <w:drawing>
          <wp:inline distT="0" distB="0" distL="0" distR="0" wp14:anchorId="28219DD8" wp14:editId="2CB13A44">
            <wp:extent cx="5676181" cy="1406106"/>
            <wp:effectExtent l="0" t="0" r="20320" b="22860"/>
            <wp:docPr id="13" name="Wykres 13" descr="Wykres przedstawia procentowy rozkład odpowiedzi beneficjentów na pytanie: &quot;Czy zapewnienie komplementarności z innymi projektami sprawiło Państwu trudność?&quot;. Odpowiedzi zostły przedstawione na wykresie kolumnowym: zdecydowanie tak(2,2%), raczej tak (0,7%), trudno powiedzieć (8,6%), raczej nie (57,6%), zdecydowanie nie (30,9%)" title="Czy zapewnienie komplementarności z innymi projektami sprawiło Państwu trudność?"/>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405753" w14:textId="77777777" w:rsidR="00E73C33" w:rsidRDefault="00E73C33" w:rsidP="00DF64C7">
      <w:pPr>
        <w:pStyle w:val="podpisrdailustracji"/>
        <w:spacing w:line="271" w:lineRule="auto"/>
        <w:jc w:val="left"/>
      </w:pPr>
      <w:r w:rsidRPr="00E73C33">
        <w:t>Źródło: opracowanie własne na podstawie badania C</w:t>
      </w:r>
      <w:r>
        <w:t>AWI/CATI z beneficjentami</w:t>
      </w:r>
      <w:r w:rsidR="00890EA6">
        <w:t xml:space="preserve"> OP XI</w:t>
      </w:r>
      <w:r>
        <w:t>, n=139</w:t>
      </w:r>
      <w:r w:rsidRPr="00E73C33">
        <w:t>.</w:t>
      </w:r>
    </w:p>
    <w:p w14:paraId="5462D7E1" w14:textId="77777777" w:rsidR="006E6B63" w:rsidRDefault="006E6B63" w:rsidP="00DF64C7">
      <w:pPr>
        <w:jc w:val="left"/>
      </w:pPr>
      <w:r w:rsidRPr="006E6B63">
        <w:t>Występowanie zjawiska komplementarności potwierdzone zostało również przez uczestników panelu delfickiego, którzy dodali jednocześnie, że komplementarność stanowi istotny element interwencji. Wg nich służy bowiem maksymalizacji efektywności udzielanego wsparcia. Komplementarność projektów edukacyjnych realizowanych w ramach RPO WSL 2014-2020 daje się zauważyć nie tylko w postaci zwiększenia usług oferowanych w zakresie bieżących projektów (utworzenie nowych miejsc przedszkolnych, doszkalanie pracowników, realizacja zajęć dodatkowych dla uczniów), ale także w zakresie zwiększenia efektów wcześniej realizowanych projektów</w:t>
      </w:r>
      <w:r>
        <w:t>.</w:t>
      </w:r>
    </w:p>
    <w:p w14:paraId="6F00AC93" w14:textId="77777777" w:rsidR="000B030D" w:rsidRDefault="008E4608" w:rsidP="00DF64C7">
      <w:pPr>
        <w:jc w:val="left"/>
      </w:pPr>
      <w:r w:rsidRPr="008E4608">
        <w:t xml:space="preserve">Eksperci wskazali, iż komplementarność pozwala na </w:t>
      </w:r>
      <w:r w:rsidR="002D68B7">
        <w:t xml:space="preserve">uzyskanie lepszych </w:t>
      </w:r>
      <w:r w:rsidRPr="008E4608">
        <w:t>efektów wcześniej realizowanych projektów</w:t>
      </w:r>
      <w:r w:rsidR="00985EC0">
        <w:t xml:space="preserve">. </w:t>
      </w:r>
      <w:r w:rsidR="0002437C">
        <w:t>Z kolei z</w:t>
      </w:r>
      <w:r w:rsidR="000B030D">
        <w:t xml:space="preserve">większenie </w:t>
      </w:r>
      <w:r w:rsidR="00B140A9">
        <w:t xml:space="preserve">poziomu </w:t>
      </w:r>
      <w:r w:rsidR="000B030D">
        <w:t xml:space="preserve">efektywności realizowanego projektu dzięki zapewnieniu </w:t>
      </w:r>
      <w:r w:rsidR="00B140A9">
        <w:t xml:space="preserve">jego </w:t>
      </w:r>
      <w:r w:rsidR="000B030D">
        <w:t xml:space="preserve">komplementarności z innymi projektami </w:t>
      </w:r>
      <w:r w:rsidR="00B140A9">
        <w:t xml:space="preserve">zidentyfikował </w:t>
      </w:r>
      <w:r w:rsidR="00985EC0">
        <w:t xml:space="preserve">jednak </w:t>
      </w:r>
      <w:r w:rsidR="000B030D">
        <w:t xml:space="preserve">wyłącznie co czwarty beneficjent realizujący projekt w ramach </w:t>
      </w:r>
      <w:r w:rsidR="002B4955">
        <w:t xml:space="preserve">OP </w:t>
      </w:r>
      <w:r w:rsidR="000B030D">
        <w:t>XI</w:t>
      </w:r>
      <w:r w:rsidR="002B4955">
        <w:t>. 17% beneficjentów stwierdziło, że zapewnienie komplementarności nie wpłynęło na zwiększenie</w:t>
      </w:r>
      <w:r w:rsidR="000B030D">
        <w:t xml:space="preserve"> efek</w:t>
      </w:r>
      <w:r w:rsidR="002B4955">
        <w:t>tywności realizowanego projektu.</w:t>
      </w:r>
      <w:r w:rsidR="0002437C">
        <w:t xml:space="preserve"> Biorąc pod uwagę przedstawione wcześniej informacje, dot. stosunkowo wysokiego udziału projektów z OP XI uwzgledniających zasadę komplementarności, można wskazać, że jest ona z jednej strony łatwa do osiągnięcia, z drugiej jednak strony trudno zidentyfikować (również samym beneficjentom) pozytywny wpływ tejże komplementarności na faktycznie uzyskane efekty projektów. </w:t>
      </w:r>
    </w:p>
    <w:p w14:paraId="07E97B71" w14:textId="7FF12700" w:rsidR="001364C7" w:rsidRDefault="001364C7" w:rsidP="00DF64C7">
      <w:pPr>
        <w:pStyle w:val="Legenda"/>
        <w:spacing w:line="271" w:lineRule="auto"/>
        <w:jc w:val="left"/>
      </w:pPr>
      <w:bookmarkStart w:id="102" w:name="_Toc33459806"/>
      <w:r>
        <w:t xml:space="preserve">Wykres </w:t>
      </w:r>
      <w:r w:rsidR="00A83EB8">
        <w:rPr>
          <w:noProof/>
        </w:rPr>
        <w:fldChar w:fldCharType="begin"/>
      </w:r>
      <w:r w:rsidR="00A83EB8">
        <w:rPr>
          <w:noProof/>
        </w:rPr>
        <w:instrText xml:space="preserve"> SEQ Wykres \* ARABIC </w:instrText>
      </w:r>
      <w:r w:rsidR="00A83EB8">
        <w:rPr>
          <w:noProof/>
        </w:rPr>
        <w:fldChar w:fldCharType="separate"/>
      </w:r>
      <w:r w:rsidR="00A8147E">
        <w:rPr>
          <w:noProof/>
        </w:rPr>
        <w:t>28</w:t>
      </w:r>
      <w:r w:rsidR="00A83EB8">
        <w:rPr>
          <w:noProof/>
        </w:rPr>
        <w:fldChar w:fldCharType="end"/>
      </w:r>
      <w:r w:rsidR="005B5B86">
        <w:rPr>
          <w:noProof/>
        </w:rPr>
        <w:t>.</w:t>
      </w:r>
      <w:r>
        <w:t xml:space="preserve"> </w:t>
      </w:r>
      <w:r w:rsidRPr="0037415D">
        <w:t>Czy zapewnienie komplementarności projektu sprawiło, że udało się Państwu osiągnąć lepsze efekty projektu?</w:t>
      </w:r>
      <w:bookmarkEnd w:id="102"/>
    </w:p>
    <w:p w14:paraId="2331513B" w14:textId="77777777" w:rsidR="001364C7" w:rsidRDefault="002B4955" w:rsidP="00DF64C7">
      <w:pPr>
        <w:jc w:val="left"/>
      </w:pPr>
      <w:r>
        <w:rPr>
          <w:noProof/>
          <w:lang w:eastAsia="pl-PL"/>
        </w:rPr>
        <w:drawing>
          <wp:inline distT="0" distB="0" distL="0" distR="0" wp14:anchorId="26151188" wp14:editId="114E452F">
            <wp:extent cx="5822830" cy="1328468"/>
            <wp:effectExtent l="0" t="0" r="26035" b="24130"/>
            <wp:docPr id="15" name="Wykres 15" descr="Wykres przedstawia procentowy rozkład odpowiedzi beneficjentów na pytanie: &quot;Czy zapewnienie komplementarności projektu sprawiło, że udało się Państwu osiągnąć lepsze efekty projektu?&quot;. Odpowiedzi beneficjentów OP XI przedstawiono na wykresie kolumnowym: zdecydowanie tak (12,9%), raczej tak (11,7%), trudno powiedzieć (58,5%), raczej nie (17,0%), zdecydownie nie(0,0%)." title="Czy zapewnienie komplementarności projektu sprawiło, że udało się Państwu osiągnąć lepsze efekty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605FA3C" w14:textId="77777777" w:rsidR="00E73C33" w:rsidRDefault="00E73C33" w:rsidP="00DF64C7">
      <w:pPr>
        <w:pStyle w:val="podpisrdailustracji"/>
        <w:spacing w:line="271" w:lineRule="auto"/>
        <w:jc w:val="left"/>
      </w:pPr>
      <w:r w:rsidRPr="00E73C33">
        <w:t>Źródło: opracowanie własne na podstawie badania C</w:t>
      </w:r>
      <w:r>
        <w:t>AWI/CATI z beneficjentami</w:t>
      </w:r>
      <w:r w:rsidR="00890EA6">
        <w:t xml:space="preserve"> OP XI</w:t>
      </w:r>
      <w:r>
        <w:t>, n=171</w:t>
      </w:r>
      <w:r w:rsidRPr="00E73C33">
        <w:t>.</w:t>
      </w:r>
    </w:p>
    <w:p w14:paraId="1E5D934F" w14:textId="77777777" w:rsidR="00D32C06" w:rsidRDefault="00D32C06" w:rsidP="00DF64C7">
      <w:pPr>
        <w:jc w:val="left"/>
      </w:pPr>
      <w:r>
        <w:t xml:space="preserve">Wykazanie </w:t>
      </w:r>
      <w:r w:rsidR="00C332C1">
        <w:t xml:space="preserve">powiązań z projektami współfinansowanymi z EFS (lub realizującymi cele EFS) </w:t>
      </w:r>
      <w:r>
        <w:t>w przypadku projekt</w:t>
      </w:r>
      <w:r w:rsidR="00C332C1">
        <w:t>ów</w:t>
      </w:r>
      <w:r>
        <w:t xml:space="preserve"> w ramach OP XII było obligatoryjne. Projekty komplementarne dotyczyły głównie projektów nastawionych na tzw. „efekty miękkie”, ale również na zakup wyposażenia i pomocy dydaktycznych. Inwestycje te dotyczyły m.in. realizacji zajęć dodatkowych (m.in. ruchowych, rytmicznych), różnego rodzaju zajęć terapeutycznych (np. muzykoterapia, terapia przez sztukę, dogoterapia), skierowanych do najmłodszych dzieci, w celu wspierania ich szeroko rozumianego rozwoju. Działania skierowane były także do nauczycieli, w celu podniesienia posiadanych przez nich kwalifikacji, dotyczyły współpracy zawodowej oraz wzrostu konkurencyjności na rynku pracy absolwentów i absolwentek szkół zawodowych</w:t>
      </w:r>
      <w:r w:rsidR="00D83E81">
        <w:t xml:space="preserve"> (głównie poprzez staże i praktyki zawodowe).</w:t>
      </w:r>
    </w:p>
    <w:p w14:paraId="06E90A6E" w14:textId="77777777" w:rsidR="00A67067" w:rsidRDefault="00F7626E" w:rsidP="00DF64C7">
      <w:pPr>
        <w:jc w:val="left"/>
      </w:pPr>
      <w:r>
        <w:t xml:space="preserve">Wśród beneficjentów realizujących działania w ramach </w:t>
      </w:r>
      <w:r w:rsidR="00DF170D">
        <w:t xml:space="preserve">OP </w:t>
      </w:r>
      <w:r>
        <w:t>XII</w:t>
      </w:r>
      <w:r w:rsidR="00DF170D">
        <w:t xml:space="preserve">, </w:t>
      </w:r>
      <w:r w:rsidR="00B140A9">
        <w:t>trudności z </w:t>
      </w:r>
      <w:r>
        <w:t xml:space="preserve">koniecznością zapewnienia komplementarności projektu z innym projektem współfinansowanym z </w:t>
      </w:r>
      <w:r w:rsidR="00DF170D">
        <w:t>EFS</w:t>
      </w:r>
      <w:r>
        <w:t xml:space="preserve"> zdeklarowało zaledwie 7</w:t>
      </w:r>
      <w:r w:rsidR="006606B7">
        <w:t>,4</w:t>
      </w:r>
      <w:r>
        <w:t>% respondentów. 19</w:t>
      </w:r>
      <w:r w:rsidR="006606B7">
        <w:t>,1</w:t>
      </w:r>
      <w:r>
        <w:t xml:space="preserve">% badanych nie potrafiło wskazać czy takie trudności wystąpiły, natomiast blisko ¾ beneficjentów </w:t>
      </w:r>
      <w:r w:rsidR="006606B7">
        <w:t xml:space="preserve">(73,4%) </w:t>
      </w:r>
      <w:r>
        <w:t xml:space="preserve">nie miało </w:t>
      </w:r>
      <w:r w:rsidR="00DF170D">
        <w:t xml:space="preserve">w tej kwestii </w:t>
      </w:r>
      <w:r>
        <w:t>żadnych trudności</w:t>
      </w:r>
      <w:r w:rsidR="00DF170D">
        <w:t>.</w:t>
      </w:r>
      <w:r>
        <w:t xml:space="preserve"> </w:t>
      </w:r>
      <w:r w:rsidRPr="00B923B2">
        <w:t>Do zidentyfikowanych trudności zaliczyć można:</w:t>
      </w:r>
    </w:p>
    <w:p w14:paraId="3541D170" w14:textId="77777777" w:rsidR="0032116D" w:rsidRDefault="0032116D" w:rsidP="00DF64C7">
      <w:pPr>
        <w:pStyle w:val="Akapitzlist"/>
        <w:numPr>
          <w:ilvl w:val="0"/>
          <w:numId w:val="37"/>
        </w:numPr>
        <w:jc w:val="left"/>
      </w:pPr>
      <w:r>
        <w:t xml:space="preserve">konieczność powiązania realizacji projektu finansowanego ze środków EFS z harmonogramem realizacji projektów dofinansowanych z </w:t>
      </w:r>
      <w:r w:rsidR="006606B7">
        <w:t>EFRR;</w:t>
      </w:r>
    </w:p>
    <w:p w14:paraId="390C875C" w14:textId="77777777" w:rsidR="0032116D" w:rsidRDefault="0032116D" w:rsidP="00DF64C7">
      <w:pPr>
        <w:pStyle w:val="Akapitzlist"/>
        <w:numPr>
          <w:ilvl w:val="0"/>
          <w:numId w:val="37"/>
        </w:numPr>
        <w:jc w:val="left"/>
      </w:pPr>
      <w:r>
        <w:t>wymogi dotyczące czasu trwania projektów EFS, które były niekompatybilne z potencjalnymi opóźnieniami</w:t>
      </w:r>
      <w:r w:rsidR="006606B7">
        <w:t xml:space="preserve"> projektów budowlanych;</w:t>
      </w:r>
    </w:p>
    <w:p w14:paraId="30B1ADD0" w14:textId="77777777" w:rsidR="00B923B2" w:rsidRDefault="00B923B2" w:rsidP="00DF64C7">
      <w:pPr>
        <w:pStyle w:val="Akapitzlist"/>
        <w:numPr>
          <w:ilvl w:val="0"/>
          <w:numId w:val="37"/>
        </w:numPr>
        <w:jc w:val="left"/>
      </w:pPr>
      <w:r>
        <w:t xml:space="preserve">pozyskanie kosztów na utrzymanie </w:t>
      </w:r>
      <w:r w:rsidR="006606B7">
        <w:t>dodatkowych grup przedszkolnych;</w:t>
      </w:r>
    </w:p>
    <w:p w14:paraId="2B65D2CA" w14:textId="77777777" w:rsidR="00B923B2" w:rsidRDefault="00B923B2" w:rsidP="00DF64C7">
      <w:pPr>
        <w:pStyle w:val="Akapitzlist"/>
        <w:numPr>
          <w:ilvl w:val="0"/>
          <w:numId w:val="37"/>
        </w:numPr>
        <w:jc w:val="left"/>
      </w:pPr>
      <w:r>
        <w:t>czas pomiędzy zakończeniem jednego i r</w:t>
      </w:r>
      <w:r w:rsidR="006606B7">
        <w:t>ozpoczęciem kolejnego projektu;</w:t>
      </w:r>
    </w:p>
    <w:p w14:paraId="7C545B22" w14:textId="77777777" w:rsidR="00B923B2" w:rsidRDefault="008E4608" w:rsidP="00DF64C7">
      <w:pPr>
        <w:pStyle w:val="Akapitzlist"/>
        <w:numPr>
          <w:ilvl w:val="0"/>
          <w:numId w:val="37"/>
        </w:numPr>
        <w:jc w:val="left"/>
      </w:pPr>
      <w:r>
        <w:t>problem</w:t>
      </w:r>
      <w:r w:rsidR="0002437C">
        <w:t>y</w:t>
      </w:r>
      <w:r>
        <w:t xml:space="preserve"> organizacyjn</w:t>
      </w:r>
      <w:r w:rsidR="0002437C">
        <w:t>e</w:t>
      </w:r>
      <w:r>
        <w:t xml:space="preserve"> związa</w:t>
      </w:r>
      <w:r w:rsidR="0002437C">
        <w:t>ne</w:t>
      </w:r>
      <w:r>
        <w:t xml:space="preserve"> z koordynowaniem </w:t>
      </w:r>
      <w:r w:rsidR="0002437C">
        <w:t xml:space="preserve">dwóch </w:t>
      </w:r>
      <w:r>
        <w:t>duży</w:t>
      </w:r>
      <w:r w:rsidR="0002437C">
        <w:t>ch</w:t>
      </w:r>
      <w:r>
        <w:t xml:space="preserve"> projekt</w:t>
      </w:r>
      <w:r w:rsidR="0002437C">
        <w:t>ów</w:t>
      </w:r>
      <w:r>
        <w:t xml:space="preserve"> w tym samym czasie.</w:t>
      </w:r>
    </w:p>
    <w:p w14:paraId="4B3919B1" w14:textId="77777777" w:rsidR="00A67067" w:rsidRDefault="008E3F9D" w:rsidP="00DF64C7">
      <w:pPr>
        <w:jc w:val="left"/>
      </w:pPr>
      <w:r>
        <w:t>Warto zwrócić uwagę, że w opinii 43</w:t>
      </w:r>
      <w:r w:rsidR="00890EA6">
        <w:t>,2</w:t>
      </w:r>
      <w:r>
        <w:t xml:space="preserve">% beneficjentów </w:t>
      </w:r>
      <w:r w:rsidR="00890EA6">
        <w:t xml:space="preserve">OP </w:t>
      </w:r>
      <w:r w:rsidR="00D66397">
        <w:t xml:space="preserve">XII, </w:t>
      </w:r>
      <w:r>
        <w:t>konieczność zapewnienia komplementarności projektu</w:t>
      </w:r>
      <w:r w:rsidR="00890EA6">
        <w:t xml:space="preserve"> </w:t>
      </w:r>
      <w:r w:rsidR="00BA7436">
        <w:t>pozwoliła</w:t>
      </w:r>
      <w:r w:rsidR="008E4608" w:rsidRPr="008E4608">
        <w:t xml:space="preserve"> </w:t>
      </w:r>
      <w:r w:rsidR="00BA7436">
        <w:t xml:space="preserve">lepiej </w:t>
      </w:r>
      <w:r w:rsidR="008E4608" w:rsidRPr="008E4608">
        <w:t>rea</w:t>
      </w:r>
      <w:r w:rsidR="00BA7436">
        <w:t>gować</w:t>
      </w:r>
      <w:r w:rsidR="008E4608" w:rsidRPr="008E4608">
        <w:t xml:space="preserve"> </w:t>
      </w:r>
      <w:r>
        <w:t>na zidentyfikowane we wspartych placówkach problemy. 3</w:t>
      </w:r>
      <w:r w:rsidR="00890EA6">
        <w:t>8,6</w:t>
      </w:r>
      <w:r>
        <w:t>% uczestników badania nie potrafiło wskazać jednoznacznej odpowiedzi, natomiast odpowiedzi negatywnej udzieliło 18</w:t>
      </w:r>
      <w:r w:rsidR="00890EA6">
        <w:t>,1</w:t>
      </w:r>
      <w:r>
        <w:t xml:space="preserve">% respondentów. </w:t>
      </w:r>
      <w:r w:rsidR="008E4608" w:rsidRPr="008E4608">
        <w:t>Z analizy struktury odpowiedzi</w:t>
      </w:r>
      <w:r w:rsidR="00BA7436">
        <w:t xml:space="preserve"> poddanych badaniu beneficjentów OP XII</w:t>
      </w:r>
      <w:r w:rsidR="008E4608" w:rsidRPr="008E4608">
        <w:t xml:space="preserve"> wynika, że zapewnienie obligatoryjnej komplementarności </w:t>
      </w:r>
      <w:r w:rsidR="00BA7436">
        <w:t>nie może zostać jednoznacznie zakwalifikowana, jako</w:t>
      </w:r>
      <w:r w:rsidR="00BA7436" w:rsidRPr="008E4608">
        <w:t xml:space="preserve"> </w:t>
      </w:r>
      <w:r w:rsidR="008E4608" w:rsidRPr="008E4608">
        <w:t>efektywny mechanizm służący przeciwdziałaniu aspektom problemowym.</w:t>
      </w:r>
    </w:p>
    <w:p w14:paraId="689B7C55" w14:textId="2E0B17E5" w:rsidR="001364C7" w:rsidRDefault="001364C7" w:rsidP="00DF64C7">
      <w:pPr>
        <w:pStyle w:val="Legenda"/>
        <w:spacing w:line="271" w:lineRule="auto"/>
        <w:jc w:val="left"/>
      </w:pPr>
      <w:bookmarkStart w:id="103" w:name="_Toc33459807"/>
      <w:r>
        <w:t xml:space="preserve">Wykres </w:t>
      </w:r>
      <w:r w:rsidR="00A83EB8">
        <w:rPr>
          <w:noProof/>
        </w:rPr>
        <w:fldChar w:fldCharType="begin"/>
      </w:r>
      <w:r w:rsidR="00A83EB8">
        <w:rPr>
          <w:noProof/>
        </w:rPr>
        <w:instrText xml:space="preserve"> SEQ Wykres \* ARABIC </w:instrText>
      </w:r>
      <w:r w:rsidR="00A83EB8">
        <w:rPr>
          <w:noProof/>
        </w:rPr>
        <w:fldChar w:fldCharType="separate"/>
      </w:r>
      <w:r w:rsidR="00A8147E">
        <w:rPr>
          <w:noProof/>
        </w:rPr>
        <w:t>29</w:t>
      </w:r>
      <w:r w:rsidR="00A83EB8">
        <w:rPr>
          <w:noProof/>
        </w:rPr>
        <w:fldChar w:fldCharType="end"/>
      </w:r>
      <w:r w:rsidR="00D3512C">
        <w:rPr>
          <w:noProof/>
        </w:rPr>
        <w:t>.</w:t>
      </w:r>
      <w:r>
        <w:t xml:space="preserve"> </w:t>
      </w:r>
      <w:r w:rsidR="000B030D" w:rsidRPr="000B030D">
        <w:t>Czy konieczność zapewnienia komplementarności projektu pozwoliła lepiej reagować na zidentyfikowane we wspartych placówkach problemy?</w:t>
      </w:r>
      <w:bookmarkEnd w:id="103"/>
    </w:p>
    <w:p w14:paraId="2FFDAB56" w14:textId="77777777" w:rsidR="001364C7" w:rsidRDefault="006606B7" w:rsidP="00DF64C7">
      <w:pPr>
        <w:jc w:val="left"/>
      </w:pPr>
      <w:r>
        <w:rPr>
          <w:noProof/>
          <w:lang w:eastAsia="pl-PL"/>
        </w:rPr>
        <w:drawing>
          <wp:inline distT="0" distB="0" distL="0" distR="0" wp14:anchorId="02C0C716" wp14:editId="38A25482">
            <wp:extent cx="5745193" cy="1380227"/>
            <wp:effectExtent l="0" t="0" r="27305" b="10795"/>
            <wp:docPr id="16" name="Wykres 16" descr="Wykres przedstawia procentowy rozkład odpowiedzi beneficjentów na pytanie: &quot;Czy konieczność zapewnienia komplementarności projektu pozwoliła lepiej reagować na zidentyfikowane we wspartych placówkach problemy?&quot;. Odpowiedzi beneficjentów OP XII przedstawiono na wykresie kolumnowym: zdecydowanie tak (18,2%), raczej tak (25,0%), trudno powiedzieć (38,6%), raczej nie (17,0%), zdecydownie nie (1,1%)." title="Czy konieczność zapewnienia komplementarności projektu pozwoliła lepiej reagować na zidentyfikowane we wspartych placówkach problemy?"/>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1A2CFA5" w14:textId="77777777" w:rsidR="00E73C33" w:rsidRDefault="00E73C33" w:rsidP="00DF64C7">
      <w:pPr>
        <w:pStyle w:val="podpisrdailustracji"/>
        <w:spacing w:line="271" w:lineRule="auto"/>
        <w:jc w:val="left"/>
      </w:pPr>
      <w:r w:rsidRPr="00E73C33">
        <w:t>Źródło: opracowanie własne na podstawie badania C</w:t>
      </w:r>
      <w:r>
        <w:t>AWI/CATI z beneficjentami</w:t>
      </w:r>
      <w:r w:rsidR="00890EA6">
        <w:t xml:space="preserve"> OP XII</w:t>
      </w:r>
      <w:r>
        <w:t>, n=8</w:t>
      </w:r>
      <w:r w:rsidR="001A2BDA">
        <w:t>9</w:t>
      </w:r>
      <w:r w:rsidRPr="00E73C33">
        <w:t>.</w:t>
      </w:r>
    </w:p>
    <w:p w14:paraId="4E04B8C5" w14:textId="77777777" w:rsidR="00D66397" w:rsidRPr="00DA19C6" w:rsidRDefault="00D66397" w:rsidP="00DF64C7">
      <w:pPr>
        <w:jc w:val="left"/>
      </w:pPr>
      <w:r>
        <w:t>4</w:t>
      </w:r>
      <w:r w:rsidR="00DF1743">
        <w:t>3,4</w:t>
      </w:r>
      <w:r>
        <w:t xml:space="preserve">% beneficjentów </w:t>
      </w:r>
      <w:r w:rsidR="00DF1743">
        <w:t xml:space="preserve">OP </w:t>
      </w:r>
      <w:r>
        <w:t>XII potwierdziło osiągnięcie lepszych efektów projektu dzięki obligatoryjnemu zapewnieniu komplementarności projektu z innym pro</w:t>
      </w:r>
      <w:r w:rsidR="00DF1743">
        <w:t xml:space="preserve">jektem współfinansowanym z EFS, </w:t>
      </w:r>
      <w:r>
        <w:t>natomiast 16</w:t>
      </w:r>
      <w:r w:rsidR="00DF1743">
        <w:t>,9</w:t>
      </w:r>
      <w:r>
        <w:t>% badanych nie zidentyfikowało zwiększenia efektywności projektu dzięki przedmiotowemu warunkowi.</w:t>
      </w:r>
      <w:r w:rsidR="00294C35">
        <w:t xml:space="preserve"> Osiągnięcie lepszych efektów wynikało z zapotrzebowania, jakie zostało zidentyfikowane </w:t>
      </w:r>
      <w:r w:rsidR="00895B2D">
        <w:t>przed złożeniem wniosków o </w:t>
      </w:r>
      <w:r w:rsidR="00294C35">
        <w:t>dofinansowanie. Realizacja wyłącznie projektu skutkującego powstaniem nowej infrastruktury lub jedynie przeprowadzeniem miękkich dział</w:t>
      </w:r>
      <w:r w:rsidR="00895B2D">
        <w:t>ań nie odpowiedziałaby bowiem w </w:t>
      </w:r>
      <w:r w:rsidR="00294C35">
        <w:t>pełny sposób na zdiagnozowane potrzeby odbiorców.</w:t>
      </w:r>
    </w:p>
    <w:p w14:paraId="26313084" w14:textId="19C06E91" w:rsidR="008E3F9D" w:rsidRDefault="008E3F9D" w:rsidP="00DF64C7">
      <w:pPr>
        <w:pStyle w:val="Legenda"/>
        <w:spacing w:line="271" w:lineRule="auto"/>
        <w:jc w:val="left"/>
      </w:pPr>
      <w:bookmarkStart w:id="104" w:name="_Toc33459808"/>
      <w:r>
        <w:t xml:space="preserve">Wykres </w:t>
      </w:r>
      <w:r w:rsidR="00A83EB8">
        <w:rPr>
          <w:noProof/>
        </w:rPr>
        <w:fldChar w:fldCharType="begin"/>
      </w:r>
      <w:r w:rsidR="00A83EB8">
        <w:rPr>
          <w:noProof/>
        </w:rPr>
        <w:instrText xml:space="preserve"> SEQ Wykres \* ARABIC </w:instrText>
      </w:r>
      <w:r w:rsidR="00A83EB8">
        <w:rPr>
          <w:noProof/>
        </w:rPr>
        <w:fldChar w:fldCharType="separate"/>
      </w:r>
      <w:r w:rsidR="00A8147E">
        <w:rPr>
          <w:noProof/>
        </w:rPr>
        <w:t>30</w:t>
      </w:r>
      <w:r w:rsidR="00A83EB8">
        <w:rPr>
          <w:noProof/>
        </w:rPr>
        <w:fldChar w:fldCharType="end"/>
      </w:r>
      <w:r w:rsidR="00895B2D">
        <w:rPr>
          <w:noProof/>
        </w:rPr>
        <w:t>.</w:t>
      </w:r>
      <w:r>
        <w:t xml:space="preserve"> </w:t>
      </w:r>
      <w:r w:rsidRPr="002D4212">
        <w:t>Czy zapewnienie komplementarności projektu sprawiło, że udało się Państwu osiągnąć lepsze efekty projektu?</w:t>
      </w:r>
      <w:bookmarkEnd w:id="104"/>
    </w:p>
    <w:p w14:paraId="481EEE5A" w14:textId="77777777" w:rsidR="008E3F9D" w:rsidRDefault="00AC715E" w:rsidP="00DF64C7">
      <w:pPr>
        <w:pStyle w:val="Legenda"/>
        <w:spacing w:line="271" w:lineRule="auto"/>
        <w:jc w:val="left"/>
      </w:pPr>
      <w:r>
        <w:rPr>
          <w:noProof/>
          <w:lang w:eastAsia="pl-PL"/>
        </w:rPr>
        <w:drawing>
          <wp:inline distT="0" distB="0" distL="0" distR="0" wp14:anchorId="4690DDF0" wp14:editId="3E9F2172">
            <wp:extent cx="5745193" cy="1276710"/>
            <wp:effectExtent l="0" t="0" r="27305" b="19050"/>
            <wp:docPr id="24" name="Wykres 24" descr="Wykres przedstawia rozkład procentowy odpowiedzi beneficjentów na pytanie: &quot;Czy zapewnienie komplementarności projektu sprawiło, że udało się Państwu osiągnąć lepsze efekty projektu?&quot;. Odpowiedzi beneficjentów OP XII przedstawiono na wykresie kolumnowym: zdecydowanie tak (16,9%), raczej tak (26,5%), trudno powiedzieć (39,8%), raczej nie (14,5%), zdecydownie nie (2,4%)." title="Czy zapewnienie komplementarności projektu sprawiło, że udało się Państwu osiągnąć lepsze efekty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5AAC796" w14:textId="77777777" w:rsidR="00E73C33" w:rsidRPr="00E73C33" w:rsidRDefault="00E73C33" w:rsidP="00DF64C7">
      <w:pPr>
        <w:pStyle w:val="podpisrdailustracji"/>
        <w:spacing w:line="271" w:lineRule="auto"/>
        <w:jc w:val="left"/>
      </w:pPr>
      <w:r w:rsidRPr="00E73C33">
        <w:t>Źródło: opracowanie własne na podstawie badania C</w:t>
      </w:r>
      <w:r>
        <w:t>AWI/CATI z beneficjentami</w:t>
      </w:r>
      <w:r w:rsidR="00AC715E">
        <w:t xml:space="preserve"> OP XII</w:t>
      </w:r>
      <w:r>
        <w:t>, n=83</w:t>
      </w:r>
      <w:r w:rsidRPr="00E73C33">
        <w:t>.</w:t>
      </w:r>
    </w:p>
    <w:p w14:paraId="63B7BDFA" w14:textId="77777777" w:rsidR="00A52E27" w:rsidRDefault="00A52E27" w:rsidP="00DF64C7">
      <w:pPr>
        <w:jc w:val="left"/>
      </w:pPr>
      <w:r>
        <w:t>Dodatkowo 39</w:t>
      </w:r>
      <w:r w:rsidR="00E85C80">
        <w:t>,4</w:t>
      </w:r>
      <w:r>
        <w:t xml:space="preserve">% beneficjentów wsparcia w ramach </w:t>
      </w:r>
      <w:r w:rsidR="00E85C80">
        <w:t xml:space="preserve">OP </w:t>
      </w:r>
      <w:r>
        <w:t>XII pozytywnie ocenia konieczność zapewnienia obowiązkowej komplementarno</w:t>
      </w:r>
      <w:r w:rsidR="00534E4D">
        <w:t>ści projektu. Przeciwnego zdania jest jedynie 9,6% badanych. Ponad połowa beneficjentów nie miała na ten temat zdania.</w:t>
      </w:r>
    </w:p>
    <w:p w14:paraId="1AFFFCA9" w14:textId="5497D444" w:rsidR="000B030D" w:rsidRDefault="000B030D" w:rsidP="00DF64C7">
      <w:pPr>
        <w:pStyle w:val="Legenda"/>
        <w:spacing w:line="271" w:lineRule="auto"/>
        <w:jc w:val="left"/>
      </w:pPr>
      <w:bookmarkStart w:id="105" w:name="_Toc33459809"/>
      <w:r>
        <w:t xml:space="preserve">Wykres </w:t>
      </w:r>
      <w:r w:rsidR="00A83EB8">
        <w:rPr>
          <w:noProof/>
        </w:rPr>
        <w:fldChar w:fldCharType="begin"/>
      </w:r>
      <w:r w:rsidR="00A83EB8">
        <w:rPr>
          <w:noProof/>
        </w:rPr>
        <w:instrText xml:space="preserve"> SEQ Wykres \* ARABIC </w:instrText>
      </w:r>
      <w:r w:rsidR="00A83EB8">
        <w:rPr>
          <w:noProof/>
        </w:rPr>
        <w:fldChar w:fldCharType="separate"/>
      </w:r>
      <w:r w:rsidR="00A8147E">
        <w:rPr>
          <w:noProof/>
        </w:rPr>
        <w:t>31</w:t>
      </w:r>
      <w:r w:rsidR="00A83EB8">
        <w:rPr>
          <w:noProof/>
        </w:rPr>
        <w:fldChar w:fldCharType="end"/>
      </w:r>
      <w:r w:rsidR="00895B2D">
        <w:rPr>
          <w:noProof/>
        </w:rPr>
        <w:t>.</w:t>
      </w:r>
      <w:r>
        <w:t xml:space="preserve"> </w:t>
      </w:r>
      <w:r w:rsidRPr="00F22356">
        <w:t>W jaki sposób oceniają Państwo konieczność zapewnienia ww. obowiązkowej komplementarności projektu?</w:t>
      </w:r>
      <w:bookmarkEnd w:id="105"/>
    </w:p>
    <w:p w14:paraId="698C94E4" w14:textId="77777777" w:rsidR="001364C7" w:rsidRDefault="00AC715E" w:rsidP="00DF64C7">
      <w:pPr>
        <w:jc w:val="left"/>
      </w:pPr>
      <w:r>
        <w:rPr>
          <w:noProof/>
          <w:lang w:eastAsia="pl-PL"/>
        </w:rPr>
        <w:drawing>
          <wp:inline distT="0" distB="0" distL="0" distR="0" wp14:anchorId="79D2E369" wp14:editId="2A6B1A8C">
            <wp:extent cx="5745193" cy="1345721"/>
            <wp:effectExtent l="0" t="0" r="27305" b="26035"/>
            <wp:docPr id="17" name="Wykres 17" descr="Wykres przedstawia procentowy rozkład odpowiedzi beneficjentów na pytanie: &quot;W jaki sposób oceniają Państwo konieczność zapewnienia ww. obowiązkowej komplementarności projektu?&quot;. Odpowiedzi beneficjentów OP XII przedstawiono na wykresie kolumnowym: zdecydowanie tak (16,0%), raczej tak (23,4%), trudno powiedzieć (51,1%), raczej nie (7,4%), zdecydownie nie (2,1%)." title="W jaki sposób oceniają Państwo konieczność zapewnienia ww. obowiązkowej komplementarności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138E331" w14:textId="77777777" w:rsidR="00E73C33" w:rsidRDefault="00E73C33" w:rsidP="00DF64C7">
      <w:pPr>
        <w:pStyle w:val="podpisrdailustracji"/>
        <w:spacing w:line="271" w:lineRule="auto"/>
        <w:jc w:val="left"/>
      </w:pPr>
      <w:r w:rsidRPr="00E73C33">
        <w:t>Źródło: opracowanie własne na podstawie badania C</w:t>
      </w:r>
      <w:r>
        <w:t>AWI/CATI z beneficjentami</w:t>
      </w:r>
      <w:r w:rsidR="00AC715E">
        <w:t xml:space="preserve"> OP XII</w:t>
      </w:r>
      <w:r>
        <w:t>, n=94</w:t>
      </w:r>
      <w:r w:rsidRPr="00E73C33">
        <w:t>.</w:t>
      </w:r>
    </w:p>
    <w:p w14:paraId="0E70AC04" w14:textId="77777777" w:rsidR="0080301C" w:rsidRDefault="0080301C" w:rsidP="00DF64C7">
      <w:pPr>
        <w:jc w:val="left"/>
      </w:pPr>
      <w:r>
        <w:t xml:space="preserve">Kwestia obligatoryjnej komplementarności projektów </w:t>
      </w:r>
      <w:r w:rsidRPr="00AB435F">
        <w:t>współfinansowanych z EFRR</w:t>
      </w:r>
      <w:r>
        <w:t xml:space="preserve"> i EFS spotkała się ze zróżnicowanymi opiniami badanych przedstawicieli IZ i IP</w:t>
      </w:r>
      <w:r w:rsidR="00985EC0">
        <w:t xml:space="preserve"> oraz ekspertów z zakresu edukacji</w:t>
      </w:r>
      <w:r>
        <w:t xml:space="preserve">. Z jednej strony część respondentów wskazywała na brak większych problemów w zapewnieniu tejże komplementarności oraz idący za tym wzrost w zakresie kompleksowości realizowanych projektów. Z drugiej jednak strony część </w:t>
      </w:r>
      <w:r w:rsidR="00985EC0">
        <w:t>osób</w:t>
      </w:r>
      <w:r>
        <w:t xml:space="preserve"> wskazywała na istotne problemy z tym związane. Beneficjenci niekiedy mieli bowiem trudnośc</w:t>
      </w:r>
      <w:r w:rsidR="00895B2D">
        <w:t>i z uzyskaniem dofinansowania w </w:t>
      </w:r>
      <w:r>
        <w:t>ramach dwóch projektów (tj. w ramach EFRR i EFS), b</w:t>
      </w:r>
      <w:r w:rsidR="00895B2D">
        <w:t>ądź uzyskiwali dofinansowanie w </w:t>
      </w:r>
      <w:r>
        <w:t xml:space="preserve">późniejszym niż zakładali terminie. Skutkowało to m.in. koniecznością finansowania komplementarnych projektów ze środków własnych beneficjentów (np. w okresie trwałości dofinansowanego projektu infrastrukturalnego). </w:t>
      </w:r>
      <w:r w:rsidR="00BB5D50">
        <w:t>P</w:t>
      </w:r>
      <w:r>
        <w:t>roblem t</w:t>
      </w:r>
      <w:r w:rsidR="00895B2D">
        <w:t>en mógłby mieć mniejszą skalę w </w:t>
      </w:r>
      <w:r>
        <w:t xml:space="preserve">przypadku </w:t>
      </w:r>
      <w:r w:rsidR="002D2F68" w:rsidRPr="002D2F68">
        <w:t xml:space="preserve">lepszego </w:t>
      </w:r>
      <w:r w:rsidR="000433D5">
        <w:t>skoordynowania</w:t>
      </w:r>
      <w:r w:rsidR="000433D5" w:rsidRPr="002D2F68">
        <w:t xml:space="preserve"> </w:t>
      </w:r>
      <w:r>
        <w:t>terminów naborów wniosków w ramach poszczególnych funduszy (poprzez co łatwiej można by realizować równocześnie komplementarne wobec siebie projekty, dofinansowane z EFRR i EFS).</w:t>
      </w:r>
      <w:r w:rsidR="00BA6F4D">
        <w:t xml:space="preserve"> Istotność tego aspektu problemowego podkreślali również uczestnicy panelu delfickiego.</w:t>
      </w:r>
    </w:p>
    <w:p w14:paraId="1383C76F" w14:textId="77777777" w:rsidR="001E68E5" w:rsidRDefault="00BB5D50" w:rsidP="00DF64C7">
      <w:pPr>
        <w:jc w:val="left"/>
      </w:pPr>
      <w:r>
        <w:t xml:space="preserve">Z jednej strony </w:t>
      </w:r>
      <w:r w:rsidR="00693ADA">
        <w:t>można więc mówić o</w:t>
      </w:r>
      <w:r w:rsidR="0080301C">
        <w:t xml:space="preserve"> korzyści</w:t>
      </w:r>
      <w:r w:rsidR="00693ADA">
        <w:t>ach</w:t>
      </w:r>
      <w:r w:rsidR="0080301C">
        <w:t xml:space="preserve"> płynąc</w:t>
      </w:r>
      <w:r w:rsidR="00693ADA">
        <w:t>ych</w:t>
      </w:r>
      <w:r w:rsidR="0080301C">
        <w:t xml:space="preserve"> z tego rozwiązania (brak zjawiska budowy obiektów, w których w późniejszym okresie nie realizuje się żadnych działań – co miało miejsce w poprzedniej perspektywie finansowej, kiedy to nie zachodziła konieczność zapewnienia komplementarności pomiędzy</w:t>
      </w:r>
      <w:r w:rsidR="00895B2D">
        <w:t xml:space="preserve"> działaniami wspartymi z EFRR i </w:t>
      </w:r>
      <w:r w:rsidR="0080301C">
        <w:t xml:space="preserve">EFS), z drugiej strony </w:t>
      </w:r>
      <w:r>
        <w:t>widoczne są</w:t>
      </w:r>
      <w:r w:rsidR="0080301C">
        <w:t xml:space="preserve"> problemy beneficjentów w spełnieniu tego obowiązku. Negatywne aspekty dotykają również samego procesu wydatkowania przyznanej alokacji, gdyż opóźnienia występujące przy okazji realizacji projektów wspartych z EFRR mają tym samym bezpośrednie przełożenie na opóźnienia w wydatkowaniu środków z EFS.</w:t>
      </w:r>
      <w:r w:rsidR="00F12C16">
        <w:t xml:space="preserve"> Przedstawic</w:t>
      </w:r>
      <w:r w:rsidR="008228CB">
        <w:t>i</w:t>
      </w:r>
      <w:r w:rsidR="00F12C16">
        <w:t>ele IZ oraz IP wskazywali, że złagodze</w:t>
      </w:r>
      <w:r w:rsidR="00895B2D">
        <w:t>nie zapisów znajdujących się w </w:t>
      </w:r>
      <w:r w:rsidR="00F12C16" w:rsidRPr="001C43E0">
        <w:rPr>
          <w:i/>
        </w:rPr>
        <w:t>Przewodniku dla Beneficjentów EFRR RPO WSL 2014-2020</w:t>
      </w:r>
      <w:r w:rsidR="00F12C16">
        <w:t>, które nastąpiło w grudniu 2019 r. jest słuszne</w:t>
      </w:r>
      <w:r w:rsidR="006732F7">
        <w:t xml:space="preserve"> (dotyczące możliwości sfinansowania działań komplementarnych ze środków własnych, co nie skutkuje rozwiązaniem umowy)</w:t>
      </w:r>
      <w:r w:rsidR="00F12C16">
        <w:t xml:space="preserve">. </w:t>
      </w:r>
      <w:r w:rsidR="002D2F68" w:rsidRPr="002D2F68">
        <w:t>Zachowanie komplementarności między projektami infrastrukturalnymi i społecznymi jest konieczne</w:t>
      </w:r>
      <w:r w:rsidR="00F12C16">
        <w:t>, beneficjenci powinni jednak mieć możliwość elastycznego działania w tym zakresie (finansowanie komplementarnych działań z funduszy EFS, ale także innych środków zewnętrznych lub środków własnych).</w:t>
      </w:r>
    </w:p>
    <w:p w14:paraId="4186A6B8" w14:textId="77777777" w:rsidR="001E68E5" w:rsidRPr="00233BF6" w:rsidRDefault="00233BF6" w:rsidP="00DF64C7">
      <w:pPr>
        <w:jc w:val="left"/>
        <w:rPr>
          <w:b/>
          <w:bCs/>
          <w:color w:val="E36C0A" w:themeColor="accent6" w:themeShade="BF"/>
          <w:u w:val="single" w:color="984806" w:themeColor="accent6" w:themeShade="80"/>
        </w:rPr>
      </w:pPr>
      <w:r>
        <w:rPr>
          <w:rStyle w:val="Odwoanieintensywne"/>
        </w:rPr>
        <w:t>Podsumowanie</w:t>
      </w:r>
      <w:r w:rsidR="00BA71DC">
        <w:rPr>
          <w:rStyle w:val="Odwoanieintensywne"/>
        </w:rPr>
        <w:t xml:space="preserve"> </w:t>
      </w:r>
    </w:p>
    <w:p w14:paraId="65B6BFED" w14:textId="77777777" w:rsidR="009333C5" w:rsidRDefault="003A227E" w:rsidP="00DF64C7">
      <w:pPr>
        <w:jc w:val="left"/>
      </w:pPr>
      <w:r>
        <w:t>Analiza danych zastanych i zrealizowane badania</w:t>
      </w:r>
      <w:r w:rsidR="00BF29F5">
        <w:t xml:space="preserve"> pierwotne</w:t>
      </w:r>
      <w:r>
        <w:t xml:space="preserve"> wykazały wysoki poziom</w:t>
      </w:r>
      <w:r w:rsidRPr="00BC75D8">
        <w:t xml:space="preserve"> komplementarności projektów realizowanych w ramach OP XI </w:t>
      </w:r>
      <w:r w:rsidR="009213E6" w:rsidRPr="009213E6">
        <w:t>z innymi projektami</w:t>
      </w:r>
      <w:r w:rsidR="009333C5">
        <w:t xml:space="preserve"> (w tym z projektami z EFRR)</w:t>
      </w:r>
      <w:r w:rsidR="009213E6" w:rsidRPr="009213E6">
        <w:t xml:space="preserve">. </w:t>
      </w:r>
      <w:r w:rsidR="009333C5">
        <w:t>Z</w:t>
      </w:r>
      <w:r w:rsidR="009213E6" w:rsidRPr="009213E6">
        <w:t xml:space="preserve">apewnienie komplementarności </w:t>
      </w:r>
      <w:r w:rsidR="009333C5">
        <w:t>przysparzało</w:t>
      </w:r>
      <w:r w:rsidR="009213E6" w:rsidRPr="009213E6">
        <w:t xml:space="preserve"> beneficjent</w:t>
      </w:r>
      <w:r w:rsidR="009333C5">
        <w:t>om</w:t>
      </w:r>
      <w:r w:rsidR="009213E6" w:rsidRPr="009213E6">
        <w:t xml:space="preserve"> wsparcia</w:t>
      </w:r>
      <w:r w:rsidR="009333C5">
        <w:t xml:space="preserve"> pewnych</w:t>
      </w:r>
      <w:r w:rsidR="009213E6" w:rsidRPr="009213E6">
        <w:t xml:space="preserve"> trudności</w:t>
      </w:r>
      <w:r w:rsidR="009600EA">
        <w:t>:</w:t>
      </w:r>
    </w:p>
    <w:p w14:paraId="2EEDD432" w14:textId="77777777" w:rsidR="009333C5" w:rsidRDefault="009333C5" w:rsidP="00DF64C7">
      <w:pPr>
        <w:pStyle w:val="Akapitzlist"/>
        <w:numPr>
          <w:ilvl w:val="0"/>
          <w:numId w:val="37"/>
        </w:numPr>
        <w:jc w:val="left"/>
      </w:pPr>
      <w:r>
        <w:t>konieczność powiązania realizacji projektu finansowanego ze środków EFS z harmonogramem realizacji projektów dofinansowanych z EFRR;</w:t>
      </w:r>
    </w:p>
    <w:p w14:paraId="74F2479F" w14:textId="77777777" w:rsidR="009333C5" w:rsidRDefault="009333C5" w:rsidP="00DF64C7">
      <w:pPr>
        <w:pStyle w:val="Akapitzlist"/>
        <w:numPr>
          <w:ilvl w:val="0"/>
          <w:numId w:val="37"/>
        </w:numPr>
        <w:jc w:val="left"/>
      </w:pPr>
      <w:r>
        <w:t>wymogi dotyczące czasu trwania projektów EFS, które były niekompatybilne z potencjalnymi opóźnieniami projektów budowlanych;</w:t>
      </w:r>
    </w:p>
    <w:p w14:paraId="0DB28737" w14:textId="77777777" w:rsidR="009333C5" w:rsidRDefault="009333C5" w:rsidP="00DF64C7">
      <w:pPr>
        <w:pStyle w:val="Akapitzlist"/>
        <w:numPr>
          <w:ilvl w:val="0"/>
          <w:numId w:val="37"/>
        </w:numPr>
        <w:jc w:val="left"/>
      </w:pPr>
      <w:r>
        <w:t>pozyskanie kosztów na utrzymanie dodatkowych grup przedszkolnych;</w:t>
      </w:r>
    </w:p>
    <w:p w14:paraId="14FA048D" w14:textId="77777777" w:rsidR="009333C5" w:rsidRDefault="009333C5" w:rsidP="00DF64C7">
      <w:pPr>
        <w:pStyle w:val="Akapitzlist"/>
        <w:numPr>
          <w:ilvl w:val="0"/>
          <w:numId w:val="37"/>
        </w:numPr>
        <w:jc w:val="left"/>
      </w:pPr>
      <w:r>
        <w:t>czas pomiędzy zakończeniem jednego i rozpoczęciem kolejnego projektu;</w:t>
      </w:r>
    </w:p>
    <w:p w14:paraId="568D5835" w14:textId="77777777" w:rsidR="009333C5" w:rsidRDefault="009333C5" w:rsidP="00DF64C7">
      <w:pPr>
        <w:pStyle w:val="Akapitzlist"/>
        <w:numPr>
          <w:ilvl w:val="0"/>
          <w:numId w:val="37"/>
        </w:numPr>
        <w:jc w:val="left"/>
      </w:pPr>
      <w:r>
        <w:t>problemy organizacyjne związane z koordynowaniem dwóch dużych projektów w tym samym czasie.</w:t>
      </w:r>
    </w:p>
    <w:p w14:paraId="077DD1EF" w14:textId="77777777" w:rsidR="009600EA" w:rsidRDefault="009600EA" w:rsidP="00DF64C7">
      <w:pPr>
        <w:jc w:val="left"/>
      </w:pPr>
      <w:r>
        <w:t>Należy zauważyć</w:t>
      </w:r>
      <w:r w:rsidR="001F1F05">
        <w:t>, ż</w:t>
      </w:r>
      <w:r>
        <w:t>e główny problem (związany z niedopasowanymi harmonogramami naboru wniosków w ramach EFS i EFRR) został już rozwiązany, wobec czego nie są wymagane w  tym zakresie kolejne zmiany.</w:t>
      </w:r>
    </w:p>
    <w:p w14:paraId="00EB67CA" w14:textId="77777777" w:rsidR="003A227E" w:rsidRDefault="009600EA" w:rsidP="00DF64C7">
      <w:pPr>
        <w:jc w:val="left"/>
      </w:pPr>
      <w:r>
        <w:t>Jak wynika z badania beneficjentów wsparcia,</w:t>
      </w:r>
      <w:r w:rsidR="009213E6" w:rsidRPr="009213E6">
        <w:t xml:space="preserve"> zapewnienie komplementarności projektu nie zapewnia</w:t>
      </w:r>
      <w:r>
        <w:t xml:space="preserve"> jednak (ich zdaniem)</w:t>
      </w:r>
      <w:r w:rsidR="009213E6" w:rsidRPr="009213E6">
        <w:t xml:space="preserve"> osiągnięcia lepszych rezultatów</w:t>
      </w:r>
      <w:r w:rsidR="003A227E">
        <w:t xml:space="preserve">. </w:t>
      </w:r>
      <w:r w:rsidR="003A227E" w:rsidRPr="00BC75D8">
        <w:t>Wykazanie komplementarności w przypadku realizacji projektu w ramach OP XII było obligatoryjne</w:t>
      </w:r>
      <w:r w:rsidR="003A227E">
        <w:t xml:space="preserve">, a zdaniem większości beneficjentów wsparcia </w:t>
      </w:r>
      <w:r w:rsidR="003A227E" w:rsidRPr="00BC75D8">
        <w:t>konieczność zapewnienia komplementarności projektu pozwoliła lepiej reagować na zidentyfikowane we wspartych placówkach problemy</w:t>
      </w:r>
      <w:r w:rsidR="003A227E">
        <w:t xml:space="preserve">. W przypadku OP XII 43,4% respondentów badania </w:t>
      </w:r>
      <w:r w:rsidR="003A227E" w:rsidRPr="00BC75D8">
        <w:t>potwierdziło osiągnięcie lepszych efektów projektu dzięki obligatoryjnemu zapewnieniu komplementarności projektu z in</w:t>
      </w:r>
      <w:r w:rsidR="003A227E">
        <w:t xml:space="preserve">nym projektem współfinansowanym </w:t>
      </w:r>
      <w:r w:rsidR="003A227E" w:rsidRPr="00BC75D8">
        <w:t>z EFS</w:t>
      </w:r>
      <w:r w:rsidR="003A227E">
        <w:t>.</w:t>
      </w:r>
      <w:r w:rsidR="003A227E" w:rsidRPr="009C46BC">
        <w:t xml:space="preserve"> </w:t>
      </w:r>
      <w:r w:rsidR="003A227E">
        <w:t>K</w:t>
      </w:r>
      <w:r w:rsidR="003A227E" w:rsidRPr="009C46BC">
        <w:t>onieczno</w:t>
      </w:r>
      <w:r w:rsidR="003A227E">
        <w:t xml:space="preserve">ść zapewnienia ww. obowiązkowej </w:t>
      </w:r>
      <w:r w:rsidR="003A227E" w:rsidRPr="009C46BC">
        <w:t>komplementarności projektu</w:t>
      </w:r>
      <w:r w:rsidR="003A227E">
        <w:t xml:space="preserve"> oceniona została pozytywnie.</w:t>
      </w:r>
      <w:r w:rsidR="006732F7">
        <w:t xml:space="preserve"> Biorąc pod uwagę ogół przeprowadzonych badań (i wniosków z nich płynących) kwestię komplementarności projektów ocenić należy pozytywnie. Mimo pojawiających się trudności, należy mieć bowiem przede wszystkim na uwadze osiągane efekty. W przypadku konieczności zapewnienia obligatoryjnej komplementarnoś</w:t>
      </w:r>
      <w:r w:rsidR="006F269E">
        <w:t>c</w:t>
      </w:r>
      <w:r w:rsidR="006732F7">
        <w:t>i projektów finansowanych z EFRR z projektami „miękkimi”, oddalamy ryzyko tworzenia „pustej” infrastruktury. Zapewnienie realizacji określonych działań w powstającej w ramach projektów infrastrukturze stanowić powinno fundament przyszłych realizowanych projektów, mobilizując tym samym beneficjentów do odpowiedniego zaplanowania przyszłych działań, które realizowane będą w powstających/modernizowanych obiektach.</w:t>
      </w:r>
    </w:p>
    <w:p w14:paraId="61F95911" w14:textId="77777777" w:rsidR="007B6935" w:rsidRDefault="007B6935" w:rsidP="00DF64C7">
      <w:pPr>
        <w:jc w:val="left"/>
      </w:pPr>
    </w:p>
    <w:p w14:paraId="35DAD338" w14:textId="77777777" w:rsidR="007B6935" w:rsidRDefault="007B6935" w:rsidP="00DF64C7">
      <w:pPr>
        <w:jc w:val="left"/>
      </w:pPr>
    </w:p>
    <w:p w14:paraId="26E5DBD2" w14:textId="77777777" w:rsidR="00A464CB" w:rsidRDefault="00A464CB" w:rsidP="00DF64C7">
      <w:pPr>
        <w:pStyle w:val="Nagwek3"/>
        <w:spacing w:line="271" w:lineRule="auto"/>
        <w:ind w:left="426"/>
        <w:jc w:val="left"/>
        <w:rPr>
          <w:rFonts w:eastAsia="Arial"/>
        </w:rPr>
      </w:pPr>
      <w:bookmarkStart w:id="106" w:name="_Toc35626757"/>
      <w:bookmarkStart w:id="107" w:name="_Toc24466824"/>
      <w:bookmarkStart w:id="108" w:name="_Toc25664306"/>
      <w:bookmarkStart w:id="109" w:name="_Toc26526287"/>
      <w:bookmarkStart w:id="110" w:name="_Toc38035019"/>
      <w:bookmarkEnd w:id="106"/>
      <w:r w:rsidRPr="00610089">
        <w:rPr>
          <w:rFonts w:eastAsia="Arial"/>
        </w:rPr>
        <w:t>W jaki sposób zapewniono</w:t>
      </w:r>
      <w:r>
        <w:rPr>
          <w:rFonts w:eastAsia="Arial"/>
        </w:rPr>
        <w:t xml:space="preserve"> w </w:t>
      </w:r>
      <w:r w:rsidRPr="00610089">
        <w:rPr>
          <w:rFonts w:eastAsia="Arial"/>
        </w:rPr>
        <w:t>projektach realizowanych</w:t>
      </w:r>
      <w:r>
        <w:rPr>
          <w:rFonts w:eastAsia="Arial"/>
        </w:rPr>
        <w:t xml:space="preserve"> w </w:t>
      </w:r>
      <w:r w:rsidRPr="00610089">
        <w:rPr>
          <w:rFonts w:eastAsia="Arial"/>
        </w:rPr>
        <w:t>ramach RPO WSL 2014-2020 wypełnianie zasad horyzontalnych, tj. zasady równości szans</w:t>
      </w:r>
      <w:r>
        <w:rPr>
          <w:rFonts w:eastAsia="Arial"/>
        </w:rPr>
        <w:t xml:space="preserve"> i </w:t>
      </w:r>
      <w:r w:rsidRPr="00610089">
        <w:rPr>
          <w:rFonts w:eastAsia="Arial"/>
        </w:rPr>
        <w:t>zapobiegania dyskryminacji,</w:t>
      </w:r>
      <w:r>
        <w:rPr>
          <w:rFonts w:eastAsia="Arial"/>
        </w:rPr>
        <w:t xml:space="preserve"> w </w:t>
      </w:r>
      <w:r w:rsidRPr="00610089">
        <w:rPr>
          <w:rFonts w:eastAsia="Arial"/>
        </w:rPr>
        <w:t>tym dostępności dla osób</w:t>
      </w:r>
      <w:r>
        <w:rPr>
          <w:rFonts w:eastAsia="Arial"/>
        </w:rPr>
        <w:t xml:space="preserve"> z </w:t>
      </w:r>
      <w:r w:rsidRPr="00610089">
        <w:rPr>
          <w:rFonts w:eastAsia="Arial"/>
        </w:rPr>
        <w:t>niepełnosprawnościami, zasady równości szans kobiet</w:t>
      </w:r>
      <w:r>
        <w:rPr>
          <w:rFonts w:eastAsia="Arial"/>
        </w:rPr>
        <w:t xml:space="preserve"> i </w:t>
      </w:r>
      <w:r w:rsidRPr="00610089">
        <w:rPr>
          <w:rFonts w:eastAsia="Arial"/>
        </w:rPr>
        <w:t>mężczyzn, zasady zrównoważonego rozwoju? Czy stosowanie zasad równościowych oraz standardów dostępności było wystarczające</w:t>
      </w:r>
      <w:r>
        <w:rPr>
          <w:rFonts w:eastAsia="Arial"/>
        </w:rPr>
        <w:t xml:space="preserve"> i </w:t>
      </w:r>
      <w:r w:rsidRPr="00610089">
        <w:rPr>
          <w:rFonts w:eastAsia="Arial"/>
        </w:rPr>
        <w:t>rzeczywiście przyczyniło się do wyrównywania szans osób</w:t>
      </w:r>
      <w:r>
        <w:rPr>
          <w:rFonts w:eastAsia="Arial"/>
        </w:rPr>
        <w:t xml:space="preserve"> z </w:t>
      </w:r>
      <w:r w:rsidRPr="00610089">
        <w:rPr>
          <w:rFonts w:eastAsia="Arial"/>
        </w:rPr>
        <w:t>niepełnosprawnościami, kobiet</w:t>
      </w:r>
      <w:r>
        <w:rPr>
          <w:rFonts w:eastAsia="Arial"/>
        </w:rPr>
        <w:t xml:space="preserve"> i </w:t>
      </w:r>
      <w:r w:rsidRPr="00610089">
        <w:rPr>
          <w:rFonts w:eastAsia="Arial"/>
        </w:rPr>
        <w:t>mężczyzn?</w:t>
      </w:r>
      <w:bookmarkEnd w:id="107"/>
      <w:bookmarkEnd w:id="108"/>
      <w:bookmarkEnd w:id="109"/>
      <w:bookmarkEnd w:id="110"/>
    </w:p>
    <w:p w14:paraId="5B2EBDE9" w14:textId="77777777" w:rsidR="0076457A" w:rsidRDefault="0076457A" w:rsidP="00DF64C7">
      <w:pPr>
        <w:jc w:val="left"/>
      </w:pPr>
      <w:r>
        <w:t>Poniżej przedstawiono w</w:t>
      </w:r>
      <w:r w:rsidR="007E5018">
        <w:t>ykaz działań, poprzez które promowan</w:t>
      </w:r>
      <w:r>
        <w:t>e</w:t>
      </w:r>
      <w:r w:rsidR="007E5018">
        <w:t xml:space="preserve"> </w:t>
      </w:r>
      <w:r>
        <w:t>są zasady horyzontalne</w:t>
      </w:r>
      <w:r w:rsidR="007E5018">
        <w:t xml:space="preserve"> w projektach współfinansowanych ze środków RPO WSL 2014-2020</w:t>
      </w:r>
      <w:r>
        <w:t>:</w:t>
      </w:r>
    </w:p>
    <w:p w14:paraId="2B387D72" w14:textId="77777777" w:rsidR="0076457A" w:rsidRDefault="0076457A" w:rsidP="00DF64C7">
      <w:pPr>
        <w:jc w:val="left"/>
      </w:pPr>
    </w:p>
    <w:p w14:paraId="3131442C" w14:textId="77777777" w:rsidR="0076457A" w:rsidRDefault="0076457A" w:rsidP="00DF64C7">
      <w:pPr>
        <w:jc w:val="left"/>
      </w:pPr>
      <w:r w:rsidRPr="00AB136B">
        <w:rPr>
          <w:b/>
        </w:rPr>
        <w:t>Zasada równości szans kobiet i mężczyzn</w:t>
      </w:r>
      <w:r>
        <w:t xml:space="preserve"> promowana jest w projektach współfinansowanych ze środków RPO WSL 2014-2020 poprzez takie działania jak</w:t>
      </w:r>
      <w:r>
        <w:rPr>
          <w:rStyle w:val="Odwoanieprzypisudolnego"/>
        </w:rPr>
        <w:footnoteReference w:id="99"/>
      </w:r>
      <w:r>
        <w:t>:</w:t>
      </w:r>
    </w:p>
    <w:p w14:paraId="4A1129F2" w14:textId="77777777" w:rsidR="0076457A" w:rsidRDefault="0076457A" w:rsidP="00DF64C7">
      <w:pPr>
        <w:pStyle w:val="Akapitzlist"/>
        <w:numPr>
          <w:ilvl w:val="0"/>
          <w:numId w:val="22"/>
        </w:numPr>
        <w:spacing w:after="200"/>
        <w:jc w:val="left"/>
      </w:pPr>
      <w:r>
        <w:t>zapewnienie rekrutacji skierowanej</w:t>
      </w:r>
      <w:r w:rsidRPr="00D80386">
        <w:t xml:space="preserve"> do wszystkich nauczycieli bez względu na płeć</w:t>
      </w:r>
      <w:r>
        <w:t>;</w:t>
      </w:r>
    </w:p>
    <w:p w14:paraId="0F82FA37" w14:textId="77777777" w:rsidR="0076457A" w:rsidRDefault="0076457A" w:rsidP="00DF64C7">
      <w:pPr>
        <w:pStyle w:val="Akapitzlist"/>
        <w:numPr>
          <w:ilvl w:val="0"/>
          <w:numId w:val="22"/>
        </w:numPr>
        <w:spacing w:after="200"/>
        <w:jc w:val="left"/>
      </w:pPr>
      <w:r>
        <w:t xml:space="preserve"> przedstawienie rezultatów projektu w podziale na płeć;</w:t>
      </w:r>
    </w:p>
    <w:p w14:paraId="2EC5C688" w14:textId="77777777" w:rsidR="0076457A" w:rsidRDefault="0076457A" w:rsidP="00DF64C7">
      <w:pPr>
        <w:pStyle w:val="Akapitzlist"/>
        <w:numPr>
          <w:ilvl w:val="0"/>
          <w:numId w:val="22"/>
        </w:numPr>
        <w:spacing w:after="200"/>
        <w:jc w:val="left"/>
      </w:pPr>
      <w:r>
        <w:t>dostosowanie grup docelowych w podziale na płeć proporcjonalnie do rozkładu płci w szkole;</w:t>
      </w:r>
    </w:p>
    <w:p w14:paraId="745E0BDF" w14:textId="77777777" w:rsidR="0076457A" w:rsidRDefault="0076457A" w:rsidP="00DF64C7">
      <w:pPr>
        <w:pStyle w:val="Akapitzlist"/>
        <w:numPr>
          <w:ilvl w:val="0"/>
          <w:numId w:val="22"/>
        </w:numPr>
        <w:spacing w:after="200"/>
        <w:jc w:val="left"/>
      </w:pPr>
      <w:r>
        <w:t>przygotowanie założeń projektu z uwzględnieniem sytuacji mających wziąć w nim udział kobiet i mężczyzn i to zarówno uczniów, jak również osób dorosłych;</w:t>
      </w:r>
    </w:p>
    <w:p w14:paraId="56FA5A41" w14:textId="77777777" w:rsidR="0076457A" w:rsidRDefault="0076457A" w:rsidP="00DF64C7">
      <w:pPr>
        <w:pStyle w:val="Akapitzlist"/>
        <w:numPr>
          <w:ilvl w:val="0"/>
          <w:numId w:val="22"/>
        </w:numPr>
        <w:spacing w:after="200"/>
        <w:jc w:val="left"/>
      </w:pPr>
      <w:r>
        <w:t>za</w:t>
      </w:r>
      <w:r w:rsidRPr="00C62C5F">
        <w:t>pewnieni</w:t>
      </w:r>
      <w:r>
        <w:t>e</w:t>
      </w:r>
      <w:r w:rsidRPr="00C62C5F">
        <w:t xml:space="preserve"> dostępności do produktów projektu, zgodnie z koncepcją uniwersalnego projektowania</w:t>
      </w:r>
      <w:r>
        <w:t xml:space="preserve"> oraz umożliwienie</w:t>
      </w:r>
      <w:r w:rsidRPr="009735CC">
        <w:t xml:space="preserve"> wszystkim osobom bez względu na płeć </w:t>
      </w:r>
      <w:r>
        <w:t xml:space="preserve">możliwości </w:t>
      </w:r>
      <w:r w:rsidRPr="009735CC">
        <w:t>udział</w:t>
      </w:r>
      <w:r>
        <w:t>u</w:t>
      </w:r>
      <w:r w:rsidRPr="009735CC">
        <w:t xml:space="preserve"> w planowanych formach wsparcia na jednakowych zasadach</w:t>
      </w:r>
      <w:r>
        <w:t>;</w:t>
      </w:r>
    </w:p>
    <w:p w14:paraId="5D654D59" w14:textId="77777777" w:rsidR="0076457A" w:rsidRDefault="0076457A" w:rsidP="00DF64C7">
      <w:pPr>
        <w:pStyle w:val="Akapitzlist"/>
        <w:numPr>
          <w:ilvl w:val="0"/>
          <w:numId w:val="22"/>
        </w:numPr>
        <w:spacing w:after="200"/>
        <w:jc w:val="left"/>
      </w:pPr>
      <w:r>
        <w:t>przezwyciężanie stereotypów związanych z przypisywaniem tylko kobietom lub tylko mężczyznom pewnych stałych cech lub ról społecznych;</w:t>
      </w:r>
    </w:p>
    <w:p w14:paraId="12553217" w14:textId="77777777" w:rsidR="0076457A" w:rsidRDefault="0076457A" w:rsidP="00DF64C7">
      <w:pPr>
        <w:pStyle w:val="Akapitzlist"/>
        <w:numPr>
          <w:ilvl w:val="0"/>
          <w:numId w:val="22"/>
        </w:numPr>
        <w:spacing w:after="200"/>
        <w:jc w:val="left"/>
      </w:pPr>
      <w:r>
        <w:t>realizację zasady</w:t>
      </w:r>
      <w:r w:rsidRPr="00C62C5F">
        <w:t xml:space="preserve"> równego traktowania i braku dyskryminacji, ze względu na płeć, wiek, rasę, miejsce zamieszkania, wyznawaną religię, pochodz</w:t>
      </w:r>
      <w:r>
        <w:t>enie czy niepełnosprawność;</w:t>
      </w:r>
    </w:p>
    <w:p w14:paraId="696F5F44" w14:textId="77777777" w:rsidR="0076457A" w:rsidRDefault="0076457A" w:rsidP="00DF64C7">
      <w:pPr>
        <w:pStyle w:val="Akapitzlist"/>
        <w:numPr>
          <w:ilvl w:val="0"/>
          <w:numId w:val="22"/>
        </w:numPr>
        <w:spacing w:after="200"/>
        <w:jc w:val="left"/>
      </w:pPr>
      <w:r>
        <w:t>wdrożenie</w:t>
      </w:r>
      <w:r w:rsidRPr="00C62C5F">
        <w:t xml:space="preserve"> równowart</w:t>
      </w:r>
      <w:r>
        <w:t>ościowego zarządzania projektem - d</w:t>
      </w:r>
      <w:r w:rsidRPr="00C62C5F">
        <w:t>o zespo</w:t>
      </w:r>
      <w:r>
        <w:t>łu projektowego rekrutowane były</w:t>
      </w:r>
      <w:r w:rsidRPr="00C62C5F">
        <w:t xml:space="preserve"> osoby wyłącznie ze względu na doświadczenie zawodowe</w:t>
      </w:r>
      <w:r>
        <w:t>, kompetencje i kwalifikacje;</w:t>
      </w:r>
    </w:p>
    <w:p w14:paraId="70A69568" w14:textId="77777777" w:rsidR="0076457A" w:rsidRDefault="0076457A" w:rsidP="00DF64C7">
      <w:pPr>
        <w:pStyle w:val="Akapitzlist"/>
        <w:numPr>
          <w:ilvl w:val="0"/>
          <w:numId w:val="22"/>
        </w:numPr>
        <w:spacing w:after="200"/>
        <w:jc w:val="left"/>
      </w:pPr>
      <w:r w:rsidRPr="00C62C5F">
        <w:t>działania informacyjne, przekazywanie uczniom niestereotypowej wiedzy oraz pokazanie szerokiego, niezależnego od płci, spektrum możliwych wyborów życiowych;</w:t>
      </w:r>
    </w:p>
    <w:p w14:paraId="41BEB197" w14:textId="77777777" w:rsidR="0076457A" w:rsidRDefault="0076457A" w:rsidP="00DF64C7">
      <w:pPr>
        <w:pStyle w:val="Akapitzlist"/>
        <w:numPr>
          <w:ilvl w:val="0"/>
          <w:numId w:val="22"/>
        </w:numPr>
        <w:spacing w:after="200"/>
        <w:jc w:val="left"/>
      </w:pPr>
      <w:r w:rsidRPr="00C62C5F">
        <w:t>zapoznanie osób prowadzących zaj</w:t>
      </w:r>
      <w:r>
        <w:t>ęcia z polityką równości szans,</w:t>
      </w:r>
      <w:r w:rsidRPr="00C62C5F">
        <w:t xml:space="preserve"> zakup pomocy dydaktycznych uwzględniających zasadę równo</w:t>
      </w:r>
      <w:r>
        <w:t xml:space="preserve">ści, </w:t>
      </w:r>
      <w:r w:rsidRPr="00C62C5F">
        <w:t>prowadzenie zajęć pedagogicznych uwzględniający</w:t>
      </w:r>
      <w:r>
        <w:t>ch w tematyce zasadę równości itp</w:t>
      </w:r>
      <w:r w:rsidRPr="00C62C5F">
        <w:t>.</w:t>
      </w:r>
      <w:r>
        <w:t>;</w:t>
      </w:r>
      <w:r w:rsidRPr="00C62C5F">
        <w:t xml:space="preserve"> </w:t>
      </w:r>
    </w:p>
    <w:p w14:paraId="4BAFBC9B" w14:textId="77777777" w:rsidR="0076457A" w:rsidRDefault="0076457A" w:rsidP="00DF64C7">
      <w:pPr>
        <w:pStyle w:val="Akapitzlist"/>
        <w:numPr>
          <w:ilvl w:val="0"/>
          <w:numId w:val="22"/>
        </w:numPr>
        <w:spacing w:after="200"/>
        <w:jc w:val="left"/>
      </w:pPr>
      <w:r>
        <w:t>określenie głównego kryterium rekrutacyjnego</w:t>
      </w:r>
      <w:r w:rsidRPr="00C62C5F">
        <w:t xml:space="preserve"> </w:t>
      </w:r>
      <w:r>
        <w:t>na podstawie diagnozy</w:t>
      </w:r>
      <w:r w:rsidRPr="00C62C5F">
        <w:t xml:space="preserve"> potrzeb, a nie podział</w:t>
      </w:r>
      <w:r>
        <w:t>u na płeć;</w:t>
      </w:r>
    </w:p>
    <w:p w14:paraId="2FE35C7A" w14:textId="77777777" w:rsidR="0076457A" w:rsidRDefault="0076457A" w:rsidP="00DF64C7">
      <w:pPr>
        <w:pStyle w:val="Akapitzlist"/>
        <w:numPr>
          <w:ilvl w:val="0"/>
          <w:numId w:val="22"/>
        </w:numPr>
        <w:spacing w:after="200"/>
        <w:jc w:val="left"/>
      </w:pPr>
      <w:r>
        <w:t>zarządzanie projektem</w:t>
      </w:r>
      <w:r w:rsidRPr="00E134AF">
        <w:t xml:space="preserve"> w sposób równościowy, w oparciu o</w:t>
      </w:r>
      <w:r>
        <w:t xml:space="preserve"> kompetencyjny model rekrutacji;</w:t>
      </w:r>
    </w:p>
    <w:p w14:paraId="405F89D0" w14:textId="77777777" w:rsidR="0076457A" w:rsidRDefault="0076457A" w:rsidP="00DF64C7">
      <w:pPr>
        <w:pStyle w:val="Akapitzlist"/>
        <w:numPr>
          <w:ilvl w:val="0"/>
          <w:numId w:val="22"/>
        </w:numPr>
        <w:spacing w:after="200"/>
        <w:jc w:val="left"/>
      </w:pPr>
      <w:r>
        <w:t>opracowanie narzędzi</w:t>
      </w:r>
      <w:r w:rsidRPr="00E134AF">
        <w:t xml:space="preserve"> monitoringu w podziale na płeć, </w:t>
      </w:r>
      <w:r>
        <w:t>w celu monitorowania sposobów</w:t>
      </w:r>
      <w:r w:rsidRPr="00E134AF">
        <w:t xml:space="preserve"> rozwiązywanie barier równośc</w:t>
      </w:r>
      <w:r>
        <w:t>iowych;</w:t>
      </w:r>
    </w:p>
    <w:p w14:paraId="2C36D412" w14:textId="77777777" w:rsidR="0076457A" w:rsidRDefault="0076457A" w:rsidP="00DF64C7">
      <w:pPr>
        <w:pStyle w:val="Akapitzlist"/>
        <w:numPr>
          <w:ilvl w:val="0"/>
          <w:numId w:val="22"/>
        </w:numPr>
        <w:spacing w:after="200"/>
        <w:jc w:val="left"/>
      </w:pPr>
      <w:r w:rsidRPr="00E134AF">
        <w:t>nabór dzieci na zajęcia dla uczniów młodszych i ze specjalnymi potrzebami ze względu na ich charakter i rodzaj wsparcia będzie prowadzony na podstawie przeprowadzonych diagnoz</w:t>
      </w:r>
      <w:r>
        <w:t>, bez względu na płeć;</w:t>
      </w:r>
    </w:p>
    <w:p w14:paraId="4E727268" w14:textId="77777777" w:rsidR="0076457A" w:rsidRDefault="0076457A" w:rsidP="00DF64C7">
      <w:pPr>
        <w:pStyle w:val="Akapitzlist"/>
        <w:numPr>
          <w:ilvl w:val="0"/>
          <w:numId w:val="22"/>
        </w:numPr>
        <w:spacing w:after="200"/>
        <w:jc w:val="left"/>
      </w:pPr>
      <w:r w:rsidRPr="002630A8">
        <w:t xml:space="preserve">zajęcia </w:t>
      </w:r>
      <w:r>
        <w:t>w</w:t>
      </w:r>
      <w:r w:rsidRPr="002630A8">
        <w:t>prowadzające edukacyjne wzbogacane będą o problematykę równości płci oraz przeciwdziałania dyskryminacji, zarówno ze względu na płeć, jak i inne przesłanki</w:t>
      </w:r>
      <w:r>
        <w:t>;</w:t>
      </w:r>
    </w:p>
    <w:p w14:paraId="179BDEA5" w14:textId="77777777" w:rsidR="0076457A" w:rsidRDefault="0076457A" w:rsidP="00DF64C7">
      <w:pPr>
        <w:pStyle w:val="Akapitzlist"/>
        <w:numPr>
          <w:ilvl w:val="0"/>
          <w:numId w:val="22"/>
        </w:numPr>
        <w:spacing w:after="200"/>
        <w:jc w:val="left"/>
      </w:pPr>
      <w:r w:rsidRPr="002630A8">
        <w:t>włączenie</w:t>
      </w:r>
      <w:r>
        <w:t xml:space="preserve"> </w:t>
      </w:r>
      <w:r w:rsidRPr="002630A8">
        <w:t>w porównywalnym stopniu dziewczynek i chłopców do każdego rodzaju zajęć, rozmawianie z dziećmi w ramach realizowanego przedmiotu o trudnych emocjach, konfliktach, przemocy, o stereotypach</w:t>
      </w:r>
      <w:r>
        <w:t xml:space="preserve"> itp.;</w:t>
      </w:r>
    </w:p>
    <w:p w14:paraId="51B911C5" w14:textId="77777777" w:rsidR="0076457A" w:rsidRDefault="0076457A" w:rsidP="00DF64C7">
      <w:pPr>
        <w:pStyle w:val="Akapitzlist"/>
        <w:numPr>
          <w:ilvl w:val="0"/>
          <w:numId w:val="22"/>
        </w:numPr>
        <w:spacing w:after="200"/>
        <w:jc w:val="left"/>
      </w:pPr>
      <w:r>
        <w:t>m</w:t>
      </w:r>
      <w:r w:rsidRPr="002630A8">
        <w:t xml:space="preserve">ateriały dla kadry </w:t>
      </w:r>
      <w:r>
        <w:t>zawierające</w:t>
      </w:r>
      <w:r w:rsidRPr="002630A8">
        <w:t xml:space="preserve"> takie zagadni</w:t>
      </w:r>
      <w:r>
        <w:t>enia jak: zachęcanie chłopców i </w:t>
      </w:r>
      <w:r w:rsidRPr="002630A8">
        <w:t>dziewczynek do podejmowania różnych obowiązków i zadań</w:t>
      </w:r>
      <w:r>
        <w:t xml:space="preserve"> potocznie związanych z płcią</w:t>
      </w:r>
      <w:r w:rsidRPr="002630A8">
        <w:t xml:space="preserve">, dbanie o to, aby chłopcy i dziewczynki mogli wypowiadać do końca swoje zdania, </w:t>
      </w:r>
      <w:r>
        <w:t>stosowanie męskich i </w:t>
      </w:r>
      <w:r w:rsidRPr="002630A8">
        <w:t>żeńskich końcówek, odrzuce</w:t>
      </w:r>
      <w:r>
        <w:t>nie infantylizujących zdrobnień itp.;</w:t>
      </w:r>
    </w:p>
    <w:p w14:paraId="43EB8463" w14:textId="588B4730" w:rsidR="0076457A" w:rsidRDefault="0076457A" w:rsidP="00DF64C7">
      <w:pPr>
        <w:pStyle w:val="Akapitzlist"/>
        <w:numPr>
          <w:ilvl w:val="0"/>
          <w:numId w:val="22"/>
        </w:numPr>
        <w:spacing w:after="240"/>
        <w:jc w:val="left"/>
      </w:pPr>
      <w:r w:rsidRPr="002630A8">
        <w:t xml:space="preserve">używanie form bezosobowych i zwrotów do obydwu płci, nauczenie przekazu </w:t>
      </w:r>
      <w:r w:rsidR="00D84477" w:rsidRPr="002630A8">
        <w:t>niestereotypującego</w:t>
      </w:r>
      <w:r w:rsidRPr="002630A8">
        <w:t xml:space="preserve"> podczas wykonywania prac przez uczniów, wykształcenie poczucia własnej wartości, poczucia odpowiedzialności i możliwości wpływu na własne życie, uznawanie różnorodności jako wartości, a szacunku jako zasady życia społecznego; promowanie zasad wsparcia grupowego; komunikacja bez przemocy.</w:t>
      </w:r>
    </w:p>
    <w:p w14:paraId="3D42B14B" w14:textId="77777777" w:rsidR="0076457A" w:rsidRDefault="0076457A" w:rsidP="00DF64C7">
      <w:pPr>
        <w:jc w:val="left"/>
      </w:pPr>
      <w:r w:rsidRPr="00AB136B">
        <w:rPr>
          <w:b/>
        </w:rPr>
        <w:t>Zapobieganie dyskryminacji</w:t>
      </w:r>
      <w:r>
        <w:t xml:space="preserve"> w projektach współfinansowanych ze środków RPO WSL 2014-2020 zachodzi poprzez takie działania jak</w:t>
      </w:r>
      <w:r>
        <w:rPr>
          <w:rStyle w:val="Odwoanieprzypisudolnego"/>
        </w:rPr>
        <w:footnoteReference w:id="100"/>
      </w:r>
      <w:r>
        <w:t>:</w:t>
      </w:r>
    </w:p>
    <w:p w14:paraId="4298503B" w14:textId="77777777" w:rsidR="0076457A" w:rsidRDefault="0076457A" w:rsidP="00DF64C7">
      <w:pPr>
        <w:pStyle w:val="Akapitzlist"/>
        <w:numPr>
          <w:ilvl w:val="0"/>
          <w:numId w:val="23"/>
        </w:numPr>
        <w:spacing w:after="200"/>
        <w:jc w:val="left"/>
      </w:pPr>
      <w:r>
        <w:t>zagwarantowanie równego</w:t>
      </w:r>
      <w:r w:rsidRPr="00095A68">
        <w:t xml:space="preserve"> dostęp</w:t>
      </w:r>
      <w:r>
        <w:t>u</w:t>
      </w:r>
      <w:r w:rsidRPr="00095A68">
        <w:t xml:space="preserve"> do zasobów ze względu na płeć, pochodzenie rasowe, etniczne, religię, niepełnosprawność, przekonania, wiek oraz orientację seksualną</w:t>
      </w:r>
      <w:r>
        <w:t xml:space="preserve">. </w:t>
      </w:r>
      <w:r w:rsidRPr="00D20A38">
        <w:t>Wszystkie produkty projektu (efektu), będą dostępne dla wszystkich osób, zgodnie z zas</w:t>
      </w:r>
      <w:r>
        <w:t>adą uniwersalnego projektowania;</w:t>
      </w:r>
    </w:p>
    <w:p w14:paraId="684AB3EF" w14:textId="77777777" w:rsidR="0076457A" w:rsidRDefault="0076457A" w:rsidP="00DF64C7">
      <w:pPr>
        <w:pStyle w:val="Akapitzlist"/>
        <w:numPr>
          <w:ilvl w:val="0"/>
          <w:numId w:val="23"/>
        </w:numPr>
        <w:spacing w:after="200"/>
        <w:jc w:val="left"/>
      </w:pPr>
      <w:r w:rsidRPr="007F5247">
        <w:t>zapewnienie dostępu do wysokiej jakości oferty edukacyjnej kształcenia ogólnego uczniom o specjalnych potrzebach edukacyjnych (wyrównywanie szans)</w:t>
      </w:r>
      <w:r>
        <w:t>;</w:t>
      </w:r>
    </w:p>
    <w:p w14:paraId="14E5C320" w14:textId="77777777" w:rsidR="0076457A" w:rsidRDefault="0076457A" w:rsidP="00DF64C7">
      <w:pPr>
        <w:pStyle w:val="Akapitzlist"/>
        <w:numPr>
          <w:ilvl w:val="0"/>
          <w:numId w:val="23"/>
        </w:numPr>
        <w:spacing w:after="200"/>
        <w:jc w:val="left"/>
      </w:pPr>
      <w:r w:rsidRPr="007F5247">
        <w:t xml:space="preserve">szkolenie nt. specyfiki pracy z uczniem niepełnosprawnym intelektualnie dla nauczycieli zawodu </w:t>
      </w:r>
      <w:r>
        <w:t xml:space="preserve">dot. </w:t>
      </w:r>
      <w:r w:rsidRPr="007F5247">
        <w:t>lepszego zrozumienia potrzeb takich uczniów i przełamania negatywnych stereotypów</w:t>
      </w:r>
      <w:r>
        <w:t>;</w:t>
      </w:r>
    </w:p>
    <w:p w14:paraId="4D7B5A4C" w14:textId="77777777" w:rsidR="0076457A" w:rsidRDefault="0076457A" w:rsidP="00DF64C7">
      <w:pPr>
        <w:pStyle w:val="Akapitzlist"/>
        <w:numPr>
          <w:ilvl w:val="0"/>
          <w:numId w:val="23"/>
        </w:numPr>
        <w:spacing w:after="200"/>
        <w:jc w:val="left"/>
      </w:pPr>
      <w:r w:rsidRPr="007F5247">
        <w:t>przeciwdziałanie różnicowaniu kobiet i mężczyzn ze wzg</w:t>
      </w:r>
      <w:r>
        <w:t>lędu na stereotypowo przyjęte w </w:t>
      </w:r>
      <w:r w:rsidRPr="007F5247">
        <w:t>społeczeństwie role, tym samym umożliwiając wybór drogi zawodowej bez ograniczeń. Rodzice podczas zebrań oraz uczniowie na wstępnych zajęciach realizowanych w projekcie będą informowani o zapobieganiu dyskryminacji</w:t>
      </w:r>
      <w:r>
        <w:t>,</w:t>
      </w:r>
      <w:r w:rsidRPr="007F5247">
        <w:t xml:space="preserve"> czyli szacunku dla różnorodności m. in. ze względu na płeć, rasę, wiek, status materialny, wyznanie czy orientację seksualną. </w:t>
      </w:r>
      <w:r>
        <w:t>W</w:t>
      </w:r>
      <w:r w:rsidRPr="007F5247">
        <w:t>szystkie dzieci będą aktywnie uczestniczyły oraz miały pełny dostęp do tych zajęć na równym poziomie</w:t>
      </w:r>
      <w:r>
        <w:t>;</w:t>
      </w:r>
    </w:p>
    <w:p w14:paraId="1043EDE1" w14:textId="77777777" w:rsidR="0076457A" w:rsidRDefault="0076457A" w:rsidP="00DF64C7">
      <w:pPr>
        <w:pStyle w:val="Akapitzlist"/>
        <w:numPr>
          <w:ilvl w:val="0"/>
          <w:numId w:val="23"/>
        </w:numPr>
        <w:spacing w:after="200"/>
        <w:jc w:val="left"/>
      </w:pPr>
      <w:r>
        <w:t>określenie głównego</w:t>
      </w:r>
      <w:r w:rsidRPr="00B054ED">
        <w:t xml:space="preserve"> kryterium uczestnictwa w projekcie </w:t>
      </w:r>
      <w:r>
        <w:t>wynikającego z analizy wyników nauczania oraz potrzeb edukacyjnych</w:t>
      </w:r>
      <w:r w:rsidRPr="00B054ED">
        <w:t>. Cechy takie jak płeć, niepełnosprawność, grupa społeczna czy etniczna nie miały wpływu na uczestnictwo</w:t>
      </w:r>
      <w:r>
        <w:t>;</w:t>
      </w:r>
    </w:p>
    <w:p w14:paraId="1909832B" w14:textId="77777777" w:rsidR="0076457A" w:rsidRDefault="0076457A" w:rsidP="00DF64C7">
      <w:pPr>
        <w:pStyle w:val="Akapitzlist"/>
        <w:numPr>
          <w:ilvl w:val="0"/>
          <w:numId w:val="23"/>
        </w:numPr>
        <w:spacing w:after="200"/>
        <w:jc w:val="left"/>
      </w:pPr>
      <w:r w:rsidRPr="00B054ED">
        <w:t>rozwiązania z zakresu mechanizmu racjonalnych usprawnień(np. dostosowane materiały szkoleniowe)</w:t>
      </w:r>
      <w:r>
        <w:t>;</w:t>
      </w:r>
    </w:p>
    <w:p w14:paraId="1CF9C577" w14:textId="77777777" w:rsidR="0076457A" w:rsidRDefault="0076457A" w:rsidP="00DF64C7">
      <w:pPr>
        <w:pStyle w:val="Akapitzlist"/>
        <w:numPr>
          <w:ilvl w:val="0"/>
          <w:numId w:val="23"/>
        </w:numPr>
        <w:spacing w:after="200"/>
        <w:jc w:val="left"/>
      </w:pPr>
      <w:r>
        <w:t>opracowanie p</w:t>
      </w:r>
      <w:r w:rsidRPr="00B054ED">
        <w:t>rojekt</w:t>
      </w:r>
      <w:r>
        <w:t>u architektoniczno-budowlanego</w:t>
      </w:r>
      <w:r w:rsidRPr="00B054ED">
        <w:t xml:space="preserve"> zgodnie z koncepcją projektowania uniwersalnego. Budynek będzie w pełni dostosowany do</w:t>
      </w:r>
      <w:r>
        <w:t xml:space="preserve"> potrzeb osób niepełnosprawnych;</w:t>
      </w:r>
    </w:p>
    <w:p w14:paraId="35192C97" w14:textId="77777777" w:rsidR="0076457A" w:rsidRDefault="0076457A" w:rsidP="00DF64C7">
      <w:pPr>
        <w:pStyle w:val="Akapitzlist"/>
        <w:numPr>
          <w:ilvl w:val="0"/>
          <w:numId w:val="23"/>
        </w:numPr>
        <w:spacing w:after="200"/>
        <w:jc w:val="left"/>
      </w:pPr>
      <w:r w:rsidRPr="004C34C4">
        <w:t xml:space="preserve">przygotowanie materiałów rekrutacyjnych zawierających m.in. pytania o specjalne potrzeby </w:t>
      </w:r>
      <w:r>
        <w:t>wynikające z niepełnosprawności;</w:t>
      </w:r>
    </w:p>
    <w:p w14:paraId="21D065D6" w14:textId="77777777" w:rsidR="0076457A" w:rsidRDefault="0076457A" w:rsidP="00DF64C7">
      <w:pPr>
        <w:pStyle w:val="Akapitzlist"/>
        <w:numPr>
          <w:ilvl w:val="0"/>
          <w:numId w:val="23"/>
        </w:numPr>
        <w:spacing w:after="200"/>
        <w:jc w:val="left"/>
      </w:pPr>
      <w:r>
        <w:t>w</w:t>
      </w:r>
      <w:r w:rsidRPr="000A5439">
        <w:t>drożenie podczas zajęć dydaktycznych tematyki tolerancji, um</w:t>
      </w:r>
      <w:r>
        <w:t>iejętności akceptowania różnic;</w:t>
      </w:r>
    </w:p>
    <w:p w14:paraId="52DF996F" w14:textId="77777777" w:rsidR="0076457A" w:rsidRDefault="0076457A" w:rsidP="00DF64C7">
      <w:pPr>
        <w:pStyle w:val="Akapitzlist"/>
        <w:numPr>
          <w:ilvl w:val="0"/>
          <w:numId w:val="23"/>
        </w:numPr>
        <w:spacing w:after="200"/>
        <w:jc w:val="left"/>
      </w:pPr>
      <w:r>
        <w:t>u</w:t>
      </w:r>
      <w:r w:rsidRPr="000A5439">
        <w:t>możliwienie równego dostępu dla uczniów do za</w:t>
      </w:r>
      <w:r>
        <w:t>jęć dodatkowych proponowanych w </w:t>
      </w:r>
      <w:r w:rsidRPr="000A5439">
        <w:t>ramach projektu. Odpowiednie działania antydyskryminacyjne prowadzone będą zarówno na etapie rekruta</w:t>
      </w:r>
      <w:r>
        <w:t>cji jak i wdrażania projektu;</w:t>
      </w:r>
    </w:p>
    <w:p w14:paraId="670E173B" w14:textId="77777777" w:rsidR="0076457A" w:rsidRDefault="0076457A" w:rsidP="00DF64C7">
      <w:pPr>
        <w:pStyle w:val="Akapitzlist"/>
        <w:numPr>
          <w:ilvl w:val="0"/>
          <w:numId w:val="23"/>
        </w:numPr>
        <w:spacing w:after="200"/>
        <w:jc w:val="left"/>
      </w:pPr>
      <w:r w:rsidRPr="000A5439">
        <w:t>umiejscowienie i wyposażenie biura projektu uwzględnia brak barier architektonicznych, brak symboli religijnych, brak materiałów propagujących seksizm czy pejoratywne postawy społeczne;</w:t>
      </w:r>
    </w:p>
    <w:p w14:paraId="229E1F75" w14:textId="77777777" w:rsidR="0076457A" w:rsidRDefault="0076457A" w:rsidP="00DF64C7">
      <w:pPr>
        <w:pStyle w:val="Akapitzlist"/>
        <w:numPr>
          <w:ilvl w:val="0"/>
          <w:numId w:val="23"/>
        </w:numPr>
        <w:spacing w:after="200"/>
        <w:jc w:val="left"/>
      </w:pPr>
      <w:r>
        <w:t>dostosowanie materiałów rekrutacyjnych do potrzeb potencjalnych odbiorców</w:t>
      </w:r>
      <w:r w:rsidRPr="000A5439">
        <w:t xml:space="preserve"> (powiększona czcionka, zapewnienie tłumacza języ</w:t>
      </w:r>
      <w:r>
        <w:t>ka migowego lub języka obcego w </w:t>
      </w:r>
      <w:r w:rsidRPr="000A5439">
        <w:t>biurze projektu itp.)</w:t>
      </w:r>
      <w:r>
        <w:t>;</w:t>
      </w:r>
    </w:p>
    <w:p w14:paraId="272989FF" w14:textId="77777777" w:rsidR="0076457A" w:rsidRDefault="0076457A" w:rsidP="00DF64C7">
      <w:pPr>
        <w:pStyle w:val="Akapitzlist"/>
        <w:numPr>
          <w:ilvl w:val="0"/>
          <w:numId w:val="23"/>
        </w:numPr>
        <w:spacing w:after="200"/>
        <w:jc w:val="left"/>
      </w:pPr>
      <w:r>
        <w:t>d</w:t>
      </w:r>
      <w:r w:rsidRPr="000A5439">
        <w:t>ziałania wychowawczo-dydaktyczne prowadzone w ramach projektu będą miały na celu uczenie tolerancji oraz będą służyły temu, aby dzieci czuły się w prze</w:t>
      </w:r>
      <w:r>
        <w:t>dszkolu doceniane i szanowane;</w:t>
      </w:r>
    </w:p>
    <w:p w14:paraId="7F9FC1D7" w14:textId="77777777" w:rsidR="0076457A" w:rsidRDefault="0076457A" w:rsidP="00DF64C7">
      <w:pPr>
        <w:pStyle w:val="Akapitzlist"/>
        <w:numPr>
          <w:ilvl w:val="0"/>
          <w:numId w:val="23"/>
        </w:numPr>
        <w:spacing w:after="200"/>
        <w:jc w:val="left"/>
      </w:pPr>
      <w:r>
        <w:t>d</w:t>
      </w:r>
      <w:r w:rsidRPr="000A5439">
        <w:t>ostosowanie strony internetowej do potrzeb rożnych użytkowników (powiększona czcionka, skontrastowane kolory, wiz</w:t>
      </w:r>
      <w:r>
        <w:t>erunki i elementy graficzne nie</w:t>
      </w:r>
      <w:r w:rsidRPr="000A5439">
        <w:t>powielające stereotypów</w:t>
      </w:r>
      <w:r>
        <w:t>;</w:t>
      </w:r>
      <w:r w:rsidRPr="000A5439">
        <w:t xml:space="preserve"> </w:t>
      </w:r>
    </w:p>
    <w:p w14:paraId="2EDC5CE0" w14:textId="77777777" w:rsidR="0076457A" w:rsidRDefault="0076457A" w:rsidP="00DF64C7">
      <w:pPr>
        <w:pStyle w:val="Akapitzlist"/>
        <w:numPr>
          <w:ilvl w:val="0"/>
          <w:numId w:val="23"/>
        </w:numPr>
        <w:spacing w:after="200"/>
        <w:jc w:val="left"/>
      </w:pPr>
      <w:r>
        <w:t>d</w:t>
      </w:r>
      <w:r w:rsidRPr="000A5439">
        <w:t xml:space="preserve">ostosowanie spotów reklamowych </w:t>
      </w:r>
      <w:r>
        <w:t xml:space="preserve">do potrzeb osób z niepełnosprawnościami </w:t>
      </w:r>
      <w:r w:rsidRPr="000A5439">
        <w:t xml:space="preserve">– tłumaczenie na język migowy, </w:t>
      </w:r>
      <w:r>
        <w:t xml:space="preserve">dodatkowe </w:t>
      </w:r>
      <w:r w:rsidRPr="000A5439">
        <w:t>napisy, wydawnictwa promocyjne uwzgledniające zastosowanie technik graficznych pozwalających odczytać́ teks</w:t>
      </w:r>
      <w:r>
        <w:t>t/rysunki osobom niedowidzącym;</w:t>
      </w:r>
    </w:p>
    <w:p w14:paraId="56E3DC4F" w14:textId="77777777" w:rsidR="0076457A" w:rsidRDefault="0076457A" w:rsidP="00DF64C7">
      <w:pPr>
        <w:pStyle w:val="Akapitzlist"/>
        <w:numPr>
          <w:ilvl w:val="0"/>
          <w:numId w:val="23"/>
        </w:numPr>
        <w:spacing w:after="200"/>
        <w:jc w:val="left"/>
      </w:pPr>
      <w:r w:rsidRPr="000A5439">
        <w:t xml:space="preserve"> kanały rekrutacyjne dostosowane do </w:t>
      </w:r>
      <w:r>
        <w:t>potrzeb osób z niepełnosprawnościami, tj.: rekrutacja online;</w:t>
      </w:r>
    </w:p>
    <w:p w14:paraId="7E87A1DB" w14:textId="77777777" w:rsidR="0076457A" w:rsidRDefault="0076457A" w:rsidP="00DF64C7">
      <w:pPr>
        <w:pStyle w:val="Akapitzlist"/>
        <w:numPr>
          <w:ilvl w:val="0"/>
          <w:numId w:val="23"/>
        </w:numPr>
        <w:spacing w:after="200"/>
        <w:jc w:val="left"/>
      </w:pPr>
      <w:r w:rsidRPr="00587081">
        <w:t>uzupełnienie metod i treści kształcenia, sprzętów i pomocy edukacyjnych</w:t>
      </w:r>
      <w:r>
        <w:t>,</w:t>
      </w:r>
      <w:r w:rsidRPr="00587081">
        <w:t xml:space="preserve"> a także sposobu organizacji zajęć tak aby zapewnić każdemu dziecku równe szanse na rozwój, a dla dzieci z niepełnosprawnościami szansę na rozwój z </w:t>
      </w:r>
      <w:r>
        <w:t xml:space="preserve">pozostałymi </w:t>
      </w:r>
      <w:r w:rsidRPr="00587081">
        <w:t>dziećmi, szczególnie poprzez st</w:t>
      </w:r>
      <w:r>
        <w:t>worzenie przyjaznego dzieciom z </w:t>
      </w:r>
      <w:r w:rsidRPr="00587081">
        <w:t>niepełnosprawnościa</w:t>
      </w:r>
      <w:r>
        <w:t>mi placu zabaw przy przedszkolu;</w:t>
      </w:r>
    </w:p>
    <w:p w14:paraId="345942A0" w14:textId="77777777" w:rsidR="0076457A" w:rsidRDefault="0076457A" w:rsidP="00DF64C7">
      <w:pPr>
        <w:pStyle w:val="Akapitzlist"/>
        <w:numPr>
          <w:ilvl w:val="0"/>
          <w:numId w:val="23"/>
        </w:numPr>
        <w:spacing w:after="200"/>
        <w:jc w:val="left"/>
      </w:pPr>
      <w:r>
        <w:t>doposażeniu szkół specjalnych objętych projektem w pomoce dydaktyczne ułatwiające integrację społeczną osób niepełnosprawnych;</w:t>
      </w:r>
    </w:p>
    <w:p w14:paraId="5F5DB589" w14:textId="77777777" w:rsidR="0076457A" w:rsidRDefault="0076457A" w:rsidP="00DF64C7">
      <w:pPr>
        <w:pStyle w:val="Akapitzlist"/>
        <w:numPr>
          <w:ilvl w:val="0"/>
          <w:numId w:val="23"/>
        </w:numPr>
        <w:spacing w:after="200"/>
        <w:jc w:val="left"/>
      </w:pPr>
      <w:r>
        <w:t>przyczynianiu się do przełamania stereotypów dot. możliwości i wrażliwości estetycznej osób niepełnosprawnych poprzez prowadzenie w ramach projektu arteterapii;</w:t>
      </w:r>
    </w:p>
    <w:p w14:paraId="290A3890" w14:textId="77777777" w:rsidR="0076457A" w:rsidRDefault="0076457A" w:rsidP="00DF64C7">
      <w:pPr>
        <w:pStyle w:val="Akapitzlist"/>
        <w:numPr>
          <w:ilvl w:val="0"/>
          <w:numId w:val="23"/>
        </w:numPr>
        <w:spacing w:after="200"/>
        <w:jc w:val="left"/>
      </w:pPr>
      <w:r w:rsidRPr="004C34C4">
        <w:t>zaangażowanie świadomego zespołu specjalistów, którzy pomogą w wyrównywaniu stwierdzonych deficytów</w:t>
      </w:r>
      <w:r>
        <w:t xml:space="preserve"> oraz </w:t>
      </w:r>
      <w:r w:rsidRPr="004C34C4">
        <w:t>wsparcie dzieci niepełnosprawnych poprzez realizację dodatkowej oferty edukacyjnej i specjalistycznej umożliwiającej wyrównywanie deficytów</w:t>
      </w:r>
      <w:r>
        <w:t>.</w:t>
      </w:r>
    </w:p>
    <w:p w14:paraId="0828C674" w14:textId="77777777" w:rsidR="0076457A" w:rsidRDefault="0076457A" w:rsidP="00DF64C7">
      <w:pPr>
        <w:jc w:val="left"/>
      </w:pPr>
      <w:r>
        <w:t xml:space="preserve">Uwzględnienie </w:t>
      </w:r>
      <w:r w:rsidRPr="00BF6E89">
        <w:rPr>
          <w:b/>
        </w:rPr>
        <w:t>zasady zrównoważonego rozwoju</w:t>
      </w:r>
      <w:r>
        <w:t xml:space="preserve"> w projektach współfinansowanych ze środków RPO WSL 2014-2020 zachodzi poprzez takie działania jak</w:t>
      </w:r>
      <w:r>
        <w:rPr>
          <w:rStyle w:val="Odwoanieprzypisudolnego"/>
        </w:rPr>
        <w:footnoteReference w:id="101"/>
      </w:r>
      <w:r>
        <w:t>:</w:t>
      </w:r>
    </w:p>
    <w:p w14:paraId="1F521753" w14:textId="77777777" w:rsidR="0076457A" w:rsidRDefault="0076457A" w:rsidP="00DF64C7">
      <w:pPr>
        <w:pStyle w:val="Akapitzlist"/>
        <w:numPr>
          <w:ilvl w:val="0"/>
          <w:numId w:val="33"/>
        </w:numPr>
        <w:spacing w:after="200"/>
        <w:jc w:val="left"/>
      </w:pPr>
      <w:r w:rsidRPr="00FE1549">
        <w:t>Wykorzystanie urządzeń energooszczędnych (sp</w:t>
      </w:r>
      <w:r>
        <w:t>rzętu biurowego), zapewnienie w </w:t>
      </w:r>
      <w:r w:rsidRPr="00FE1549">
        <w:t>projekcie komunikacji z wykorzystaniem narzędzi elektronicznych (ograniczenie do m.in. wykorzystania faxu z papierowym podajnikiem) oraz oszczędność papieru uzyskaną m.in. dwustronny</w:t>
      </w:r>
      <w:r>
        <w:t>m</w:t>
      </w:r>
      <w:r w:rsidRPr="00FE1549">
        <w:t xml:space="preserve"> wydrukiem</w:t>
      </w:r>
      <w:r>
        <w:t xml:space="preserve">; </w:t>
      </w:r>
    </w:p>
    <w:p w14:paraId="2B55940F" w14:textId="77777777" w:rsidR="0076457A" w:rsidRDefault="0076457A" w:rsidP="00DF64C7">
      <w:pPr>
        <w:pStyle w:val="Akapitzlist"/>
        <w:numPr>
          <w:ilvl w:val="0"/>
          <w:numId w:val="33"/>
        </w:numPr>
        <w:spacing w:after="200"/>
        <w:jc w:val="left"/>
      </w:pPr>
      <w:r>
        <w:t>Ograniczenie ilości zamawianych materiałów promocyjnych oraz nastaw</w:t>
      </w:r>
      <w:r w:rsidR="002A5260">
        <w:t>ienie</w:t>
      </w:r>
      <w:r>
        <w:t xml:space="preserve"> się na promowanie projektu w sposób nie powodujący powstawanie odpadów. Komunikowanie się z uczestnikami/uczestniczkami projektu poprzez stronę internetową, a nie formę drukowaną;</w:t>
      </w:r>
    </w:p>
    <w:p w14:paraId="0D1DD32D" w14:textId="6D1B7207" w:rsidR="0076457A" w:rsidRDefault="0076457A" w:rsidP="00DF64C7">
      <w:pPr>
        <w:pStyle w:val="Akapitzlist"/>
        <w:numPr>
          <w:ilvl w:val="0"/>
          <w:numId w:val="33"/>
        </w:numPr>
        <w:spacing w:after="200"/>
        <w:jc w:val="left"/>
      </w:pPr>
      <w:r>
        <w:t>Z</w:t>
      </w:r>
      <w:r w:rsidRPr="001862D5">
        <w:t>większenie świadomości ekologicznej i racjonalizację wyborów konsumenckich oraz zaznajomienie z metodologią prowadzenia badań naukowych i zachęcenie do stosowania w codziennym życiu wiedzy opartej na dowodach (evidence based knowledge)</w:t>
      </w:r>
      <w:r>
        <w:t>;</w:t>
      </w:r>
    </w:p>
    <w:p w14:paraId="4C3B2303" w14:textId="77777777" w:rsidR="0076457A" w:rsidRDefault="0076457A" w:rsidP="00DF64C7">
      <w:pPr>
        <w:numPr>
          <w:ilvl w:val="0"/>
          <w:numId w:val="33"/>
        </w:numPr>
        <w:spacing w:after="200"/>
        <w:jc w:val="left"/>
      </w:pPr>
      <w:r>
        <w:t>Maksymalizację efektu ekonomicznego projektu oraz za zmniejszanie negatywnych oddziaływań na środowisko (np. podczas wykorzystania energii i wody podczas zajęć projektowych)</w:t>
      </w:r>
      <w:r>
        <w:rPr>
          <w:rStyle w:val="Odwoanieprzypisudolnego"/>
        </w:rPr>
        <w:footnoteReference w:id="102"/>
      </w:r>
      <w:r>
        <w:t>:</w:t>
      </w:r>
    </w:p>
    <w:p w14:paraId="13BB16BD" w14:textId="77777777" w:rsidR="007E5018" w:rsidRDefault="007E5018" w:rsidP="00DF64C7">
      <w:pPr>
        <w:jc w:val="left"/>
      </w:pPr>
    </w:p>
    <w:p w14:paraId="0B6412AD" w14:textId="77777777" w:rsidR="0043367C" w:rsidRDefault="0043367C" w:rsidP="00DF64C7">
      <w:pPr>
        <w:jc w:val="left"/>
      </w:pPr>
      <w:r>
        <w:t>Zdecydowana większość (ponad 96%) projektów realizowanych przy wsparciu</w:t>
      </w:r>
      <w:r w:rsidR="00367F85">
        <w:t xml:space="preserve"> </w:t>
      </w:r>
      <w:r>
        <w:t>RPO WSL 2014-2020 (w ramach OP XI oraz OP XII)</w:t>
      </w:r>
      <w:r w:rsidR="00367F85">
        <w:t xml:space="preserve"> </w:t>
      </w:r>
      <w:r w:rsidR="002A5260">
        <w:t xml:space="preserve">zakładała </w:t>
      </w:r>
      <w:r>
        <w:t>pozytywny wpływ na promowanie równości szans kobiet i mężczyzn, z czego</w:t>
      </w:r>
      <w:r w:rsidR="00A21D76">
        <w:rPr>
          <w:rStyle w:val="Odwoanieprzypisudolnego"/>
        </w:rPr>
        <w:footnoteReference w:id="103"/>
      </w:r>
      <w:r>
        <w:t>:</w:t>
      </w:r>
    </w:p>
    <w:p w14:paraId="192D2B4D" w14:textId="77777777" w:rsidR="0043367C" w:rsidRPr="0043367C" w:rsidRDefault="0043367C" w:rsidP="00DF64C7">
      <w:pPr>
        <w:pStyle w:val="Akapitzlist"/>
        <w:numPr>
          <w:ilvl w:val="0"/>
          <w:numId w:val="4"/>
        </w:numPr>
        <w:spacing w:after="200"/>
        <w:jc w:val="left"/>
      </w:pPr>
      <w:r w:rsidRPr="0043367C">
        <w:t xml:space="preserve">W ramach działań 11.1, 11.2, 11.3, 11.4, 12.3 – 100% projektów </w:t>
      </w:r>
      <w:r w:rsidR="002A5260">
        <w:t>zakładało</w:t>
      </w:r>
      <w:r w:rsidR="002A5260" w:rsidRPr="0043367C">
        <w:t xml:space="preserve"> </w:t>
      </w:r>
      <w:r w:rsidRPr="0043367C">
        <w:t>pozytywny wpływ na promowanie równości szans;</w:t>
      </w:r>
    </w:p>
    <w:p w14:paraId="74E2E224" w14:textId="77777777" w:rsidR="0043367C" w:rsidRPr="0043367C" w:rsidRDefault="0043367C" w:rsidP="00DF64C7">
      <w:pPr>
        <w:pStyle w:val="Akapitzlist"/>
        <w:numPr>
          <w:ilvl w:val="0"/>
          <w:numId w:val="4"/>
        </w:numPr>
        <w:spacing w:after="200"/>
        <w:jc w:val="left"/>
      </w:pPr>
      <w:r w:rsidRPr="0043367C">
        <w:t>W ramach działania</w:t>
      </w:r>
      <w:r w:rsidR="00367F85">
        <w:t xml:space="preserve"> </w:t>
      </w:r>
      <w:r w:rsidRPr="0043367C">
        <w:t xml:space="preserve">12.1 -74% projektów </w:t>
      </w:r>
      <w:r w:rsidR="002A5260">
        <w:t>zakładało</w:t>
      </w:r>
      <w:r w:rsidR="002A5260" w:rsidRPr="0043367C">
        <w:t xml:space="preserve"> </w:t>
      </w:r>
      <w:r w:rsidRPr="0043367C">
        <w:t xml:space="preserve">pozytywny wpływ na promowanie równości szans, natomiast 26% </w:t>
      </w:r>
      <w:r w:rsidR="002A5260">
        <w:t>zakładało</w:t>
      </w:r>
      <w:r w:rsidR="002A5260" w:rsidRPr="0043367C">
        <w:t xml:space="preserve"> </w:t>
      </w:r>
      <w:r w:rsidRPr="0043367C">
        <w:t>neutralny wpływ na promowanie niniejszej zasady</w:t>
      </w:r>
      <w:r w:rsidR="006F269E">
        <w:t>;</w:t>
      </w:r>
    </w:p>
    <w:p w14:paraId="3F0A6F9F" w14:textId="77777777" w:rsidR="00E9680A" w:rsidRDefault="0043367C" w:rsidP="00DF64C7">
      <w:pPr>
        <w:pStyle w:val="Akapitzlist"/>
        <w:numPr>
          <w:ilvl w:val="0"/>
          <w:numId w:val="4"/>
        </w:numPr>
        <w:jc w:val="left"/>
      </w:pPr>
      <w:r w:rsidRPr="0043367C">
        <w:t xml:space="preserve">W ramach działania 12.2 – 43% projektów </w:t>
      </w:r>
      <w:r w:rsidR="002A5260">
        <w:t>zakładało</w:t>
      </w:r>
      <w:r w:rsidR="002A5260" w:rsidRPr="0043367C">
        <w:t xml:space="preserve"> </w:t>
      </w:r>
      <w:r w:rsidRPr="0043367C">
        <w:t xml:space="preserve">pozytywny wpływ na promowanie równości szans, natomiast 57% </w:t>
      </w:r>
      <w:r w:rsidR="002A5260">
        <w:t>zakładało</w:t>
      </w:r>
      <w:r w:rsidR="002A5260" w:rsidRPr="0043367C">
        <w:t xml:space="preserve"> </w:t>
      </w:r>
      <w:r w:rsidRPr="0043367C">
        <w:t>neutralny wpływ na promowanie niniejszej zasady.</w:t>
      </w:r>
    </w:p>
    <w:p w14:paraId="0E68FA03" w14:textId="77777777" w:rsidR="002A5260" w:rsidRDefault="002A5260" w:rsidP="00DF64C7">
      <w:pPr>
        <w:jc w:val="left"/>
      </w:pPr>
      <w:r>
        <w:t>Różnice w ww. danych względem OP 11 i 12 tłumaczyć należy głównie charakterem udzielanego wsparcia, w przypadku którego mniejsze trudności sprawiało beneficjentom zapewnienie równości szans kobiet i mężczyzn w projektach „miękkich” (EFS).</w:t>
      </w:r>
    </w:p>
    <w:p w14:paraId="6C4BF0FF" w14:textId="77777777" w:rsidR="00E9680A" w:rsidRDefault="00E9680A" w:rsidP="00DF64C7">
      <w:pPr>
        <w:jc w:val="left"/>
      </w:pPr>
      <w:r>
        <w:t xml:space="preserve">Beneficjenci </w:t>
      </w:r>
      <w:r w:rsidR="00592DB2">
        <w:t xml:space="preserve">OP </w:t>
      </w:r>
      <w:r>
        <w:t xml:space="preserve">XI i XII, w zależności od </w:t>
      </w:r>
      <w:r w:rsidR="00592DB2">
        <w:t>D</w:t>
      </w:r>
      <w:r>
        <w:t xml:space="preserve">ziałania </w:t>
      </w:r>
      <w:r w:rsidR="00592DB2">
        <w:t xml:space="preserve">określonego w </w:t>
      </w:r>
      <w:r>
        <w:t>RPO WSL</w:t>
      </w:r>
      <w:r>
        <w:rPr>
          <w:rStyle w:val="Odwoanieprzypisudolnego"/>
        </w:rPr>
        <w:footnoteReference w:id="104"/>
      </w:r>
      <w:r>
        <w:t>,</w:t>
      </w:r>
      <w:r w:rsidR="00DC26C0">
        <w:t xml:space="preserve"> </w:t>
      </w:r>
      <w:r>
        <w:t xml:space="preserve">najczęściej realizowali zasadę równości płci poprzez: </w:t>
      </w:r>
    </w:p>
    <w:p w14:paraId="38695169" w14:textId="77777777" w:rsidR="00E9680A" w:rsidRDefault="00E9680A" w:rsidP="00DF64C7">
      <w:pPr>
        <w:pStyle w:val="Akapitzlist"/>
        <w:numPr>
          <w:ilvl w:val="0"/>
          <w:numId w:val="45"/>
        </w:numPr>
        <w:jc w:val="left"/>
      </w:pPr>
      <w:r>
        <w:t>organizację pracy przedszkola w taki sposób, by umożliwić rodzicom godzenie życia zawodowego i rodzinnego (np. poprzez wydłużenie czasu pracy przedszkola) (67</w:t>
      </w:r>
      <w:r w:rsidR="006C54E8">
        <w:t>,0</w:t>
      </w:r>
      <w:r>
        <w:t>% beneficjentów realizujących projekt</w:t>
      </w:r>
      <w:r w:rsidR="00592DB2">
        <w:t>y</w:t>
      </w:r>
      <w:r>
        <w:t xml:space="preserve"> umożliwiające zastosowanie wskazanego sposobu realizacji zasady równości płci); </w:t>
      </w:r>
    </w:p>
    <w:p w14:paraId="3B64FCD7" w14:textId="77777777" w:rsidR="00E9680A" w:rsidRDefault="00E9680A" w:rsidP="00DF64C7">
      <w:pPr>
        <w:pStyle w:val="Akapitzlist"/>
        <w:numPr>
          <w:ilvl w:val="0"/>
          <w:numId w:val="45"/>
        </w:numPr>
        <w:jc w:val="left"/>
      </w:pPr>
      <w:r>
        <w:t>uwzględnieni</w:t>
      </w:r>
      <w:r w:rsidR="00592DB2">
        <w:t>e</w:t>
      </w:r>
      <w:r>
        <w:t xml:space="preserve"> udziału zarówno kobiet, jak i mężczyzn w realizowanym projekcie (62</w:t>
      </w:r>
      <w:r w:rsidR="006C54E8">
        <w:t>,0</w:t>
      </w:r>
      <w:r>
        <w:t xml:space="preserve">%); </w:t>
      </w:r>
    </w:p>
    <w:p w14:paraId="2C4499D3" w14:textId="77777777" w:rsidR="00E9680A" w:rsidRDefault="00E9680A" w:rsidP="00DF64C7">
      <w:pPr>
        <w:pStyle w:val="Akapitzlist"/>
        <w:numPr>
          <w:ilvl w:val="0"/>
          <w:numId w:val="45"/>
        </w:numPr>
        <w:jc w:val="left"/>
      </w:pPr>
      <w:r>
        <w:t>przeszkolenie personelu projektu w zakresie</w:t>
      </w:r>
      <w:r w:rsidR="00895B2D">
        <w:t xml:space="preserve"> zasady równości szans kobiet i </w:t>
      </w:r>
      <w:r>
        <w:t>mężczyzn (62</w:t>
      </w:r>
      <w:r w:rsidR="006C54E8">
        <w:t>,0</w:t>
      </w:r>
      <w:r>
        <w:t>%);</w:t>
      </w:r>
    </w:p>
    <w:p w14:paraId="5ECE05B3" w14:textId="77777777" w:rsidR="00E9680A" w:rsidRDefault="00E9680A" w:rsidP="00DF64C7">
      <w:pPr>
        <w:pStyle w:val="Akapitzlist"/>
        <w:numPr>
          <w:ilvl w:val="0"/>
          <w:numId w:val="45"/>
        </w:numPr>
        <w:jc w:val="left"/>
      </w:pPr>
      <w:r>
        <w:t>uwzględnienie w ramach zorganizowanych zajęć tematyki równości płci (58</w:t>
      </w:r>
      <w:r w:rsidR="006C54E8">
        <w:t>,0</w:t>
      </w:r>
      <w:r>
        <w:t>%);</w:t>
      </w:r>
    </w:p>
    <w:p w14:paraId="20BD79E6" w14:textId="77777777" w:rsidR="00E9680A" w:rsidRDefault="00E9680A" w:rsidP="00DF64C7">
      <w:pPr>
        <w:pStyle w:val="Akapitzlist"/>
        <w:numPr>
          <w:ilvl w:val="0"/>
          <w:numId w:val="45"/>
        </w:numPr>
        <w:jc w:val="left"/>
      </w:pPr>
      <w:r>
        <w:t>prowadzenie zajęć przełamujących stereotypy (50</w:t>
      </w:r>
      <w:r w:rsidR="006C54E8">
        <w:t>,0</w:t>
      </w:r>
      <w:r w:rsidR="00C047D5">
        <w:t>%).</w:t>
      </w:r>
    </w:p>
    <w:p w14:paraId="1FFA262D" w14:textId="26C5AAE2" w:rsidR="00EB342E" w:rsidRDefault="00EB342E" w:rsidP="00DF64C7">
      <w:pPr>
        <w:pStyle w:val="Legenda"/>
        <w:spacing w:line="271" w:lineRule="auto"/>
        <w:jc w:val="left"/>
      </w:pPr>
      <w:bookmarkStart w:id="111" w:name="_Toc33459810"/>
      <w:r>
        <w:t xml:space="preserve">Wykres </w:t>
      </w:r>
      <w:r w:rsidR="003A0702">
        <w:rPr>
          <w:noProof/>
        </w:rPr>
        <w:fldChar w:fldCharType="begin"/>
      </w:r>
      <w:r w:rsidR="003A0702">
        <w:rPr>
          <w:noProof/>
        </w:rPr>
        <w:instrText xml:space="preserve"> SEQ Wykres \* ARABIC </w:instrText>
      </w:r>
      <w:r w:rsidR="003A0702">
        <w:rPr>
          <w:noProof/>
        </w:rPr>
        <w:fldChar w:fldCharType="separate"/>
      </w:r>
      <w:r w:rsidR="00A8147E">
        <w:rPr>
          <w:noProof/>
        </w:rPr>
        <w:t>32</w:t>
      </w:r>
      <w:r w:rsidR="003A0702">
        <w:rPr>
          <w:noProof/>
        </w:rPr>
        <w:fldChar w:fldCharType="end"/>
      </w:r>
      <w:r w:rsidR="00895B2D">
        <w:t xml:space="preserve">. </w:t>
      </w:r>
      <w:r w:rsidRPr="00FA1F4E">
        <w:t>W jaki sposób realizowali Państwo w swoim projekcie zasadę równości płci?</w:t>
      </w:r>
      <w:bookmarkEnd w:id="111"/>
      <w:r w:rsidR="00957896">
        <w:t xml:space="preserve"> (udział % odpowiedzi w ramach poszczególnych działań/poddziałań warunk</w:t>
      </w:r>
      <w:r w:rsidR="005640B1">
        <w:t>ujących możliwe do wykor</w:t>
      </w:r>
      <w:r w:rsidR="00957896">
        <w:t>zystania sposoby uwzględnienia zasady równości płci)</w:t>
      </w:r>
    </w:p>
    <w:p w14:paraId="5A9759F9" w14:textId="77777777" w:rsidR="00EB342E" w:rsidRDefault="002D03C0" w:rsidP="00DF64C7">
      <w:pPr>
        <w:pStyle w:val="Wyrnienie"/>
        <w:jc w:val="left"/>
      </w:pPr>
      <w:r>
        <w:rPr>
          <w:noProof/>
          <w:lang w:eastAsia="pl-PL"/>
        </w:rPr>
        <w:drawing>
          <wp:inline distT="0" distB="0" distL="0" distR="0" wp14:anchorId="69E639CF" wp14:editId="4044A8F2">
            <wp:extent cx="5756745" cy="3450866"/>
            <wp:effectExtent l="0" t="0" r="15875" b="16510"/>
            <wp:docPr id="36" name="Wykres 36" descr="Wykres przedstawia procentowy rozkład odpowiedzi beneficjentów na pytanie: &quot;W jaki sposób realizowali Państwo w swoim projekcie zasadę równości płci?&quot;. Dane przedstawione zostały na wykresie słupkowym skumulowanym (100% dla odpowiedzi &quot;tak&quot;, &quot;nie&quot; w poszczególnych kategoriach). Rozkład odpowiedzi &quot;TAK&quot; przedstawiał się następująco: organizacja pracy przedszkola w taki sposób, by umożliwić rodzicom godzenie zycia zawodowego i rodzinnego - 67,0%, uwzglednienie udziału zarwno kobiet, jak i mężczyzn w realizowanym projekcie - 62,0%, przeszkolenie personelu projektu w zakresie zasady rowności szans kobiet i mężczyzn - 62,0%, uwzględnienie w ramach organizowanych zajęć tematyki równości i płci - 58,0%, prowadzenie zajęć przełamujących stereotypy - 50,0%, używanie niestereotypowego i zróżnicowanego przekazu w materiałach informacyjnych, promocyjnych dot. realizowanego projektu - 47,0%, zaangażowanie obojga rodziców w życia przedszkola - 35,0%, stosowanie w materiałach informacyjnych i edukacyjnych sformułowań, które sprzyjały promowaniu równości i płci - 33,0%." title="W jaki sposób realizowali Państwo w swoim projekcie zasadę równości płci?"/>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B638630" w14:textId="77777777" w:rsidR="005640B1" w:rsidRDefault="005640B1" w:rsidP="00DF64C7">
      <w:pPr>
        <w:pStyle w:val="podpisrdailustracji"/>
        <w:spacing w:line="271" w:lineRule="auto"/>
        <w:jc w:val="left"/>
      </w:pPr>
      <w:r w:rsidRPr="00E24BD3">
        <w:t>Źródło: opracowanie własne na podstawie badania CAWI/CATI z beneficjentami, n=467 (11.1.1-11.1.3= 114, 11.1.4= 133, 11.2= 47, 11.3= 57, 11.4= 22, 12.1= 56, 12.2= 38).</w:t>
      </w:r>
    </w:p>
    <w:p w14:paraId="341FCC62" w14:textId="77777777" w:rsidR="00344F25" w:rsidRDefault="00344F25" w:rsidP="00DF64C7">
      <w:pPr>
        <w:jc w:val="left"/>
      </w:pPr>
      <w:r>
        <w:t>Podczas wywiadów jakościowych beneficjenci dodali także kilka innych kwestii:</w:t>
      </w:r>
    </w:p>
    <w:p w14:paraId="42F0A9A3" w14:textId="77777777" w:rsidR="00344F25" w:rsidRDefault="00344F25" w:rsidP="00DF64C7">
      <w:pPr>
        <w:pStyle w:val="Akapitzlist"/>
        <w:numPr>
          <w:ilvl w:val="0"/>
          <w:numId w:val="32"/>
        </w:numPr>
        <w:spacing w:after="200"/>
        <w:jc w:val="left"/>
      </w:pPr>
      <w:r>
        <w:t>możliwość korzystania z efektów realizacji projektów przez wszystkich, bez względu na płeć;</w:t>
      </w:r>
    </w:p>
    <w:p w14:paraId="25A8AA7B" w14:textId="77777777" w:rsidR="00344F25" w:rsidRDefault="00344F25" w:rsidP="00DF64C7">
      <w:pPr>
        <w:pStyle w:val="Akapitzlist"/>
        <w:numPr>
          <w:ilvl w:val="0"/>
          <w:numId w:val="32"/>
        </w:numPr>
        <w:jc w:val="left"/>
      </w:pPr>
      <w:r>
        <w:t>stosowanie sformułowań wrażliwych ze względu na płeć;</w:t>
      </w:r>
    </w:p>
    <w:p w14:paraId="52A10979" w14:textId="77777777" w:rsidR="00344F25" w:rsidRDefault="00344F25" w:rsidP="00DF64C7">
      <w:pPr>
        <w:pStyle w:val="Akapitzlist"/>
        <w:numPr>
          <w:ilvl w:val="0"/>
          <w:numId w:val="32"/>
        </w:numPr>
        <w:spacing w:after="200"/>
        <w:jc w:val="left"/>
      </w:pPr>
      <w:r>
        <w:t>promowanie wizerunków przypisane do niestereotypowych zawodów przypisanych do kobiet i mężczyzn.</w:t>
      </w:r>
    </w:p>
    <w:p w14:paraId="06F54A2A" w14:textId="77777777" w:rsidR="0043367C" w:rsidRPr="00C62C5F" w:rsidRDefault="0043367C" w:rsidP="00DF64C7">
      <w:pPr>
        <w:pStyle w:val="Wyrnienie"/>
        <w:jc w:val="left"/>
      </w:pPr>
      <w:r w:rsidRPr="00C62C5F">
        <w:t xml:space="preserve">Zasada równości szans i niedyskryminacji, w tym </w:t>
      </w:r>
      <w:r>
        <w:t>dostępności dla osób z </w:t>
      </w:r>
      <w:r w:rsidRPr="00C62C5F">
        <w:t>niepełnosprawnościami</w:t>
      </w:r>
    </w:p>
    <w:p w14:paraId="0B2AF39E" w14:textId="77777777" w:rsidR="003C4BE5" w:rsidRDefault="0043367C" w:rsidP="00DF64C7">
      <w:pPr>
        <w:jc w:val="left"/>
      </w:pPr>
      <w:r>
        <w:t>Przedmiotowa zasada uwzględnia planowanie mechanizmów pozwalających na przeciwdziałanie wszelkim formom dyskryminacji na każdym z etapów (programowania, wdrażania), we wszystkich programach operacyjnych. Działania</w:t>
      </w:r>
      <w:r w:rsidRPr="00DE4662">
        <w:t xml:space="preserve"> na rzecz realizacji wskazanej zasady</w:t>
      </w:r>
      <w:r>
        <w:t xml:space="preserve"> wynikają z zapisów Konwencji, która jest </w:t>
      </w:r>
      <w:r w:rsidRPr="00DE4662">
        <w:t>pierwszym prawnie wiążącym instrumentem w zakresie praw człowieka, którego stroną jest UE</w:t>
      </w:r>
      <w:r>
        <w:t>. W związku z czym w</w:t>
      </w:r>
      <w:r w:rsidR="001149A8">
        <w:t> </w:t>
      </w:r>
      <w:r w:rsidRPr="00DE4662">
        <w:t>dokumentach</w:t>
      </w:r>
      <w:r>
        <w:t xml:space="preserve"> unijnych</w:t>
      </w:r>
      <w:r w:rsidRPr="00DE4662">
        <w:t xml:space="preserve"> </w:t>
      </w:r>
      <w:r>
        <w:t>(w tym dotyczących funduszy)</w:t>
      </w:r>
      <w:r w:rsidRPr="00DE4662">
        <w:t xml:space="preserve"> U</w:t>
      </w:r>
      <w:r>
        <w:t xml:space="preserve">nia </w:t>
      </w:r>
      <w:r w:rsidRPr="00DE4662">
        <w:t>E</w:t>
      </w:r>
      <w:r>
        <w:t>uropejska</w:t>
      </w:r>
      <w:r w:rsidRPr="00DE4662">
        <w:t xml:space="preserve"> konsekwentnie </w:t>
      </w:r>
      <w:r>
        <w:t>uwzględnia i podkreśla</w:t>
      </w:r>
      <w:r w:rsidRPr="00DE4662">
        <w:t xml:space="preserve"> kwestie zwięk</w:t>
      </w:r>
      <w:r>
        <w:t>szenia możliwości korzystania z praw przez osoby z </w:t>
      </w:r>
      <w:r w:rsidRPr="00DE4662">
        <w:t>niepełnosprawnościami, w tym eliminacji barier oraz</w:t>
      </w:r>
      <w:r>
        <w:t xml:space="preserve"> możliwości</w:t>
      </w:r>
      <w:r w:rsidRPr="00DE4662">
        <w:t xml:space="preserve"> pełnego uczestnictwa we wszystkich sferach życia</w:t>
      </w:r>
      <w:r>
        <w:rPr>
          <w:rStyle w:val="Odwoanieprzypisudolnego"/>
        </w:rPr>
        <w:footnoteReference w:id="105"/>
      </w:r>
      <w:r w:rsidRPr="00DE4662">
        <w:t>.</w:t>
      </w:r>
    </w:p>
    <w:p w14:paraId="09D0BD62" w14:textId="431FA47A" w:rsidR="00BE2EE0" w:rsidRPr="00BE2EE0" w:rsidRDefault="00BE2EE0" w:rsidP="00DF64C7">
      <w:pPr>
        <w:pStyle w:val="Legenda"/>
        <w:spacing w:line="271" w:lineRule="auto"/>
        <w:jc w:val="left"/>
      </w:pPr>
      <w:bookmarkStart w:id="112" w:name="_Toc33459819"/>
      <w:r w:rsidRPr="00BE2EE0">
        <w:t xml:space="preserve">Rysunek </w:t>
      </w:r>
      <w:r w:rsidR="00C01137">
        <w:rPr>
          <w:noProof/>
        </w:rPr>
        <w:fldChar w:fldCharType="begin"/>
      </w:r>
      <w:r w:rsidR="00C01137">
        <w:rPr>
          <w:noProof/>
        </w:rPr>
        <w:instrText xml:space="preserve"> SEQ Rysunek \* ARABIC </w:instrText>
      </w:r>
      <w:r w:rsidR="00C01137">
        <w:rPr>
          <w:noProof/>
        </w:rPr>
        <w:fldChar w:fldCharType="separate"/>
      </w:r>
      <w:r w:rsidR="00A8147E">
        <w:rPr>
          <w:noProof/>
        </w:rPr>
        <w:t>1</w:t>
      </w:r>
      <w:r w:rsidR="00C01137">
        <w:rPr>
          <w:noProof/>
        </w:rPr>
        <w:fldChar w:fldCharType="end"/>
      </w:r>
      <w:r w:rsidRPr="00BE2EE0">
        <w:t>. Działania na rzecz realizacji zasad</w:t>
      </w:r>
      <w:r w:rsidR="00CE251A">
        <w:t>y</w:t>
      </w:r>
      <w:r w:rsidRPr="00BE2EE0">
        <w:t xml:space="preserve"> równości szans i niedyskryminacji, w tym dostępności dla osób z niepełnosprawnościami</w:t>
      </w:r>
      <w:bookmarkEnd w:id="112"/>
    </w:p>
    <w:p w14:paraId="27FE08EF" w14:textId="77777777" w:rsidR="003C4BE5" w:rsidRDefault="003C4BE5" w:rsidP="00DF64C7">
      <w:pPr>
        <w:spacing w:before="240"/>
        <w:jc w:val="left"/>
      </w:pPr>
      <w:r>
        <w:rPr>
          <w:noProof/>
          <w:lang w:eastAsia="pl-PL"/>
        </w:rPr>
        <w:drawing>
          <wp:inline distT="0" distB="0" distL="0" distR="0" wp14:anchorId="2512113A" wp14:editId="412B9238">
            <wp:extent cx="5759450" cy="1600200"/>
            <wp:effectExtent l="0" t="38100" r="31750" b="0"/>
            <wp:docPr id="6" name="Diagram 6" descr="Rysunek wskazuje działania na rzecz realizacji zasady równości szans i niedyskryminacji, w tym dostępności dla osób z niepełnosprawnościami, określone w dokumentach: „Realizacja zasady równości szans i niedyskryminacji, w tym dostępności dla osób z niepełnosprawnościami. Poradnik dla realizatorów projektów i instytucji systemu wdrażania funduszy europejskich 2014-2020 oraz Wytyczne w zakresie realizacji zasady równości szans i niedyskryminacji, w tym dostępności dla osób z niepełnosprawnościami oraz zasady równości szans kobiet i mężczyzn w ramach funduszy unijnych na lata 2014–2020." title="Działania na rzecz realizacji zasady równości szans i niedyskryminacji, w tym dostępności dla osób z niepełnosprawnościami"/>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7A9725E" w14:textId="77777777" w:rsidR="003C4BE5" w:rsidRDefault="003C4BE5" w:rsidP="00DF64C7">
      <w:pPr>
        <w:pStyle w:val="podpisrdailustracji"/>
        <w:spacing w:line="271" w:lineRule="auto"/>
        <w:jc w:val="left"/>
      </w:pPr>
      <w:r>
        <w:t>Źródło: Opracowanie własne EU-Consult Sp. z o.o. na podstawie</w:t>
      </w:r>
      <w:r w:rsidRPr="003C4BE5">
        <w:t xml:space="preserve"> </w:t>
      </w:r>
      <w:r>
        <w:t xml:space="preserve">„Realizacja zasady równości szans i niedyskryminacji, w tym dostępności dla osób z niepełnosprawnościami. Poradnik dla realizatorów projektów i instytucji systemu wdrażania funduszy europejskich 2014-2020./ </w:t>
      </w:r>
      <w:r w:rsidRPr="00E34777">
        <w:t>Wytyczne w zakresie realizacji zasady równości szans i niedyskryminacji, w tym dostępności dla osób z niepełnosprawnościami oraz zasady równości szans kobiet i mężczyzn w ramach funduszy unijnych na lata 2014–2020</w:t>
      </w:r>
      <w:r>
        <w:t>”</w:t>
      </w:r>
      <w:r w:rsidR="009033EC">
        <w:t>.</w:t>
      </w:r>
    </w:p>
    <w:p w14:paraId="1A956D2C" w14:textId="77777777" w:rsidR="0043367C" w:rsidRDefault="0043367C" w:rsidP="00DF64C7">
      <w:pPr>
        <w:jc w:val="left"/>
      </w:pPr>
      <w:r w:rsidRPr="00DE4662">
        <w:t>Różnorodność rozwiązań, które spełniałyby wymagania dostępności dla osób o różnych stopniach sprawności</w:t>
      </w:r>
      <w:r>
        <w:t xml:space="preserve"> wynika przede wszystkim ze </w:t>
      </w:r>
      <w:r w:rsidRPr="00DE4662">
        <w:t xml:space="preserve">zróżnicowania rodzajów niepełnosprawności. </w:t>
      </w:r>
      <w:r>
        <w:t>Wsparcia wymagają</w:t>
      </w:r>
      <w:r w:rsidRPr="00DE4662">
        <w:t xml:space="preserve"> m.in.</w:t>
      </w:r>
      <w:r w:rsidR="009A32A9">
        <w:t xml:space="preserve"> osoby</w:t>
      </w:r>
      <w:r w:rsidRPr="00DE4662">
        <w:t>:</w:t>
      </w:r>
    </w:p>
    <w:p w14:paraId="7189EF79" w14:textId="77777777" w:rsidR="0043367C" w:rsidRDefault="009A32A9" w:rsidP="00DF64C7">
      <w:pPr>
        <w:pStyle w:val="Akapitzlist"/>
        <w:numPr>
          <w:ilvl w:val="0"/>
          <w:numId w:val="5"/>
        </w:numPr>
        <w:spacing w:after="200"/>
        <w:jc w:val="left"/>
      </w:pPr>
      <w:r>
        <w:t>niewidome i niedowidzące;</w:t>
      </w:r>
    </w:p>
    <w:p w14:paraId="53B4E187" w14:textId="77777777" w:rsidR="0043367C" w:rsidRDefault="0043367C" w:rsidP="00DF64C7">
      <w:pPr>
        <w:pStyle w:val="Akapitzlist"/>
        <w:numPr>
          <w:ilvl w:val="0"/>
          <w:numId w:val="5"/>
        </w:numPr>
        <w:spacing w:after="200"/>
        <w:jc w:val="left"/>
      </w:pPr>
      <w:r>
        <w:t>głuche</w:t>
      </w:r>
      <w:r w:rsidR="009A32A9">
        <w:t xml:space="preserve"> i słabosłyszące;</w:t>
      </w:r>
    </w:p>
    <w:p w14:paraId="5D3CD986" w14:textId="77777777" w:rsidR="0043367C" w:rsidRDefault="009A32A9" w:rsidP="00DF64C7">
      <w:pPr>
        <w:pStyle w:val="Akapitzlist"/>
        <w:numPr>
          <w:ilvl w:val="0"/>
          <w:numId w:val="5"/>
        </w:numPr>
        <w:spacing w:after="200"/>
        <w:jc w:val="left"/>
      </w:pPr>
      <w:r>
        <w:t>głuchoniewidome;</w:t>
      </w:r>
    </w:p>
    <w:p w14:paraId="0271CF96" w14:textId="77777777" w:rsidR="0043367C" w:rsidRDefault="009A32A9" w:rsidP="00DF64C7">
      <w:pPr>
        <w:pStyle w:val="Akapitzlist"/>
        <w:numPr>
          <w:ilvl w:val="0"/>
          <w:numId w:val="5"/>
        </w:numPr>
        <w:spacing w:after="200"/>
        <w:jc w:val="left"/>
      </w:pPr>
      <w:r>
        <w:t>z niepełnosprawnością ruchową;</w:t>
      </w:r>
    </w:p>
    <w:p w14:paraId="6335622A" w14:textId="77777777" w:rsidR="0043367C" w:rsidRDefault="0043367C" w:rsidP="00DF64C7">
      <w:pPr>
        <w:pStyle w:val="Akapitzlist"/>
        <w:numPr>
          <w:ilvl w:val="0"/>
          <w:numId w:val="5"/>
        </w:numPr>
        <w:spacing w:after="200"/>
        <w:jc w:val="left"/>
      </w:pPr>
      <w:r w:rsidRPr="00DE4662">
        <w:t>z</w:t>
      </w:r>
      <w:r w:rsidR="009A32A9">
        <w:t xml:space="preserve"> mózgowym porażeniem dziecięcym;</w:t>
      </w:r>
    </w:p>
    <w:p w14:paraId="1203D9B4" w14:textId="77777777" w:rsidR="0043367C" w:rsidRDefault="0043367C" w:rsidP="00DF64C7">
      <w:pPr>
        <w:pStyle w:val="Akapitzlist"/>
        <w:numPr>
          <w:ilvl w:val="0"/>
          <w:numId w:val="5"/>
        </w:numPr>
        <w:spacing w:after="200"/>
        <w:jc w:val="left"/>
      </w:pPr>
      <w:r w:rsidRPr="00DE4662">
        <w:t>z ni</w:t>
      </w:r>
      <w:r w:rsidR="009A32A9">
        <w:t>epełnosprawnością intelektualną;</w:t>
      </w:r>
    </w:p>
    <w:p w14:paraId="38C37CD9" w14:textId="77777777" w:rsidR="0043367C" w:rsidRDefault="0043367C" w:rsidP="00DF64C7">
      <w:pPr>
        <w:pStyle w:val="Akapitzlist"/>
        <w:numPr>
          <w:ilvl w:val="0"/>
          <w:numId w:val="5"/>
        </w:numPr>
        <w:spacing w:after="200"/>
        <w:jc w:val="left"/>
      </w:pPr>
      <w:r w:rsidRPr="00DE4662">
        <w:t>z zaburzen</w:t>
      </w:r>
      <w:r w:rsidR="009A32A9">
        <w:t>iami lub chorobami psychicznymi;</w:t>
      </w:r>
    </w:p>
    <w:p w14:paraId="3E995BFC" w14:textId="77777777" w:rsidR="0043367C" w:rsidRDefault="0043367C" w:rsidP="00DF64C7">
      <w:pPr>
        <w:pStyle w:val="Akapitzlist"/>
        <w:numPr>
          <w:ilvl w:val="0"/>
          <w:numId w:val="5"/>
        </w:numPr>
        <w:spacing w:after="200"/>
        <w:jc w:val="left"/>
      </w:pPr>
      <w:r w:rsidRPr="00DE4662">
        <w:t>cierpiąc</w:t>
      </w:r>
      <w:r w:rsidR="009A32A9">
        <w:t>e na niedołężność z racji wieku;</w:t>
      </w:r>
    </w:p>
    <w:p w14:paraId="1C6AB382" w14:textId="77777777" w:rsidR="0043367C" w:rsidRPr="00956EDC" w:rsidRDefault="0043367C" w:rsidP="00DF64C7">
      <w:pPr>
        <w:pStyle w:val="Akapitzlist"/>
        <w:numPr>
          <w:ilvl w:val="0"/>
          <w:numId w:val="5"/>
        </w:numPr>
        <w:jc w:val="left"/>
      </w:pPr>
      <w:r w:rsidRPr="00DE4662">
        <w:t>z</w:t>
      </w:r>
      <w:r w:rsidR="00367F85">
        <w:t xml:space="preserve"> </w:t>
      </w:r>
      <w:r w:rsidRPr="00DE4662">
        <w:t>całościowymi</w:t>
      </w:r>
      <w:r w:rsidR="00367F85">
        <w:t xml:space="preserve"> </w:t>
      </w:r>
      <w:r w:rsidRPr="00DE4662">
        <w:t>zaburzeniami</w:t>
      </w:r>
      <w:r w:rsidR="00367F85">
        <w:t xml:space="preserve"> </w:t>
      </w:r>
      <w:r w:rsidRPr="00DE4662">
        <w:t>rozwoju,</w:t>
      </w:r>
      <w:r w:rsidR="00367F85">
        <w:t xml:space="preserve"> </w:t>
      </w:r>
      <w:r w:rsidRPr="00DE4662">
        <w:t>w</w:t>
      </w:r>
      <w:r w:rsidR="00367F85">
        <w:t xml:space="preserve"> </w:t>
      </w:r>
      <w:r w:rsidRPr="00DE4662">
        <w:t>tym</w:t>
      </w:r>
      <w:r w:rsidR="00367F85">
        <w:t xml:space="preserve"> </w:t>
      </w:r>
      <w:r w:rsidRPr="00DE4662">
        <w:t>m.in.</w:t>
      </w:r>
      <w:r w:rsidR="00367F85">
        <w:t xml:space="preserve"> </w:t>
      </w:r>
      <w:r w:rsidRPr="00DE4662">
        <w:t>osoby</w:t>
      </w:r>
      <w:r w:rsidR="00367F85">
        <w:t xml:space="preserve"> </w:t>
      </w:r>
      <w:r w:rsidRPr="00DE4662">
        <w:t>z</w:t>
      </w:r>
      <w:r w:rsidR="00367F85">
        <w:t xml:space="preserve"> </w:t>
      </w:r>
      <w:r w:rsidRPr="00DE4662">
        <w:t>zespołem</w:t>
      </w:r>
      <w:r w:rsidR="00367F85">
        <w:t xml:space="preserve"> </w:t>
      </w:r>
      <w:r w:rsidRPr="00DE4662">
        <w:t>Aspergera,</w:t>
      </w:r>
      <w:r w:rsidR="00367F85">
        <w:t xml:space="preserve"> </w:t>
      </w:r>
      <w:r w:rsidR="009033EC">
        <w:t>z </w:t>
      </w:r>
      <w:r w:rsidRPr="00DE4662">
        <w:t>autyzmem</w:t>
      </w:r>
      <w:r>
        <w:rPr>
          <w:rStyle w:val="Odwoanieprzypisudolnego"/>
        </w:rPr>
        <w:footnoteReference w:id="106"/>
      </w:r>
      <w:r w:rsidRPr="00DE4662">
        <w:t>.</w:t>
      </w:r>
    </w:p>
    <w:p w14:paraId="4475375A" w14:textId="77777777" w:rsidR="00AB136B" w:rsidRDefault="00AB136B" w:rsidP="00DF64C7">
      <w:pPr>
        <w:jc w:val="left"/>
      </w:pPr>
      <w:r>
        <w:t xml:space="preserve">Lista działań, które mają za zadanie zapobiegać dyskryminacji w projektach współfinansowanych ze środków RPO WSL 2014-2020 znajduje się </w:t>
      </w:r>
      <w:r w:rsidR="00957896">
        <w:t xml:space="preserve">na początku niniejszego podrozdziału. </w:t>
      </w:r>
    </w:p>
    <w:p w14:paraId="5FD94937" w14:textId="77777777" w:rsidR="0043367C" w:rsidRDefault="0043367C" w:rsidP="00DF64C7">
      <w:pPr>
        <w:jc w:val="left"/>
      </w:pPr>
      <w:r>
        <w:t>Zdecydowana większość (ponad 87%) projektów realizowanych przy wsparciu</w:t>
      </w:r>
      <w:r w:rsidR="00367F85">
        <w:t xml:space="preserve"> </w:t>
      </w:r>
      <w:r>
        <w:t>RPO WSL 2014-2020 (w ramach OP XI oraz OP XII)</w:t>
      </w:r>
      <w:r w:rsidR="00367F85">
        <w:t xml:space="preserve"> </w:t>
      </w:r>
      <w:r w:rsidR="00215FAB">
        <w:t>miała posiadać wg założeń</w:t>
      </w:r>
      <w:r>
        <w:t xml:space="preserve"> wnioskodawców pozytywny wpływ na zapobieganie dyskryminacji, z czego</w:t>
      </w:r>
      <w:r w:rsidR="00A21D76">
        <w:rPr>
          <w:rStyle w:val="Odwoanieprzypisudolnego"/>
        </w:rPr>
        <w:footnoteReference w:id="107"/>
      </w:r>
      <w:r>
        <w:t>:</w:t>
      </w:r>
    </w:p>
    <w:p w14:paraId="2DDAB4CC" w14:textId="77777777" w:rsidR="0043367C" w:rsidRDefault="0043367C" w:rsidP="00DF64C7">
      <w:pPr>
        <w:pStyle w:val="Akapitzlist"/>
        <w:numPr>
          <w:ilvl w:val="0"/>
          <w:numId w:val="46"/>
        </w:numPr>
        <w:jc w:val="left"/>
      </w:pPr>
      <w:r w:rsidRPr="001B1E01">
        <w:t xml:space="preserve">W ramach </w:t>
      </w:r>
      <w:r w:rsidR="009A32A9">
        <w:t>D</w:t>
      </w:r>
      <w:r w:rsidRPr="001B1E01">
        <w:t>ziałania</w:t>
      </w:r>
      <w:r w:rsidR="00367F85">
        <w:t xml:space="preserve"> </w:t>
      </w:r>
      <w:r w:rsidR="009A32A9">
        <w:t xml:space="preserve">11.1 </w:t>
      </w:r>
      <w:r>
        <w:t>86</w:t>
      </w:r>
      <w:r w:rsidRPr="001B1E01">
        <w:t>% p</w:t>
      </w:r>
      <w:r>
        <w:t>rojektów ma pozytywny wpływ na zapobieganie dyskryminacji, natomiast 14</w:t>
      </w:r>
      <w:r w:rsidRPr="001B1E01">
        <w:t xml:space="preserve">% ma neutralny wpływ </w:t>
      </w:r>
      <w:r w:rsidR="009A32A9">
        <w:t>na promowanie niniejszej zasady;</w:t>
      </w:r>
    </w:p>
    <w:p w14:paraId="3A56CC94" w14:textId="77777777" w:rsidR="0043367C" w:rsidRDefault="0043367C" w:rsidP="00DF64C7">
      <w:pPr>
        <w:pStyle w:val="Akapitzlist"/>
        <w:numPr>
          <w:ilvl w:val="0"/>
          <w:numId w:val="46"/>
        </w:numPr>
        <w:jc w:val="left"/>
      </w:pPr>
      <w:r w:rsidRPr="001B1E01">
        <w:t xml:space="preserve">W ramach </w:t>
      </w:r>
      <w:r w:rsidR="009A32A9">
        <w:t>D</w:t>
      </w:r>
      <w:r w:rsidRPr="001B1E01">
        <w:t>ziałania</w:t>
      </w:r>
      <w:r w:rsidR="00367F85">
        <w:t xml:space="preserve"> </w:t>
      </w:r>
      <w:r w:rsidR="009A32A9">
        <w:t xml:space="preserve">11.2 </w:t>
      </w:r>
      <w:r>
        <w:t>84</w:t>
      </w:r>
      <w:r w:rsidRPr="001B1E01">
        <w:t xml:space="preserve">% projektów ma pozytywny wpływ na </w:t>
      </w:r>
      <w:r>
        <w:t>zapobieganie dyskryminacji, natomiast 16</w:t>
      </w:r>
      <w:r w:rsidRPr="001B1E01">
        <w:t xml:space="preserve">% ma neutralny wpływ </w:t>
      </w:r>
      <w:r w:rsidR="009A32A9">
        <w:t>na promowanie niniejszej zasady;</w:t>
      </w:r>
    </w:p>
    <w:p w14:paraId="2EF314C5" w14:textId="77777777" w:rsidR="0043367C" w:rsidRDefault="0043367C" w:rsidP="00DF64C7">
      <w:pPr>
        <w:pStyle w:val="Akapitzlist"/>
        <w:numPr>
          <w:ilvl w:val="0"/>
          <w:numId w:val="46"/>
        </w:numPr>
        <w:jc w:val="left"/>
      </w:pPr>
      <w:r w:rsidRPr="001B1E01">
        <w:t xml:space="preserve">W ramach </w:t>
      </w:r>
      <w:r w:rsidR="009A32A9">
        <w:t>D</w:t>
      </w:r>
      <w:r w:rsidRPr="001B1E01">
        <w:t>ziałania</w:t>
      </w:r>
      <w:r w:rsidR="00367F85">
        <w:t xml:space="preserve"> </w:t>
      </w:r>
      <w:r w:rsidR="009A32A9">
        <w:t xml:space="preserve">11.3 </w:t>
      </w:r>
      <w:r>
        <w:t>91</w:t>
      </w:r>
      <w:r w:rsidRPr="001B1E01">
        <w:t xml:space="preserve">% projektów ma pozytywny wpływ na </w:t>
      </w:r>
      <w:r>
        <w:t>zapobieganie dyskryminacji, natomiast 9</w:t>
      </w:r>
      <w:r w:rsidRPr="001B1E01">
        <w:t xml:space="preserve">% ma neutralny wpływ </w:t>
      </w:r>
      <w:r w:rsidR="009A32A9">
        <w:t>na promowanie niniejszej zasady;</w:t>
      </w:r>
    </w:p>
    <w:p w14:paraId="3E709C96" w14:textId="77777777" w:rsidR="0043367C" w:rsidRPr="001B1E01" w:rsidRDefault="0043367C" w:rsidP="00DF64C7">
      <w:pPr>
        <w:pStyle w:val="Akapitzlist"/>
        <w:numPr>
          <w:ilvl w:val="0"/>
          <w:numId w:val="46"/>
        </w:numPr>
        <w:jc w:val="left"/>
      </w:pPr>
      <w:r w:rsidRPr="001B1E01">
        <w:t xml:space="preserve">W ramach </w:t>
      </w:r>
      <w:r w:rsidR="009A32A9">
        <w:t>D</w:t>
      </w:r>
      <w:r w:rsidRPr="001B1E01">
        <w:t>ziałania</w:t>
      </w:r>
      <w:r w:rsidR="00367F85">
        <w:t xml:space="preserve"> </w:t>
      </w:r>
      <w:r w:rsidR="009A32A9">
        <w:t xml:space="preserve">11.4 </w:t>
      </w:r>
      <w:r>
        <w:t>96</w:t>
      </w:r>
      <w:r w:rsidRPr="001B1E01">
        <w:t xml:space="preserve">% projektów ma pozytywny wpływ na </w:t>
      </w:r>
      <w:r>
        <w:t>zapobieganie dyskryminacji, natomiast 4</w:t>
      </w:r>
      <w:r w:rsidRPr="001B1E01">
        <w:t xml:space="preserve">% ma neutralny wpływ </w:t>
      </w:r>
      <w:r w:rsidR="009A32A9">
        <w:t>na promowanie niniejszej zasady;</w:t>
      </w:r>
    </w:p>
    <w:p w14:paraId="01340A3A" w14:textId="77777777" w:rsidR="0043367C" w:rsidRPr="001B1E01" w:rsidRDefault="0043367C" w:rsidP="00DF64C7">
      <w:pPr>
        <w:pStyle w:val="Akapitzlist"/>
        <w:numPr>
          <w:ilvl w:val="0"/>
          <w:numId w:val="46"/>
        </w:numPr>
        <w:jc w:val="left"/>
      </w:pPr>
      <w:r w:rsidRPr="001B1E01">
        <w:t xml:space="preserve">W ramach </w:t>
      </w:r>
      <w:r w:rsidR="009A32A9">
        <w:t>D</w:t>
      </w:r>
      <w:r w:rsidRPr="001B1E01">
        <w:t>ziałania</w:t>
      </w:r>
      <w:r w:rsidR="00367F85">
        <w:t xml:space="preserve"> </w:t>
      </w:r>
      <w:r w:rsidR="009A32A9">
        <w:t xml:space="preserve">12.1 </w:t>
      </w:r>
      <w:r>
        <w:t>89</w:t>
      </w:r>
      <w:r w:rsidRPr="001B1E01">
        <w:t xml:space="preserve">% projektów ma pozytywny wpływ na </w:t>
      </w:r>
      <w:r>
        <w:t>zapobieganie dyskryminacji, natomiast 11</w:t>
      </w:r>
      <w:r w:rsidRPr="001B1E01">
        <w:t xml:space="preserve">% ma neutralny wpływ </w:t>
      </w:r>
      <w:r w:rsidR="009A32A9">
        <w:t>na promowanie niniejszej zasady;</w:t>
      </w:r>
    </w:p>
    <w:p w14:paraId="4478FD7B" w14:textId="77777777" w:rsidR="0043367C" w:rsidRDefault="009A32A9" w:rsidP="00DF64C7">
      <w:pPr>
        <w:pStyle w:val="Akapitzlist"/>
        <w:numPr>
          <w:ilvl w:val="0"/>
          <w:numId w:val="46"/>
        </w:numPr>
        <w:jc w:val="left"/>
      </w:pPr>
      <w:r>
        <w:t xml:space="preserve">W ramach Działania 12.2 </w:t>
      </w:r>
      <w:r w:rsidR="0043367C">
        <w:t>79</w:t>
      </w:r>
      <w:r w:rsidR="0043367C" w:rsidRPr="001B1E01">
        <w:t xml:space="preserve">% projektów ma pozytywny wpływ na </w:t>
      </w:r>
      <w:r w:rsidR="0043367C">
        <w:t>zapobieganie dyskryminacji, natomiast 21</w:t>
      </w:r>
      <w:r w:rsidR="0043367C" w:rsidRPr="001B1E01">
        <w:t xml:space="preserve">% ma neutralny wpływ </w:t>
      </w:r>
      <w:r>
        <w:t>na promowanie niniejszej zasady;</w:t>
      </w:r>
    </w:p>
    <w:p w14:paraId="70A12A2E" w14:textId="77777777" w:rsidR="0043367C" w:rsidRDefault="0043367C" w:rsidP="00DF64C7">
      <w:pPr>
        <w:pStyle w:val="Akapitzlist"/>
        <w:numPr>
          <w:ilvl w:val="0"/>
          <w:numId w:val="46"/>
        </w:numPr>
        <w:jc w:val="left"/>
      </w:pPr>
      <w:r w:rsidRPr="001B1E01">
        <w:t xml:space="preserve">W ramach </w:t>
      </w:r>
      <w:r w:rsidR="009A32A9">
        <w:t>D</w:t>
      </w:r>
      <w:r w:rsidRPr="001B1E01">
        <w:t>ziałania</w:t>
      </w:r>
      <w:r w:rsidR="00367F85">
        <w:t xml:space="preserve"> </w:t>
      </w:r>
      <w:r w:rsidR="009A32A9">
        <w:t xml:space="preserve">12.3 </w:t>
      </w:r>
      <w:r w:rsidRPr="001B1E01">
        <w:t>100% projektów ma pozytywny wpływ</w:t>
      </w:r>
      <w:r>
        <w:t xml:space="preserve"> na</w:t>
      </w:r>
      <w:r w:rsidRPr="001B1E01">
        <w:t xml:space="preserve"> </w:t>
      </w:r>
      <w:r>
        <w:t>zapobieganie dyskryminacji.</w:t>
      </w:r>
    </w:p>
    <w:p w14:paraId="71DC0B7D" w14:textId="77777777" w:rsidR="00E9680A" w:rsidRDefault="00E9680A" w:rsidP="00DF64C7">
      <w:pPr>
        <w:jc w:val="left"/>
      </w:pPr>
    </w:p>
    <w:p w14:paraId="21B1A017" w14:textId="77777777" w:rsidR="00E9680A" w:rsidRDefault="00E9680A" w:rsidP="00DF64C7">
      <w:pPr>
        <w:jc w:val="left"/>
      </w:pPr>
      <w:r>
        <w:t xml:space="preserve">Beneficjenci </w:t>
      </w:r>
      <w:r w:rsidR="00CE251A">
        <w:t xml:space="preserve">OP </w:t>
      </w:r>
      <w:r>
        <w:t>XI i XII, w zależności od działania RPO WSL</w:t>
      </w:r>
      <w:r>
        <w:rPr>
          <w:rStyle w:val="Odwoanieprzypisudolnego"/>
        </w:rPr>
        <w:footnoteReference w:id="108"/>
      </w:r>
      <w:r w:rsidR="00CE251A">
        <w:t xml:space="preserve">, </w:t>
      </w:r>
      <w:r>
        <w:t>najczęściej realizowali zasadę równości szans i niedyskryminacji poprzez:</w:t>
      </w:r>
    </w:p>
    <w:p w14:paraId="36575890" w14:textId="77777777" w:rsidR="00E9680A" w:rsidRDefault="00E9680A" w:rsidP="00DF64C7">
      <w:pPr>
        <w:pStyle w:val="Akapitzlist"/>
        <w:numPr>
          <w:ilvl w:val="0"/>
          <w:numId w:val="47"/>
        </w:numPr>
        <w:jc w:val="left"/>
      </w:pPr>
      <w:r>
        <w:t>stosowanie klauzul społecznych w udzielanych zamówieniach publicznych (89</w:t>
      </w:r>
      <w:r w:rsidR="002B2DF5">
        <w:t>,0</w:t>
      </w:r>
      <w:r>
        <w:t>% beneficjentów realizujących projekt</w:t>
      </w:r>
      <w:r w:rsidR="00A81F8B">
        <w:t>y</w:t>
      </w:r>
      <w:r>
        <w:t xml:space="preserve"> umożliwiające zastosowanie wskazanego sposobu realizacji zasady równości szans i niedyskryminacji);</w:t>
      </w:r>
    </w:p>
    <w:p w14:paraId="4FED6DB8" w14:textId="77777777" w:rsidR="00E9680A" w:rsidRDefault="00E9680A" w:rsidP="00DF64C7">
      <w:pPr>
        <w:pStyle w:val="Akapitzlist"/>
        <w:numPr>
          <w:ilvl w:val="0"/>
          <w:numId w:val="47"/>
        </w:numPr>
        <w:jc w:val="left"/>
      </w:pPr>
      <w:r>
        <w:t>dostosowanie prowadzonych zajęć do potrzeb dzieci z niepełnosprawnościami (67</w:t>
      </w:r>
      <w:r w:rsidR="002B2DF5">
        <w:t>,0</w:t>
      </w:r>
      <w:r>
        <w:t>%);</w:t>
      </w:r>
    </w:p>
    <w:p w14:paraId="62970AC7" w14:textId="77777777" w:rsidR="00E9680A" w:rsidRDefault="00E9680A" w:rsidP="00DF64C7">
      <w:pPr>
        <w:pStyle w:val="Akapitzlist"/>
        <w:numPr>
          <w:ilvl w:val="0"/>
          <w:numId w:val="47"/>
        </w:numPr>
        <w:jc w:val="left"/>
      </w:pPr>
      <w:r>
        <w:t>dostosowanie miejsca przedszkolnego do potrzeb dzieci z niepełnosprawnościami (58</w:t>
      </w:r>
      <w:r w:rsidR="002B2DF5">
        <w:t>,0</w:t>
      </w:r>
      <w:r>
        <w:t>%);</w:t>
      </w:r>
    </w:p>
    <w:p w14:paraId="57855373" w14:textId="77777777" w:rsidR="00E9680A" w:rsidRDefault="00E9680A" w:rsidP="00DF64C7">
      <w:pPr>
        <w:pStyle w:val="Akapitzlist"/>
        <w:numPr>
          <w:ilvl w:val="0"/>
          <w:numId w:val="47"/>
        </w:numPr>
        <w:jc w:val="left"/>
      </w:pPr>
      <w:r>
        <w:t xml:space="preserve">zaangażowanie do uczestnictwa w projekcie osób </w:t>
      </w:r>
      <w:r w:rsidR="009033EC">
        <w:t>z grup marginalizowanych (np. z </w:t>
      </w:r>
      <w:r>
        <w:t>niepełnosprawnościami) (52</w:t>
      </w:r>
      <w:r w:rsidR="002B2DF5">
        <w:t>,0</w:t>
      </w:r>
      <w:r>
        <w:t>%);</w:t>
      </w:r>
    </w:p>
    <w:p w14:paraId="30DF56D8" w14:textId="77777777" w:rsidR="002B2DF5" w:rsidRDefault="00E9680A" w:rsidP="00DF64C7">
      <w:pPr>
        <w:pStyle w:val="Akapitzlist"/>
        <w:numPr>
          <w:ilvl w:val="0"/>
          <w:numId w:val="47"/>
        </w:numPr>
        <w:jc w:val="left"/>
      </w:pPr>
      <w:r>
        <w:t>organizację wydarzeń w ramach projektu w miejscach pozbawionych barier architektonicznych (48</w:t>
      </w:r>
      <w:r w:rsidR="002B2DF5">
        <w:t>,0</w:t>
      </w:r>
      <w:r>
        <w:t>%).</w:t>
      </w:r>
    </w:p>
    <w:p w14:paraId="03135DCF" w14:textId="4831E472" w:rsidR="00CE251A" w:rsidRDefault="00CE251A" w:rsidP="00DF64C7">
      <w:pPr>
        <w:pStyle w:val="Legenda"/>
        <w:spacing w:line="271" w:lineRule="auto"/>
        <w:jc w:val="left"/>
      </w:pPr>
      <w:bookmarkStart w:id="113" w:name="_Toc33459811"/>
      <w:r>
        <w:t xml:space="preserve">Wykres </w:t>
      </w:r>
      <w:r w:rsidR="00A83EB8">
        <w:rPr>
          <w:noProof/>
        </w:rPr>
        <w:fldChar w:fldCharType="begin"/>
      </w:r>
      <w:r w:rsidR="00A83EB8">
        <w:rPr>
          <w:noProof/>
        </w:rPr>
        <w:instrText xml:space="preserve"> SEQ Wykres \* ARABIC </w:instrText>
      </w:r>
      <w:r w:rsidR="00A83EB8">
        <w:rPr>
          <w:noProof/>
        </w:rPr>
        <w:fldChar w:fldCharType="separate"/>
      </w:r>
      <w:r w:rsidR="00A8147E">
        <w:rPr>
          <w:noProof/>
        </w:rPr>
        <w:t>33</w:t>
      </w:r>
      <w:r w:rsidR="00A83EB8">
        <w:rPr>
          <w:noProof/>
        </w:rPr>
        <w:fldChar w:fldCharType="end"/>
      </w:r>
      <w:r w:rsidR="009033EC">
        <w:rPr>
          <w:noProof/>
        </w:rPr>
        <w:t>.</w:t>
      </w:r>
      <w:r>
        <w:t xml:space="preserve"> </w:t>
      </w:r>
      <w:r w:rsidRPr="00CE251A">
        <w:t>W jaki sposób realizowali Państwo w swoim pr</w:t>
      </w:r>
      <w:r w:rsidR="009033EC">
        <w:t>ojekcie zasadę równości szans i </w:t>
      </w:r>
      <w:r w:rsidRPr="00CE251A">
        <w:t>niedyskryminacji?</w:t>
      </w:r>
      <w:bookmarkEnd w:id="113"/>
    </w:p>
    <w:p w14:paraId="190290AA" w14:textId="77777777" w:rsidR="00CE251A" w:rsidRDefault="00CE251A" w:rsidP="00DF64C7">
      <w:pPr>
        <w:jc w:val="left"/>
        <w:rPr>
          <w:rStyle w:val="LegendaZnak"/>
          <w:b w:val="0"/>
          <w:bCs w:val="0"/>
          <w:i w:val="0"/>
        </w:rPr>
      </w:pPr>
      <w:r>
        <w:rPr>
          <w:noProof/>
          <w:lang w:eastAsia="pl-PL"/>
        </w:rPr>
        <w:drawing>
          <wp:inline distT="0" distB="0" distL="0" distR="0" wp14:anchorId="3F95585E" wp14:editId="5F6BE8CF">
            <wp:extent cx="5676900" cy="2682240"/>
            <wp:effectExtent l="0" t="0" r="0" b="3810"/>
            <wp:docPr id="48" name="Wykres 48" descr="Wykres przedstawia procentowy rozkład odpowiedzi beneficjentów na pytanie: &quot;W jaki sposób realizowali Państwo w swoim projekcie zasadę równości szans i niedyskryminacji?&quot;. Odpowiedzi zostały przedstawione na wykresie kolumnowym skumulowanym. Rozkład odpowiedzi &quot;TAK&quot; przedstawia się następująco: stosowanie klauzul społecznych w udzielanych zamówieniach publicznych - 89,0%, dostsowanie prowadzonych zajęć do potrzen dzieci z niepełnospranościam - 67,0%, dostosowane miejsca przedszkolnego do potrzeb dzieci z niepełnosprawnościami - 58,0%, zaangażowanie do uczestnictwa w projekcie osób z grup marginalizowanych - 52,0%, organizacja wydarzeń w ramach projektu w miejscach pozbawionych barier archtektonicznych - 48,0%, organizacja stanowiska nauki przystosowanego dla osób z niepełnosprawnościami - 27,0%, zaangażowanie do realizacji projektu osób z grup marginalizowanych - 14,0%, przygotowanie infrastruktury z uwzględnieniem braku barier architektonicznych - 4,0%." title="W jaki sposób realizowali Państwo w swoim projekcie zasadę równości szans i niedyskryminacji?"/>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27481A9" w14:textId="77777777" w:rsidR="00E73C33" w:rsidRDefault="00E73C33" w:rsidP="00DF64C7">
      <w:pPr>
        <w:pStyle w:val="podpisrdailustracji"/>
        <w:spacing w:line="271" w:lineRule="auto"/>
        <w:jc w:val="left"/>
      </w:pPr>
      <w:r w:rsidRPr="00E73C33">
        <w:t>Źródło: opracowanie własne na podstawie badania CAWI/CATI z beneficjentami, n=467.</w:t>
      </w:r>
    </w:p>
    <w:p w14:paraId="1A9EE7D8" w14:textId="77777777" w:rsidR="00136609" w:rsidRDefault="00136609" w:rsidP="00DF64C7">
      <w:pPr>
        <w:spacing w:after="240"/>
        <w:jc w:val="left"/>
      </w:pPr>
      <w:r w:rsidRPr="00136609">
        <w:t>Również w przypadku badania przeprowadzonego z dyrektorami i nauczycielami wspartych placó</w:t>
      </w:r>
      <w:r>
        <w:t>w</w:t>
      </w:r>
      <w:r w:rsidRPr="00136609">
        <w:t>ek podjęto temat wyrównywania szans. Zdaniem tej grupy badanych, realizowany projekt przyczynił się do rozszerzenia oferty o dodatkowe zajęcia wyrównujące szanse edukacyjne dzieci (wariant wskazany przez 87,6% badanych</w:t>
      </w:r>
      <w:r w:rsidR="00F57309">
        <w:t>)</w:t>
      </w:r>
      <w:r w:rsidRPr="00136609">
        <w:t xml:space="preserve">. Ponadto, wyrównywanie szans odnosi się również do wsparcia z zakresu edukacji przedszkolnej. Przeprowadzone badanie z dyrektorami/nauczycielami pozwoliło stwierdzić, że zdaniem 77,7% spośród badanych potwierdziło, </w:t>
      </w:r>
      <w:r w:rsidR="00C72CA7">
        <w:t>ż</w:t>
      </w:r>
      <w:r w:rsidRPr="00136609">
        <w:t>e realizowany projekt pozwolił na dostosowanie istniejących miejsc wychowania przedszkolnego do potrzeb dzieci z niepełnosprawnościami lub realizacja dodatkowej oferty dla takic</w:t>
      </w:r>
      <w:r w:rsidR="005640B1" w:rsidRPr="00136609">
        <w:t xml:space="preserve">h </w:t>
      </w:r>
      <w:r w:rsidR="005640B1" w:rsidRPr="00E24BD3">
        <w:t>dzieci (CAWI/CATI z dyrektorami i nauczycielami, n= 556).</w:t>
      </w:r>
    </w:p>
    <w:p w14:paraId="5D310CD4" w14:textId="77777777" w:rsidR="00CB3D58" w:rsidRDefault="00CB3D58" w:rsidP="00DF64C7">
      <w:pPr>
        <w:jc w:val="left"/>
      </w:pPr>
      <w:bookmarkStart w:id="114" w:name="_Toc24466826"/>
      <w:bookmarkStart w:id="115" w:name="_Toc25664307"/>
      <w:bookmarkStart w:id="116" w:name="_Toc26526288"/>
      <w:r>
        <w:t>Podczas wywiadów jakościowych beneficjenci dodali także kilka innych kwestii:</w:t>
      </w:r>
    </w:p>
    <w:p w14:paraId="3DC6062B" w14:textId="77777777" w:rsidR="00CB3D58" w:rsidRDefault="00CB3D58" w:rsidP="00DF64C7">
      <w:pPr>
        <w:pStyle w:val="Akapitzlist"/>
        <w:numPr>
          <w:ilvl w:val="0"/>
          <w:numId w:val="44"/>
        </w:numPr>
        <w:jc w:val="left"/>
      </w:pPr>
      <w:r>
        <w:t>dostosowanie infrastruktury do potrzeb osób z niepełnosprawnościami (likwidacja barier architektonicznych w łazienkach, w wejściach do budynków, montowanie podnośników krzesełkowych dla dzieci niepełnosprawnych ruchowo, montowanie udogodnień dla osób niewidomych i niedowidzących – odpowiednia faktura posadzki,</w:t>
      </w:r>
      <w:r w:rsidR="00DC26C0">
        <w:t xml:space="preserve"> </w:t>
      </w:r>
      <w:r>
        <w:t xml:space="preserve">specjalne płytki, taśmy, umiejscowienie tabliczek z oznaczeniami Braille’a oraz pismem wypukłym); </w:t>
      </w:r>
    </w:p>
    <w:p w14:paraId="70E781B3" w14:textId="77777777" w:rsidR="00CB3D58" w:rsidRDefault="00CB3D58" w:rsidP="00DF64C7">
      <w:pPr>
        <w:pStyle w:val="Akapitzlist"/>
        <w:numPr>
          <w:ilvl w:val="0"/>
          <w:numId w:val="44"/>
        </w:numPr>
        <w:jc w:val="left"/>
      </w:pPr>
      <w:r>
        <w:t>prowadzenie rozmów z uczniami nakierowanymi na</w:t>
      </w:r>
      <w:r w:rsidR="000648EC">
        <w:t xml:space="preserve"> podniesienie poziomu empatii w </w:t>
      </w:r>
      <w:r>
        <w:t>stosunku do innych ludzi;</w:t>
      </w:r>
    </w:p>
    <w:p w14:paraId="7C67A74F" w14:textId="77777777" w:rsidR="00806E3D" w:rsidRDefault="00CB3D58" w:rsidP="00DF64C7">
      <w:pPr>
        <w:pStyle w:val="Akapitzlist"/>
        <w:numPr>
          <w:ilvl w:val="0"/>
          <w:numId w:val="44"/>
        </w:numPr>
        <w:jc w:val="left"/>
      </w:pPr>
      <w:r>
        <w:t>przełamywanie stereotypów na poziomie edukacji przedszkolnej.</w:t>
      </w:r>
    </w:p>
    <w:p w14:paraId="2F8A887F" w14:textId="77777777" w:rsidR="00806E3D" w:rsidRDefault="00EB342E" w:rsidP="00DF64C7">
      <w:pPr>
        <w:jc w:val="left"/>
      </w:pPr>
      <w:r w:rsidRPr="00806E3D">
        <w:rPr>
          <w:rFonts w:eastAsia="Arial"/>
          <w:b/>
        </w:rPr>
        <w:t>Zasada zrównoważonego rozwoju</w:t>
      </w:r>
    </w:p>
    <w:p w14:paraId="70A34148" w14:textId="77777777" w:rsidR="00A21D76" w:rsidRPr="00806E3D" w:rsidRDefault="00546204" w:rsidP="00DF64C7">
      <w:pPr>
        <w:jc w:val="left"/>
        <w:rPr>
          <w:noProof/>
        </w:rPr>
      </w:pPr>
      <w:r w:rsidRPr="00E634E0">
        <w:rPr>
          <w:noProof/>
        </w:rPr>
        <w:t>Zgodnie z art. 8 rozporządzenia Parlamentu Europejskiego i Rady (UE) nr 1303/2013, przedsięwzięcia realizowane w ramach programów operacyjnych powinny promować wymogi ochrony środowiska tj. efektywne i racjonalne gospodarowanie zasobami, dostosowanie do zmian klimatu oraz łagodzenie wpływu jego skutków, ochronę różnorodności biologicznej, a także przyspieszanie procesów przywracania środowiska do właściwego stanu wszędzie tam, gdzie nastąpiło nar</w:t>
      </w:r>
      <w:r>
        <w:rPr>
          <w:noProof/>
        </w:rPr>
        <w:t>uszenie równowagi przyrodniczej</w:t>
      </w:r>
      <w:r w:rsidR="00FE1549">
        <w:rPr>
          <w:rStyle w:val="Odwoanieprzypisudolnego"/>
          <w:rFonts w:eastAsia="Arial"/>
        </w:rPr>
        <w:footnoteReference w:id="109"/>
      </w:r>
      <w:r w:rsidR="00FE1549" w:rsidRPr="00FE1549">
        <w:rPr>
          <w:rFonts w:eastAsia="Arial"/>
        </w:rPr>
        <w:t>.</w:t>
      </w:r>
    </w:p>
    <w:p w14:paraId="420C5C7F" w14:textId="77777777" w:rsidR="00AB136B" w:rsidRDefault="00AB136B" w:rsidP="00DF64C7">
      <w:pPr>
        <w:jc w:val="left"/>
      </w:pPr>
      <w:r>
        <w:t>Lista działań, które wskazują na uwzględnienie w projektach</w:t>
      </w:r>
      <w:r w:rsidRPr="00AB136B">
        <w:t xml:space="preserve"> </w:t>
      </w:r>
      <w:r>
        <w:t xml:space="preserve">współfinansowanych ze środków RPO WSL 2014-2020 zasady zrównoważonego rozwoju znajduje się </w:t>
      </w:r>
      <w:r w:rsidR="00866463">
        <w:t>na początku niniejszego podrozdziału.</w:t>
      </w:r>
    </w:p>
    <w:p w14:paraId="6F4538FE" w14:textId="77777777" w:rsidR="001862D5" w:rsidRDefault="001862D5" w:rsidP="00DF64C7">
      <w:pPr>
        <w:spacing w:after="200"/>
        <w:jc w:val="left"/>
      </w:pPr>
      <w:r>
        <w:t>45% projektów realizowanych przy wsparciu RPO WSL 2014-2020 (w ramach OP XI oraz OP XII) ma w opinii wnioskodawców pozytywny wpływ na realizację zasady zrównoważonego rozwoju, z czego</w:t>
      </w:r>
      <w:r>
        <w:rPr>
          <w:rStyle w:val="Odwoanieprzypisudolnego"/>
        </w:rPr>
        <w:footnoteReference w:id="110"/>
      </w:r>
      <w:r>
        <w:t>:</w:t>
      </w:r>
    </w:p>
    <w:p w14:paraId="4DA865B4" w14:textId="77777777" w:rsidR="00FE1549" w:rsidRDefault="00FE1549" w:rsidP="00DF64C7">
      <w:pPr>
        <w:pStyle w:val="Akapitzlist"/>
        <w:numPr>
          <w:ilvl w:val="0"/>
          <w:numId w:val="4"/>
        </w:numPr>
        <w:spacing w:after="200"/>
        <w:jc w:val="left"/>
      </w:pPr>
      <w:r w:rsidRPr="001B1E01">
        <w:t xml:space="preserve">W ramach </w:t>
      </w:r>
      <w:r>
        <w:t>D</w:t>
      </w:r>
      <w:r w:rsidRPr="001B1E01">
        <w:t>ziałania</w:t>
      </w:r>
      <w:r>
        <w:t xml:space="preserve"> 11.1 </w:t>
      </w:r>
      <w:r w:rsidR="001862D5">
        <w:t>42</w:t>
      </w:r>
      <w:r w:rsidRPr="001B1E01">
        <w:t>% p</w:t>
      </w:r>
      <w:r>
        <w:t xml:space="preserve">rojektów ma pozytywny wpływ na </w:t>
      </w:r>
      <w:r w:rsidR="001862D5">
        <w:t>zrównoważony rozwój, natomiast 58</w:t>
      </w:r>
      <w:r w:rsidRPr="001B1E01">
        <w:t xml:space="preserve">% ma neutralny wpływ </w:t>
      </w:r>
      <w:r>
        <w:t>na promowanie niniejszej zasady;</w:t>
      </w:r>
    </w:p>
    <w:p w14:paraId="505286ED" w14:textId="77777777" w:rsidR="00FE1549" w:rsidRDefault="00FE1549" w:rsidP="00DF64C7">
      <w:pPr>
        <w:pStyle w:val="Akapitzlist"/>
        <w:numPr>
          <w:ilvl w:val="0"/>
          <w:numId w:val="4"/>
        </w:numPr>
        <w:spacing w:after="200"/>
        <w:jc w:val="left"/>
      </w:pPr>
      <w:r w:rsidRPr="001B1E01">
        <w:t xml:space="preserve">W ramach </w:t>
      </w:r>
      <w:r>
        <w:t>D</w:t>
      </w:r>
      <w:r w:rsidRPr="001B1E01">
        <w:t>ziałania</w:t>
      </w:r>
      <w:r>
        <w:t xml:space="preserve"> 11.2 </w:t>
      </w:r>
      <w:r w:rsidR="001862D5">
        <w:t>47</w:t>
      </w:r>
      <w:r w:rsidRPr="001B1E01">
        <w:t xml:space="preserve">% projektów ma pozytywny wpływ na </w:t>
      </w:r>
      <w:r w:rsidR="001862D5">
        <w:t>zrównoważony rozwój, natomiast 53</w:t>
      </w:r>
      <w:r w:rsidRPr="001B1E01">
        <w:t xml:space="preserve">% ma neutralny wpływ </w:t>
      </w:r>
      <w:r>
        <w:t>na promowanie niniejszej zasady;</w:t>
      </w:r>
    </w:p>
    <w:p w14:paraId="090F1874" w14:textId="77777777" w:rsidR="00FE1549" w:rsidRDefault="00FE1549" w:rsidP="00DF64C7">
      <w:pPr>
        <w:pStyle w:val="Akapitzlist"/>
        <w:numPr>
          <w:ilvl w:val="0"/>
          <w:numId w:val="4"/>
        </w:numPr>
        <w:spacing w:after="200"/>
        <w:jc w:val="left"/>
      </w:pPr>
      <w:r w:rsidRPr="001B1E01">
        <w:t xml:space="preserve">W ramach </w:t>
      </w:r>
      <w:r>
        <w:t>D</w:t>
      </w:r>
      <w:r w:rsidRPr="001B1E01">
        <w:t>ziałania</w:t>
      </w:r>
      <w:r>
        <w:t xml:space="preserve"> 11.3 </w:t>
      </w:r>
      <w:r w:rsidR="001862D5">
        <w:t>49</w:t>
      </w:r>
      <w:r w:rsidRPr="001B1E01">
        <w:t xml:space="preserve">% projektów ma pozytywny wpływ na </w:t>
      </w:r>
      <w:r w:rsidR="001862D5">
        <w:t>zrównoważony rozwój, natomiast 51</w:t>
      </w:r>
      <w:r w:rsidRPr="001B1E01">
        <w:t xml:space="preserve">% ma neutralny wpływ </w:t>
      </w:r>
      <w:r>
        <w:t>na promowanie niniejszej zasady;</w:t>
      </w:r>
    </w:p>
    <w:p w14:paraId="2329D244" w14:textId="77777777" w:rsidR="00FE1549" w:rsidRPr="001B1E01" w:rsidRDefault="00FE1549" w:rsidP="00DF64C7">
      <w:pPr>
        <w:pStyle w:val="Akapitzlist"/>
        <w:numPr>
          <w:ilvl w:val="0"/>
          <w:numId w:val="4"/>
        </w:numPr>
        <w:spacing w:after="200"/>
        <w:jc w:val="left"/>
      </w:pPr>
      <w:r w:rsidRPr="001B1E01">
        <w:t xml:space="preserve">W ramach </w:t>
      </w:r>
      <w:r>
        <w:t>D</w:t>
      </w:r>
      <w:r w:rsidRPr="001B1E01">
        <w:t>ziałania</w:t>
      </w:r>
      <w:r>
        <w:t xml:space="preserve"> 11.4 </w:t>
      </w:r>
      <w:r w:rsidR="001862D5">
        <w:t>67</w:t>
      </w:r>
      <w:r w:rsidRPr="001B1E01">
        <w:t xml:space="preserve">% projektów ma pozytywny wpływ na </w:t>
      </w:r>
      <w:r w:rsidR="001862D5">
        <w:t>zrównoważony rozwój</w:t>
      </w:r>
      <w:r>
        <w:t xml:space="preserve">, </w:t>
      </w:r>
      <w:r w:rsidR="001862D5">
        <w:t>natomiast 33</w:t>
      </w:r>
      <w:r w:rsidRPr="001B1E01">
        <w:t xml:space="preserve">% ma neutralny wpływ </w:t>
      </w:r>
      <w:r>
        <w:t>na promowanie niniejszej zasady;</w:t>
      </w:r>
    </w:p>
    <w:p w14:paraId="1674300E" w14:textId="77777777" w:rsidR="00FE1549" w:rsidRPr="001B1E01" w:rsidRDefault="00FE1549" w:rsidP="00DF64C7">
      <w:pPr>
        <w:pStyle w:val="Akapitzlist"/>
        <w:numPr>
          <w:ilvl w:val="0"/>
          <w:numId w:val="4"/>
        </w:numPr>
        <w:spacing w:after="200"/>
        <w:jc w:val="left"/>
      </w:pPr>
      <w:r w:rsidRPr="001B1E01">
        <w:t xml:space="preserve">W ramach </w:t>
      </w:r>
      <w:r>
        <w:t>D</w:t>
      </w:r>
      <w:r w:rsidRPr="001B1E01">
        <w:t>ziałania</w:t>
      </w:r>
      <w:r>
        <w:t xml:space="preserve"> 12.1 </w:t>
      </w:r>
      <w:r w:rsidR="001862D5">
        <w:t>4</w:t>
      </w:r>
      <w:r>
        <w:t>9</w:t>
      </w:r>
      <w:r w:rsidRPr="001B1E01">
        <w:t xml:space="preserve">% projektów ma pozytywny wpływ na </w:t>
      </w:r>
      <w:r w:rsidR="001862D5">
        <w:t>zrównoważony rozwój, natomiast 5</w:t>
      </w:r>
      <w:r>
        <w:t>1</w:t>
      </w:r>
      <w:r w:rsidRPr="001B1E01">
        <w:t xml:space="preserve">% ma neutralny wpływ </w:t>
      </w:r>
      <w:r>
        <w:t>na promowanie niniejszej zasady;</w:t>
      </w:r>
    </w:p>
    <w:p w14:paraId="02644927" w14:textId="77777777" w:rsidR="00FE1549" w:rsidRDefault="00FE1549" w:rsidP="00DF64C7">
      <w:pPr>
        <w:pStyle w:val="Akapitzlist"/>
        <w:numPr>
          <w:ilvl w:val="0"/>
          <w:numId w:val="4"/>
        </w:numPr>
        <w:spacing w:after="200"/>
        <w:jc w:val="left"/>
      </w:pPr>
      <w:r>
        <w:t xml:space="preserve">W ramach Działania 12.2 </w:t>
      </w:r>
      <w:r w:rsidR="001862D5">
        <w:t>24</w:t>
      </w:r>
      <w:r w:rsidRPr="001B1E01">
        <w:t xml:space="preserve">% projektów ma pozytywny wpływ na </w:t>
      </w:r>
      <w:r w:rsidR="001862D5">
        <w:t>zrównoważony rozwój, natomiast 74</w:t>
      </w:r>
      <w:r w:rsidRPr="001B1E01">
        <w:t xml:space="preserve">% ma neutralny wpływ </w:t>
      </w:r>
      <w:r>
        <w:t>na promowanie niniejszej zasady;</w:t>
      </w:r>
    </w:p>
    <w:p w14:paraId="5C571C42" w14:textId="77777777" w:rsidR="00FE1549" w:rsidRDefault="00FE1549" w:rsidP="00DF64C7">
      <w:pPr>
        <w:pStyle w:val="Akapitzlist"/>
        <w:numPr>
          <w:ilvl w:val="0"/>
          <w:numId w:val="4"/>
        </w:numPr>
        <w:jc w:val="left"/>
      </w:pPr>
      <w:r w:rsidRPr="001B1E01">
        <w:t xml:space="preserve">W ramach </w:t>
      </w:r>
      <w:r>
        <w:t>D</w:t>
      </w:r>
      <w:r w:rsidRPr="001B1E01">
        <w:t>ziałania</w:t>
      </w:r>
      <w:r>
        <w:t xml:space="preserve"> 12.3 </w:t>
      </w:r>
      <w:r w:rsidRPr="001B1E01">
        <w:t>100% projektów ma pozytywny wpływ</w:t>
      </w:r>
      <w:r>
        <w:t xml:space="preserve"> na</w:t>
      </w:r>
      <w:r w:rsidRPr="001B1E01">
        <w:t xml:space="preserve"> </w:t>
      </w:r>
      <w:r w:rsidR="001862D5">
        <w:t>zrównoważony rozwój</w:t>
      </w:r>
      <w:r w:rsidR="00E35FF7">
        <w:t xml:space="preserve"> (należy jednak zaznaczyć, że w ramach tego Działania realizowany jest wyłącznie jeden projekt, co warunkuje tak wysoki udział procentowy)</w:t>
      </w:r>
      <w:r>
        <w:t>.</w:t>
      </w:r>
    </w:p>
    <w:p w14:paraId="14E3E793" w14:textId="77777777" w:rsidR="004B7E38" w:rsidRDefault="004B7E38" w:rsidP="00DF64C7">
      <w:pPr>
        <w:jc w:val="left"/>
      </w:pPr>
      <w:r>
        <w:t xml:space="preserve">Beneficjenci </w:t>
      </w:r>
      <w:r w:rsidR="004F0D29">
        <w:t xml:space="preserve">OP </w:t>
      </w:r>
      <w:r>
        <w:t>XI i XII Regionalnego Programu Operacyjnego Województwa Śląskiego na lata 2014-2020, w zależności od działania RPO WSL</w:t>
      </w:r>
      <w:r>
        <w:rPr>
          <w:rStyle w:val="Odwoanieprzypisudolnego"/>
        </w:rPr>
        <w:footnoteReference w:id="111"/>
      </w:r>
      <w:r w:rsidR="004F0D29">
        <w:t xml:space="preserve">, </w:t>
      </w:r>
      <w:r>
        <w:t>najczęściej realizowali zasadę zrównoważonego rozwoju poprzez:</w:t>
      </w:r>
    </w:p>
    <w:p w14:paraId="0637A37C" w14:textId="77777777" w:rsidR="004B7E38" w:rsidRDefault="004B7E38" w:rsidP="00DF64C7">
      <w:pPr>
        <w:pStyle w:val="Akapitzlist"/>
        <w:numPr>
          <w:ilvl w:val="0"/>
          <w:numId w:val="48"/>
        </w:numPr>
        <w:jc w:val="left"/>
      </w:pPr>
      <w:r>
        <w:t>Segregowanie odpadów (56</w:t>
      </w:r>
      <w:r w:rsidR="004F0D29">
        <w:t>,0</w:t>
      </w:r>
      <w:r>
        <w:t>% beneficjentów realizujących projektu umożliwiające zastosowanie wskazanego sposobu realizacji zasady zrównoważonego rozwoju);</w:t>
      </w:r>
    </w:p>
    <w:p w14:paraId="1F877E8D" w14:textId="77777777" w:rsidR="004B7E38" w:rsidRDefault="004B7E38" w:rsidP="00DF64C7">
      <w:pPr>
        <w:pStyle w:val="Akapitzlist"/>
        <w:numPr>
          <w:ilvl w:val="0"/>
          <w:numId w:val="48"/>
        </w:numPr>
        <w:jc w:val="left"/>
      </w:pPr>
      <w:r>
        <w:t>Działania edukacyjne z zakresu świadomości ekologicznej (50</w:t>
      </w:r>
      <w:r w:rsidR="004F0D29">
        <w:t>,0</w:t>
      </w:r>
      <w:r>
        <w:t>%);</w:t>
      </w:r>
    </w:p>
    <w:p w14:paraId="2C0EAB09" w14:textId="77777777" w:rsidR="004B7E38" w:rsidRDefault="004B7E38" w:rsidP="00DF64C7">
      <w:pPr>
        <w:pStyle w:val="Akapitzlist"/>
        <w:numPr>
          <w:ilvl w:val="0"/>
          <w:numId w:val="48"/>
        </w:numPr>
        <w:jc w:val="left"/>
      </w:pPr>
      <w:r>
        <w:t>Stosowanie energooszczędnych rozwiązań w miejscu organizacji projektu (50</w:t>
      </w:r>
      <w:r w:rsidR="004F0D29">
        <w:t>,0</w:t>
      </w:r>
      <w:r>
        <w:t>%);</w:t>
      </w:r>
    </w:p>
    <w:p w14:paraId="49C43A82" w14:textId="77777777" w:rsidR="004B7E38" w:rsidRDefault="004B7E38" w:rsidP="00DF64C7">
      <w:pPr>
        <w:pStyle w:val="Akapitzlist"/>
        <w:numPr>
          <w:ilvl w:val="0"/>
          <w:numId w:val="48"/>
        </w:numPr>
        <w:jc w:val="left"/>
      </w:pPr>
      <w:r>
        <w:t>Ograniczenie zużycia plastiku (np. stosowanie naczyń wielorazowych zamiast plastikowych podczas poczęstunku (31</w:t>
      </w:r>
      <w:r w:rsidR="004F0D29">
        <w:t>,0</w:t>
      </w:r>
      <w:r>
        <w:t>%).</w:t>
      </w:r>
    </w:p>
    <w:p w14:paraId="08055696" w14:textId="77777777" w:rsidR="005E3015" w:rsidRDefault="005E3015" w:rsidP="00DF64C7">
      <w:pPr>
        <w:jc w:val="left"/>
      </w:pPr>
      <w:r>
        <w:t>W ramach energooszczędnych rozwiązań, beneficjenci wymieniali opalanie budynków paliwem ekologicznym, wykorzystywanie paneli fotowoltaicznych oraz termomodernizację budynków.</w:t>
      </w:r>
    </w:p>
    <w:p w14:paraId="4FD7654C" w14:textId="6416A358" w:rsidR="00EB342E" w:rsidRDefault="00EB342E" w:rsidP="00DF64C7">
      <w:pPr>
        <w:pStyle w:val="Legenda"/>
        <w:spacing w:line="271" w:lineRule="auto"/>
        <w:jc w:val="left"/>
      </w:pPr>
      <w:bookmarkStart w:id="117" w:name="_Toc33459812"/>
      <w:r>
        <w:t xml:space="preserve">Wykres </w:t>
      </w:r>
      <w:r w:rsidR="003A0702">
        <w:rPr>
          <w:noProof/>
        </w:rPr>
        <w:fldChar w:fldCharType="begin"/>
      </w:r>
      <w:r w:rsidR="003A0702">
        <w:rPr>
          <w:noProof/>
        </w:rPr>
        <w:instrText xml:space="preserve"> SEQ Wykres \* ARABIC </w:instrText>
      </w:r>
      <w:r w:rsidR="003A0702">
        <w:rPr>
          <w:noProof/>
        </w:rPr>
        <w:fldChar w:fldCharType="separate"/>
      </w:r>
      <w:r w:rsidR="00A8147E">
        <w:rPr>
          <w:noProof/>
        </w:rPr>
        <w:t>34</w:t>
      </w:r>
      <w:r w:rsidR="003A0702">
        <w:rPr>
          <w:noProof/>
        </w:rPr>
        <w:fldChar w:fldCharType="end"/>
      </w:r>
      <w:r w:rsidR="000648EC">
        <w:rPr>
          <w:noProof/>
        </w:rPr>
        <w:t>.</w:t>
      </w:r>
      <w:r>
        <w:t xml:space="preserve"> </w:t>
      </w:r>
      <w:r w:rsidRPr="003A16B9">
        <w:t>W jaki sposób realizowali Państwo w swoim projekcie zasadę zrównoważonego rozwoju?</w:t>
      </w:r>
      <w:bookmarkEnd w:id="117"/>
    </w:p>
    <w:p w14:paraId="15560647" w14:textId="77777777" w:rsidR="00EB342E" w:rsidRDefault="004F0D29" w:rsidP="00DF64C7">
      <w:pPr>
        <w:jc w:val="left"/>
        <w:rPr>
          <w:rFonts w:eastAsia="Arial"/>
        </w:rPr>
      </w:pPr>
      <w:r>
        <w:rPr>
          <w:noProof/>
          <w:lang w:eastAsia="pl-PL"/>
        </w:rPr>
        <w:drawing>
          <wp:inline distT="0" distB="0" distL="0" distR="0" wp14:anchorId="49CF4529" wp14:editId="2F9D0851">
            <wp:extent cx="5676900" cy="3223260"/>
            <wp:effectExtent l="0" t="0" r="0" b="15240"/>
            <wp:docPr id="49" name="Wykres 49" descr="Wykres przedstawia procentowy rozkład odpowiedzi beneficjentów na pytanie: &quot;W jaki sposób realizowali Państwo w swoim projekcie zasadę zrównoważonego rozwoju?&quot;. Wyniki przedstawione zostały na wykresie słupkowym skumulowanym. Rozkład odpowiedzi &quot;TAK&quot; przedstawia się następująco: segregowanie odpadów - 56,0%, działania edukacyjne z zakresu swiadomości ekologicznej - 50,0%, stosowanie energooszczędnych rozwiązań w miejscu organizacji prjektu - 50,0%, ograniczenie zużycia plastiku - 31,0%, stosowanie klauzul środowiskowych - 4,0%." title="W jaki sposób realizowali Państwo w swoim projekcie zasadę zrównoważonego rozwoju?"/>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03B9A53" w14:textId="77777777" w:rsidR="00E73C33" w:rsidRDefault="00E73C33" w:rsidP="00DF64C7">
      <w:pPr>
        <w:pStyle w:val="podpisrdailustracji"/>
        <w:spacing w:line="271" w:lineRule="auto"/>
        <w:jc w:val="left"/>
      </w:pPr>
      <w:r w:rsidRPr="00E73C33">
        <w:t>Źródło: opracowanie własne na podstawie badania CAWI/CATI z beneficjentami, n=467.</w:t>
      </w:r>
    </w:p>
    <w:p w14:paraId="299C3566" w14:textId="77777777" w:rsidR="00030023" w:rsidRDefault="00030023" w:rsidP="00DF64C7">
      <w:pPr>
        <w:jc w:val="left"/>
      </w:pPr>
      <w:r>
        <w:t>Przedstawiciele IZ i IP potwierdzili zapewnianie przez beneficjentów rozwiązań z zakresu wypełniania zasad horyzontalnych</w:t>
      </w:r>
      <w:r w:rsidR="0095107D">
        <w:t>, przy czym najrzadziej projekty wpływały pozytywnie na zasadę zrównoważonego rozwoju</w:t>
      </w:r>
      <w:r>
        <w:t xml:space="preserve">. Ponadto, </w:t>
      </w:r>
      <w:r w:rsidR="0095107D">
        <w:t xml:space="preserve">wskazano na dość powierzchowne podejście do kwestii </w:t>
      </w:r>
      <w:r>
        <w:t>realizacji zasad horyzontalnych, traktując</w:t>
      </w:r>
      <w:r w:rsidR="0095107D">
        <w:t>e</w:t>
      </w:r>
      <w:r>
        <w:t xml:space="preserve"> je jedynie jako kryterium dostępowe wymagające stosownego opisu we wniosku o dofinansowanie, nie próbując tym samym wdrożyć jakichś nowych, innowacyjnych rozwiązań w tym zakresie.</w:t>
      </w:r>
    </w:p>
    <w:p w14:paraId="68B95C53" w14:textId="77777777" w:rsidR="00A61CE7" w:rsidRDefault="00A61CE7" w:rsidP="00DF64C7">
      <w:pPr>
        <w:jc w:val="left"/>
      </w:pPr>
      <w:r>
        <w:t xml:space="preserve">Przedstawiciele IZ i IP </w:t>
      </w:r>
      <w:r w:rsidR="00030023">
        <w:t>wskazywali również, że zapewnienie wypełnienia zasad horyzontalnych bywało niekiedy kłopotliwe dla beneficjentów (zaznaczyć jednak należy, że większość badanych nie stwierdziła występowania trudności w tym zakresie). Widoczne było to w przypadku projektów związanych z doposażeniem pracowni praktycznej nauki zawodu</w:t>
      </w:r>
      <w:r>
        <w:t xml:space="preserve"> (problem polegał na zapewnieniu dostępu do masz</w:t>
      </w:r>
      <w:r w:rsidR="00233BF6">
        <w:t>yn dla osób niepełnosprawnych).</w:t>
      </w:r>
    </w:p>
    <w:p w14:paraId="2A17C6ED" w14:textId="77777777" w:rsidR="000C3BE9" w:rsidRDefault="000C3BE9" w:rsidP="00DF64C7">
      <w:pPr>
        <w:jc w:val="left"/>
      </w:pPr>
    </w:p>
    <w:p w14:paraId="6D3745B7" w14:textId="77777777" w:rsidR="00A61CE7" w:rsidRPr="00A61CE7" w:rsidRDefault="00A61CE7" w:rsidP="00DF64C7">
      <w:pPr>
        <w:jc w:val="left"/>
        <w:rPr>
          <w:rStyle w:val="Odwoanieintensywne"/>
        </w:rPr>
      </w:pPr>
      <w:r w:rsidRPr="00A61CE7">
        <w:rPr>
          <w:rStyle w:val="Odwoanieintensywne"/>
        </w:rPr>
        <w:t>Podsumowanie</w:t>
      </w:r>
    </w:p>
    <w:p w14:paraId="7C7A7297" w14:textId="77777777" w:rsidR="00751150" w:rsidRDefault="00FA74C3" w:rsidP="00DF64C7">
      <w:pPr>
        <w:jc w:val="left"/>
        <w:rPr>
          <w:rFonts w:eastAsia="Arial"/>
        </w:rPr>
      </w:pPr>
      <w:r>
        <w:rPr>
          <w:rFonts w:eastAsia="Arial"/>
        </w:rPr>
        <w:t xml:space="preserve">Podsumowując wyniki badania należy stwierdzić, że zasady horyzontalne są powszechnie stosowane przez beneficjentów wsparcia RPO WSL 2014-2020. </w:t>
      </w:r>
      <w:r w:rsidR="003A227E">
        <w:rPr>
          <w:rFonts w:eastAsia="Arial"/>
        </w:rPr>
        <w:t>Zrealizowane badanie wykazało, że p</w:t>
      </w:r>
      <w:r w:rsidR="003A227E" w:rsidRPr="000C2707">
        <w:rPr>
          <w:rFonts w:eastAsia="Arial"/>
        </w:rPr>
        <w:t>onad 96% projektów realizowanych w ramach OP XI oraz OP XII p</w:t>
      </w:r>
      <w:r w:rsidR="003A227E">
        <w:rPr>
          <w:rFonts w:eastAsia="Arial"/>
        </w:rPr>
        <w:t xml:space="preserve">rzy wsparciu RPO WSL 2014-2020 </w:t>
      </w:r>
      <w:r w:rsidR="003A227E" w:rsidRPr="000C2707">
        <w:rPr>
          <w:rFonts w:eastAsia="Arial"/>
        </w:rPr>
        <w:t>ma w opinii wnioskodawców pozytywny wpływ na promowanie równości szans kobiet i mężczyzn</w:t>
      </w:r>
      <w:r w:rsidR="003A227E">
        <w:rPr>
          <w:rFonts w:eastAsia="Arial"/>
        </w:rPr>
        <w:t xml:space="preserve">. W przypadku zasady horyzontalnej dotyczącej równości szans i niedyskryminacji </w:t>
      </w:r>
      <w:r>
        <w:rPr>
          <w:rFonts w:eastAsia="Arial"/>
        </w:rPr>
        <w:t xml:space="preserve">udział ten wyniósł </w:t>
      </w:r>
      <w:r w:rsidR="003A227E">
        <w:rPr>
          <w:rFonts w:eastAsia="Arial"/>
        </w:rPr>
        <w:t>ponad 86%.</w:t>
      </w:r>
      <w:r w:rsidR="00751150">
        <w:rPr>
          <w:rFonts w:eastAsia="Arial"/>
        </w:rPr>
        <w:t xml:space="preserve"> </w:t>
      </w:r>
      <w:r w:rsidR="00751150" w:rsidRPr="00751150">
        <w:rPr>
          <w:rFonts w:eastAsia="Arial"/>
        </w:rPr>
        <w:t>Należy wskazać, że stosow</w:t>
      </w:r>
      <w:r w:rsidR="00751150">
        <w:rPr>
          <w:rFonts w:eastAsia="Arial"/>
        </w:rPr>
        <w:t>a</w:t>
      </w:r>
      <w:r w:rsidR="00751150" w:rsidRPr="00751150">
        <w:rPr>
          <w:rFonts w:eastAsia="Arial"/>
        </w:rPr>
        <w:t>nie zasad równościowych było dotychczas zjawiskiem powszechnym. Wysoki udział projektów wykazujących pozytywny wpływ na zapobieganie dy</w:t>
      </w:r>
      <w:r w:rsidR="004A3091">
        <w:rPr>
          <w:rFonts w:eastAsia="Arial"/>
        </w:rPr>
        <w:t>s</w:t>
      </w:r>
      <w:r w:rsidR="00751150" w:rsidRPr="00751150">
        <w:rPr>
          <w:rFonts w:eastAsia="Arial"/>
        </w:rPr>
        <w:t>kryminacji oraz szeroki zakres stosowanych w tym celu działań pozwala wnioskować o występowaniu faktycznego wyrównywania szans osób z niepełnosprawnościami, kobiet i mężczyzn.</w:t>
      </w:r>
    </w:p>
    <w:p w14:paraId="008B0777" w14:textId="77777777" w:rsidR="00030023" w:rsidRDefault="003A227E" w:rsidP="00DF64C7">
      <w:pPr>
        <w:jc w:val="left"/>
        <w:rPr>
          <w:rFonts w:eastAsia="Arial"/>
        </w:rPr>
      </w:pPr>
      <w:r>
        <w:rPr>
          <w:rFonts w:eastAsia="Arial"/>
        </w:rPr>
        <w:t xml:space="preserve"> </w:t>
      </w:r>
      <w:r w:rsidR="00FA74C3">
        <w:rPr>
          <w:rFonts w:eastAsia="Arial"/>
        </w:rPr>
        <w:t>Najniższy udział przypadł z kolei na realizację zasady</w:t>
      </w:r>
      <w:r>
        <w:rPr>
          <w:rFonts w:eastAsia="Arial"/>
        </w:rPr>
        <w:t xml:space="preserve"> zrównoważonego rozwoju</w:t>
      </w:r>
      <w:r w:rsidR="00FA74C3">
        <w:rPr>
          <w:rFonts w:eastAsia="Arial"/>
        </w:rPr>
        <w:t>, której realizację potwierdziło tylko</w:t>
      </w:r>
      <w:r>
        <w:rPr>
          <w:rFonts w:eastAsia="Arial"/>
        </w:rPr>
        <w:t xml:space="preserve"> 45% badanych </w:t>
      </w:r>
      <w:r w:rsidR="00FA74C3">
        <w:rPr>
          <w:rFonts w:eastAsia="Arial"/>
        </w:rPr>
        <w:t>beneficjentów (</w:t>
      </w:r>
      <w:r>
        <w:rPr>
          <w:rFonts w:eastAsia="Arial"/>
        </w:rPr>
        <w:t>w ramach obu osi</w:t>
      </w:r>
      <w:r w:rsidR="00FA74C3">
        <w:rPr>
          <w:rFonts w:eastAsia="Arial"/>
        </w:rPr>
        <w:t>)</w:t>
      </w:r>
      <w:r>
        <w:rPr>
          <w:rFonts w:eastAsia="Arial"/>
        </w:rPr>
        <w:t xml:space="preserve">.  </w:t>
      </w:r>
      <w:r w:rsidR="00FA74C3">
        <w:rPr>
          <w:rFonts w:eastAsia="Arial"/>
        </w:rPr>
        <w:t>Analizując rodzaje działań realizowanych w ramach poszczególnych zasad horyzontalnych można jednak zauważyć pewnego rodzaju powierzchowność (aspekt ten potwierdzony został również w ramach wywiadów z przedstawicielami IZ/IP). Podejmowane działania w bardzo dużej mierze były do siebie podobne i zamykały się w jednym katalogu – działania charakteryzujące się w tym zakresie innowacyjnością stanowiły niewielki udział względem ich ogółu. Niewątpliwie po części problem ten wynikać może z faktu opracowywania znacznej części wniosków o dofinansowanie przez firmy zewnętrzne, któ</w:t>
      </w:r>
      <w:r w:rsidR="009E560A">
        <w:rPr>
          <w:rFonts w:eastAsia="Arial"/>
        </w:rPr>
        <w:t>r</w:t>
      </w:r>
      <w:r w:rsidR="00FA74C3">
        <w:rPr>
          <w:rFonts w:eastAsia="Arial"/>
        </w:rPr>
        <w:t xml:space="preserve">e często stosują podobne zapisy w sporządzanych wnioskach, </w:t>
      </w:r>
      <w:r w:rsidR="009E560A">
        <w:rPr>
          <w:rFonts w:eastAsia="Arial"/>
        </w:rPr>
        <w:t>nie wychodząc poza zamknięty katalog „uniwersalnych” działań, gwarantujących spełnienie kryterium dostępowego.</w:t>
      </w:r>
    </w:p>
    <w:p w14:paraId="70AA1667" w14:textId="77777777" w:rsidR="000C3BE9" w:rsidRPr="00F369AA" w:rsidRDefault="000C3BE9" w:rsidP="00DF64C7">
      <w:pPr>
        <w:jc w:val="left"/>
        <w:rPr>
          <w:rFonts w:eastAsia="Arial"/>
        </w:rPr>
      </w:pPr>
    </w:p>
    <w:p w14:paraId="482A53C5" w14:textId="77777777" w:rsidR="00A464CB" w:rsidRDefault="00A464CB" w:rsidP="00DF64C7">
      <w:pPr>
        <w:pStyle w:val="Nagwek3"/>
        <w:spacing w:line="271" w:lineRule="auto"/>
        <w:ind w:left="426"/>
        <w:jc w:val="left"/>
        <w:rPr>
          <w:rFonts w:eastAsia="Arial"/>
        </w:rPr>
      </w:pPr>
      <w:bookmarkStart w:id="118" w:name="_Toc38035020"/>
      <w:r w:rsidRPr="00610089">
        <w:rPr>
          <w:rFonts w:eastAsia="Arial"/>
        </w:rPr>
        <w:t>Czy projekty realizowane</w:t>
      </w:r>
      <w:r>
        <w:rPr>
          <w:rFonts w:eastAsia="Arial"/>
        </w:rPr>
        <w:t xml:space="preserve"> w </w:t>
      </w:r>
      <w:r w:rsidRPr="00610089">
        <w:rPr>
          <w:rFonts w:eastAsia="Arial"/>
        </w:rPr>
        <w:t>formule inwestycji terytorialnych (ZIT</w:t>
      </w:r>
      <w:r>
        <w:rPr>
          <w:rFonts w:eastAsia="Arial"/>
        </w:rPr>
        <w:t xml:space="preserve"> i </w:t>
      </w:r>
      <w:r w:rsidRPr="00610089">
        <w:rPr>
          <w:rFonts w:eastAsia="Arial"/>
        </w:rPr>
        <w:t>RIT) są skuteczne? Czy realizacja projektów</w:t>
      </w:r>
      <w:r>
        <w:rPr>
          <w:rFonts w:eastAsia="Arial"/>
        </w:rPr>
        <w:t xml:space="preserve"> w </w:t>
      </w:r>
      <w:r w:rsidRPr="00610089">
        <w:rPr>
          <w:rFonts w:eastAsia="Arial"/>
        </w:rPr>
        <w:t xml:space="preserve">ramach Działań </w:t>
      </w:r>
      <w:r w:rsidRPr="00610089">
        <w:rPr>
          <w:rStyle w:val="punkpytanZnak"/>
          <w:rFonts w:cs="Arial"/>
          <w:b/>
          <w:szCs w:val="22"/>
        </w:rPr>
        <w:t>dedykowanych</w:t>
      </w:r>
      <w:r w:rsidRPr="00610089">
        <w:rPr>
          <w:rFonts w:eastAsia="Arial"/>
        </w:rPr>
        <w:t xml:space="preserve"> instrumentom terytorialnym ZIT/RIT wykazuje się wyższą skutecznością niż wyłanianych</w:t>
      </w:r>
      <w:r>
        <w:rPr>
          <w:rFonts w:eastAsia="Arial"/>
        </w:rPr>
        <w:t xml:space="preserve"> w </w:t>
      </w:r>
      <w:r w:rsidRPr="00610089">
        <w:rPr>
          <w:rFonts w:eastAsia="Arial"/>
        </w:rPr>
        <w:t>pozostałych Działaniach</w:t>
      </w:r>
      <w:r>
        <w:rPr>
          <w:rFonts w:eastAsia="Arial"/>
        </w:rPr>
        <w:t xml:space="preserve"> w </w:t>
      </w:r>
      <w:r w:rsidRPr="00610089">
        <w:rPr>
          <w:rFonts w:eastAsia="Arial"/>
        </w:rPr>
        <w:t>ramach OP XI? Czy</w:t>
      </w:r>
      <w:r>
        <w:rPr>
          <w:rFonts w:eastAsia="Arial"/>
        </w:rPr>
        <w:t xml:space="preserve"> i </w:t>
      </w:r>
      <w:r w:rsidRPr="00610089">
        <w:rPr>
          <w:rFonts w:eastAsia="Arial"/>
        </w:rPr>
        <w:t>jakie występują problemy na etapie wdrażania projektów</w:t>
      </w:r>
      <w:r>
        <w:rPr>
          <w:rFonts w:eastAsia="Arial"/>
        </w:rPr>
        <w:t xml:space="preserve"> w </w:t>
      </w:r>
      <w:r w:rsidRPr="00610089">
        <w:rPr>
          <w:rFonts w:eastAsia="Arial"/>
        </w:rPr>
        <w:t>ramach ZIT/RIT. Jak można im zapobiegać? Czy</w:t>
      </w:r>
      <w:r>
        <w:rPr>
          <w:rFonts w:eastAsia="Arial"/>
        </w:rPr>
        <w:t xml:space="preserve"> w </w:t>
      </w:r>
      <w:r w:rsidRPr="00610089">
        <w:rPr>
          <w:rFonts w:eastAsia="Arial"/>
        </w:rPr>
        <w:t>kolejnej perspektywie finansowej zasadne jest wdrażanie projektów edukacyjnych</w:t>
      </w:r>
      <w:r>
        <w:rPr>
          <w:rFonts w:eastAsia="Arial"/>
        </w:rPr>
        <w:t xml:space="preserve"> w </w:t>
      </w:r>
      <w:r w:rsidRPr="00610089">
        <w:rPr>
          <w:rFonts w:eastAsia="Arial"/>
        </w:rPr>
        <w:t>formie inwestycji terytorialnych?</w:t>
      </w:r>
      <w:bookmarkEnd w:id="114"/>
      <w:bookmarkEnd w:id="115"/>
      <w:bookmarkEnd w:id="116"/>
      <w:bookmarkEnd w:id="118"/>
    </w:p>
    <w:p w14:paraId="1ADC9698" w14:textId="77777777" w:rsidR="00F72E5D" w:rsidRDefault="00F72E5D" w:rsidP="00DF64C7">
      <w:pPr>
        <w:jc w:val="left"/>
      </w:pPr>
      <w:bookmarkStart w:id="119" w:name="_Toc24466827"/>
      <w:bookmarkStart w:id="120" w:name="_Toc25664308"/>
      <w:bookmarkStart w:id="121" w:name="_Toc26526289"/>
      <w:r>
        <w:t xml:space="preserve">W ramach RPO WSL 2014-2020 zdecydowano się na wprowadzenie instrumentu, dzięki któremu możliwa jest realizacja wspólnych przedsięwzięć przez partnerstwa jednostek samorządu terytorialnego. Na obszarze funkcjonalnym miasta wojewódzkiego (Subregion Centralny) wymiar terytorialny wdrażany jest poprzez zastosowanie instrumentu Zintegrowane Inwestycje Terytorialne (ZIT). W skład Subregionu Centralnego wchodzą 73 gminy i 8 powiatów. Ponadto, na obszarach trzech subregionów (Północnego, Południowego i Zachodniego) realizowane są tzw. Regionalne Inwestycje Terytorialne (RIT). </w:t>
      </w:r>
      <w:r w:rsidRPr="00D67000">
        <w:t xml:space="preserve">Na realizację ZIT/RIT przeznaczono 1 107 808 551 EUR, w tym 135 942 551 EUR z </w:t>
      </w:r>
      <w:r>
        <w:t>EFS</w:t>
      </w:r>
      <w:r w:rsidRPr="00D67000">
        <w:t xml:space="preserve"> i 971 866 000 EUR z </w:t>
      </w:r>
      <w:r>
        <w:t>EFRR</w:t>
      </w:r>
      <w:r>
        <w:rPr>
          <w:rStyle w:val="Odwoanieprzypisudolnego"/>
        </w:rPr>
        <w:footnoteReference w:id="112"/>
      </w:r>
      <w:r w:rsidRPr="00D67000">
        <w:t>.</w:t>
      </w:r>
    </w:p>
    <w:p w14:paraId="1B89F985" w14:textId="77777777" w:rsidR="00F72E5D" w:rsidRDefault="00F72E5D" w:rsidP="00DF64C7">
      <w:pPr>
        <w:jc w:val="left"/>
      </w:pPr>
      <w:r>
        <w:t>Funkcjonowanie instrumentu ZIT/RIT na poziomie instytucjonalnym opiera się na współpracy Instytucji Zarządzającej RPO WSL 2014-2020 z 4 Instytucjami Pośredniczącymi, związanymi z wdrażaniem poszczególnych ZIT/RIT. IP dla ZIT/RIT są:</w:t>
      </w:r>
    </w:p>
    <w:p w14:paraId="173634EB" w14:textId="7B3E7EA4" w:rsidR="00F72E5D" w:rsidRDefault="00F72E5D" w:rsidP="00DF64C7">
      <w:pPr>
        <w:pStyle w:val="Legenda"/>
        <w:spacing w:line="271" w:lineRule="auto"/>
        <w:jc w:val="left"/>
      </w:pPr>
      <w:bookmarkStart w:id="122" w:name="_Toc33459820"/>
      <w:r>
        <w:t xml:space="preserve">Rysunek </w:t>
      </w:r>
      <w:r>
        <w:rPr>
          <w:noProof/>
        </w:rPr>
        <w:fldChar w:fldCharType="begin"/>
      </w:r>
      <w:r>
        <w:rPr>
          <w:noProof/>
        </w:rPr>
        <w:instrText xml:space="preserve"> SEQ Rysunek \* ARABIC </w:instrText>
      </w:r>
      <w:r>
        <w:rPr>
          <w:noProof/>
        </w:rPr>
        <w:fldChar w:fldCharType="separate"/>
      </w:r>
      <w:r w:rsidR="00A8147E">
        <w:rPr>
          <w:noProof/>
        </w:rPr>
        <w:t>2</w:t>
      </w:r>
      <w:r>
        <w:rPr>
          <w:noProof/>
        </w:rPr>
        <w:fldChar w:fldCharType="end"/>
      </w:r>
      <w:r>
        <w:rPr>
          <w:noProof/>
        </w:rPr>
        <w:t>.</w:t>
      </w:r>
      <w:r>
        <w:t xml:space="preserve"> Instytucje Pośredniczące dla ZIT/RIT</w:t>
      </w:r>
      <w:bookmarkEnd w:id="122"/>
    </w:p>
    <w:p w14:paraId="1598C76F" w14:textId="77777777" w:rsidR="00F72E5D" w:rsidRDefault="00F72E5D" w:rsidP="00DF64C7">
      <w:pPr>
        <w:jc w:val="left"/>
      </w:pPr>
      <w:r>
        <w:rPr>
          <w:noProof/>
          <w:lang w:eastAsia="pl-PL"/>
        </w:rPr>
        <w:drawing>
          <wp:inline distT="0" distB="0" distL="0" distR="0" wp14:anchorId="3654DDC6" wp14:editId="70CCC04E">
            <wp:extent cx="5372100" cy="1857375"/>
            <wp:effectExtent l="0" t="0" r="0" b="9525"/>
            <wp:docPr id="8" name="Diagram 8" descr="Rysunek przedstawia Instytucje Pośredniczące dla poszcszególnych subregionów ZIT/RIT." title="Instytucje Pośredniczące dla ZIT/RI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2127994F" w14:textId="77777777" w:rsidR="00F72E5D" w:rsidRDefault="00F72E5D" w:rsidP="00DF64C7">
      <w:pPr>
        <w:pStyle w:val="podpisrdailustracji"/>
        <w:spacing w:line="271" w:lineRule="auto"/>
        <w:jc w:val="left"/>
      </w:pPr>
      <w:r>
        <w:t xml:space="preserve">Źródło: opracowanie własne EU-Consult sp. z o.o. na podstawie danych </w:t>
      </w:r>
      <w:hyperlink r:id="rId65" w:history="1">
        <w:r w:rsidR="0067017C" w:rsidRPr="0067017C">
          <w:rPr>
            <w:rStyle w:val="Hipercze"/>
          </w:rPr>
          <w:t>Serwisu Regionalnego Programu Operacyjnego Województwa Śląskiego</w:t>
        </w:r>
      </w:hyperlink>
      <w:r w:rsidRPr="001149A8">
        <w:t xml:space="preserve"> [dostęp</w:t>
      </w:r>
      <w:r>
        <w:t xml:space="preserve"> na dzień</w:t>
      </w:r>
      <w:r w:rsidRPr="001149A8">
        <w:t>: 09.01.2020].</w:t>
      </w:r>
    </w:p>
    <w:p w14:paraId="07313715" w14:textId="77777777" w:rsidR="00F72E5D" w:rsidRDefault="00F72E5D" w:rsidP="00DF64C7">
      <w:pPr>
        <w:jc w:val="left"/>
      </w:pPr>
      <w:r>
        <w:t xml:space="preserve">Katalog kryteriów wyboru projektów uwzględnia również kryteria zgodności ze </w:t>
      </w:r>
      <w:r w:rsidRPr="00916777">
        <w:rPr>
          <w:i/>
        </w:rPr>
        <w:t>Strategią ZIT/RIT</w:t>
      </w:r>
      <w:r>
        <w:t>. Dotyczą one wyłącznie działań/ podziałań, dla których przewidziano realizację projektów w formule ZIT/RIT. System kryteriów wyboru projektów integruje w sobie różnorodne kryteria klasyfikacji, takie jak</w:t>
      </w:r>
      <w:r>
        <w:rPr>
          <w:rStyle w:val="Odwoanieprzypisudolnego"/>
        </w:rPr>
        <w:footnoteReference w:id="113"/>
      </w:r>
      <w:r>
        <w:t>:</w:t>
      </w:r>
    </w:p>
    <w:p w14:paraId="061AC9C5" w14:textId="77777777" w:rsidR="00F72E5D" w:rsidRDefault="00F72E5D" w:rsidP="00DF64C7">
      <w:pPr>
        <w:pStyle w:val="Akapitzlist"/>
        <w:numPr>
          <w:ilvl w:val="0"/>
          <w:numId w:val="30"/>
        </w:numPr>
        <w:jc w:val="left"/>
      </w:pPr>
      <w:r w:rsidRPr="00D7662C">
        <w:t xml:space="preserve">kryteria oceny formalnej, ogólne </w:t>
      </w:r>
      <w:r>
        <w:t>dla wszystkich projektów (EFRR);</w:t>
      </w:r>
    </w:p>
    <w:p w14:paraId="4CBB3354" w14:textId="77777777" w:rsidR="00F72E5D" w:rsidRDefault="00F72E5D" w:rsidP="00DF64C7">
      <w:pPr>
        <w:pStyle w:val="Akapitzlist"/>
        <w:numPr>
          <w:ilvl w:val="0"/>
          <w:numId w:val="30"/>
        </w:numPr>
        <w:jc w:val="left"/>
      </w:pPr>
      <w:r>
        <w:t>ogólne kryteria formalne (EFS);</w:t>
      </w:r>
    </w:p>
    <w:p w14:paraId="44ACF029" w14:textId="77777777" w:rsidR="00F72E5D" w:rsidRDefault="00F72E5D" w:rsidP="00DF64C7">
      <w:pPr>
        <w:pStyle w:val="Akapitzlist"/>
        <w:numPr>
          <w:ilvl w:val="0"/>
          <w:numId w:val="30"/>
        </w:numPr>
        <w:jc w:val="left"/>
      </w:pPr>
      <w:r w:rsidRPr="00D7662C">
        <w:t xml:space="preserve">szczegółowe kryteria dostępu weryfikowane </w:t>
      </w:r>
      <w:r>
        <w:t>na etapie oceny formalnej (EFS);</w:t>
      </w:r>
    </w:p>
    <w:p w14:paraId="39863C25" w14:textId="77777777" w:rsidR="00F72E5D" w:rsidRDefault="00F72E5D" w:rsidP="00DF64C7">
      <w:pPr>
        <w:pStyle w:val="Akapitzlist"/>
        <w:numPr>
          <w:ilvl w:val="0"/>
          <w:numId w:val="30"/>
        </w:numPr>
        <w:jc w:val="left"/>
      </w:pPr>
      <w:r w:rsidRPr="00D7662C">
        <w:t>kryteria zgodności ze Strategią ZIT/RIT -dostępu (0/1) –</w:t>
      </w:r>
      <w:r>
        <w:t xml:space="preserve"> EFRR i EFS;</w:t>
      </w:r>
    </w:p>
    <w:p w14:paraId="6DBE3CD1" w14:textId="77777777" w:rsidR="00F72E5D" w:rsidRDefault="00F72E5D" w:rsidP="00DF64C7">
      <w:pPr>
        <w:pStyle w:val="Akapitzlist"/>
        <w:numPr>
          <w:ilvl w:val="0"/>
          <w:numId w:val="30"/>
        </w:numPr>
        <w:jc w:val="left"/>
      </w:pPr>
      <w:r w:rsidRPr="00D7662C">
        <w:t>kryteria zgodności ze Strategią ZIT/RIT ogólne dla Poddziałań ZIT/RIT –</w:t>
      </w:r>
      <w:r>
        <w:t xml:space="preserve"> </w:t>
      </w:r>
      <w:r w:rsidRPr="00D7662C">
        <w:t>EFRR</w:t>
      </w:r>
      <w:r>
        <w:t>;</w:t>
      </w:r>
    </w:p>
    <w:p w14:paraId="363014EA" w14:textId="77777777" w:rsidR="00F72E5D" w:rsidRDefault="00F72E5D" w:rsidP="00DF64C7">
      <w:pPr>
        <w:pStyle w:val="Akapitzlist"/>
        <w:numPr>
          <w:ilvl w:val="0"/>
          <w:numId w:val="30"/>
        </w:numPr>
        <w:jc w:val="left"/>
      </w:pPr>
      <w:r w:rsidRPr="00D7662C">
        <w:t>kryteria zgodności ze Strategią ZIT/RIT szczegółowe dla Poddziałań ZIT/RIT (kryteria dostępu, dodatkowe) –</w:t>
      </w:r>
      <w:r>
        <w:t xml:space="preserve"> EFS;</w:t>
      </w:r>
    </w:p>
    <w:p w14:paraId="6D9F1991" w14:textId="77777777" w:rsidR="00F72E5D" w:rsidRDefault="00F72E5D" w:rsidP="00DF64C7">
      <w:pPr>
        <w:pStyle w:val="Akapitzlist"/>
        <w:numPr>
          <w:ilvl w:val="0"/>
          <w:numId w:val="30"/>
        </w:numPr>
        <w:jc w:val="left"/>
      </w:pPr>
      <w:r w:rsidRPr="00D7662C">
        <w:t>kryteria ogólne –</w:t>
      </w:r>
      <w:r>
        <w:t xml:space="preserve"> </w:t>
      </w:r>
      <w:r w:rsidRPr="00D7662C">
        <w:t>wspólne dla wszystkich projektów, niezależnie od o</w:t>
      </w:r>
      <w:r>
        <w:t>kreślonego typu projektu (EFRR);</w:t>
      </w:r>
    </w:p>
    <w:p w14:paraId="0BA4B13C" w14:textId="77777777" w:rsidR="00F72E5D" w:rsidRDefault="00F72E5D" w:rsidP="00DF64C7">
      <w:pPr>
        <w:pStyle w:val="Akapitzlist"/>
        <w:numPr>
          <w:ilvl w:val="0"/>
          <w:numId w:val="30"/>
        </w:numPr>
        <w:jc w:val="left"/>
      </w:pPr>
      <w:r w:rsidRPr="00D7662C">
        <w:t>kryteria specyficzne –</w:t>
      </w:r>
      <w:r>
        <w:t xml:space="preserve"> </w:t>
      </w:r>
      <w:r w:rsidRPr="00D7662C">
        <w:t>dedykowane konkretnym działaniom/ poddzi</w:t>
      </w:r>
      <w:r>
        <w:t>ałaniom /typom projektów (EFRR);</w:t>
      </w:r>
    </w:p>
    <w:p w14:paraId="48301174" w14:textId="77777777" w:rsidR="00F72E5D" w:rsidRDefault="00F72E5D" w:rsidP="00DF64C7">
      <w:pPr>
        <w:pStyle w:val="Akapitzlist"/>
        <w:numPr>
          <w:ilvl w:val="0"/>
          <w:numId w:val="30"/>
        </w:numPr>
        <w:jc w:val="left"/>
      </w:pPr>
      <w:r w:rsidRPr="00D7662C">
        <w:t>kryteria dodatkowe -</w:t>
      </w:r>
      <w:r>
        <w:t xml:space="preserve"> </w:t>
      </w:r>
      <w:r w:rsidRPr="00D7662C">
        <w:t>wspólne dla wszystkich projektów, niezależnie od o</w:t>
      </w:r>
      <w:r>
        <w:t>kreślonego typu projektu (EFRR);</w:t>
      </w:r>
    </w:p>
    <w:p w14:paraId="771A73FE" w14:textId="77777777" w:rsidR="00F72E5D" w:rsidRDefault="00F72E5D" w:rsidP="00DF64C7">
      <w:pPr>
        <w:pStyle w:val="Akapitzlist"/>
        <w:numPr>
          <w:ilvl w:val="0"/>
          <w:numId w:val="30"/>
        </w:numPr>
        <w:jc w:val="left"/>
      </w:pPr>
      <w:r w:rsidRPr="00D7662C">
        <w:t>ogó</w:t>
      </w:r>
      <w:r>
        <w:t>lne kryteria merytoryczne (EFS);</w:t>
      </w:r>
    </w:p>
    <w:p w14:paraId="4CE0C3D8" w14:textId="77777777" w:rsidR="00F72E5D" w:rsidRDefault="00F72E5D" w:rsidP="00DF64C7">
      <w:pPr>
        <w:pStyle w:val="Akapitzlist"/>
        <w:numPr>
          <w:ilvl w:val="0"/>
          <w:numId w:val="30"/>
        </w:numPr>
        <w:spacing w:after="240"/>
        <w:jc w:val="left"/>
      </w:pPr>
      <w:r>
        <w:t>o</w:t>
      </w:r>
      <w:r w:rsidRPr="00D7662C">
        <w:t>gólne kryteria horyzontalne</w:t>
      </w:r>
      <w:r>
        <w:t xml:space="preserve"> </w:t>
      </w:r>
      <w:r w:rsidRPr="00D7662C">
        <w:t>(EFS).</w:t>
      </w:r>
    </w:p>
    <w:p w14:paraId="65C616F3" w14:textId="77777777" w:rsidR="00F72E5D" w:rsidRDefault="00F72E5D" w:rsidP="00DF64C7">
      <w:pPr>
        <w:jc w:val="left"/>
      </w:pPr>
      <w:r>
        <w:t>Analizując wskaźniki, które realizowane były zarówno za pomocą ścieżki konkursowej, jak i w ramach ZIT i RIT wskazać należy, iż</w:t>
      </w:r>
      <w:r w:rsidRPr="00C22A75">
        <w:t xml:space="preserve"> </w:t>
      </w:r>
      <w:r>
        <w:t>najwyższą wartość osiągnięto w ramach ścieżki konkursowej. Jeśli jednak potraktować działania ZIT oraz RIT całościowo, jako projekty realizowane w ramach zintegrowanych inwestycji terytorialnych, widoczna jest przewaga wobec projektów konkursowych.</w:t>
      </w:r>
    </w:p>
    <w:p w14:paraId="7B6B4E2D" w14:textId="77777777" w:rsidR="00F72E5D" w:rsidRDefault="00F72E5D" w:rsidP="00DF64C7">
      <w:pPr>
        <w:jc w:val="left"/>
      </w:pPr>
    </w:p>
    <w:p w14:paraId="5EA315BF" w14:textId="77777777" w:rsidR="00F72E5D" w:rsidRDefault="00F72E5D" w:rsidP="00DF64C7">
      <w:pPr>
        <w:jc w:val="left"/>
      </w:pPr>
      <w:r>
        <w:t xml:space="preserve">W celu oceny skuteczności </w:t>
      </w:r>
      <w:r w:rsidRPr="00E57E7E">
        <w:t>projektów w ramach Działań dedykowanych instrumentom terytorialnym ZIT/RIT</w:t>
      </w:r>
      <w:r>
        <w:t xml:space="preserve"> względem projektów konkursowych/ pozakonkursowych analizie poddane zostały wskaźniki działań realizowanych w obu wskazywanych ścieżkach.</w:t>
      </w:r>
    </w:p>
    <w:p w14:paraId="318634E7" w14:textId="77777777" w:rsidR="00F72E5D" w:rsidRDefault="00F72E5D" w:rsidP="00DF64C7">
      <w:pPr>
        <w:jc w:val="left"/>
      </w:pPr>
    </w:p>
    <w:p w14:paraId="04A846B5" w14:textId="77777777" w:rsidR="00F72E5D" w:rsidRDefault="00F72E5D" w:rsidP="00DF64C7">
      <w:pPr>
        <w:jc w:val="left"/>
      </w:pPr>
      <w:r>
        <w:t xml:space="preserve">Analiza wskaźników osiąganych przez projekty </w:t>
      </w:r>
      <w:r w:rsidR="00071ACD">
        <w:t>(</w:t>
      </w:r>
      <w:r>
        <w:t>realizowan</w:t>
      </w:r>
      <w:r w:rsidR="00071ACD">
        <w:t>ych</w:t>
      </w:r>
      <w:r>
        <w:t xml:space="preserve"> zarówno w ramach instrumentów terytorialnych, jak również w trybie konkursowym/ pozakonkursowym</w:t>
      </w:r>
      <w:r w:rsidR="00071ACD">
        <w:t>)</w:t>
      </w:r>
      <w:r>
        <w:t xml:space="preserve"> uwzględniała udział procentowy osiągniętych wskaźników w relacji do wartości docelowej </w:t>
      </w:r>
      <w:r w:rsidR="00071ACD">
        <w:t>zakł</w:t>
      </w:r>
      <w:r w:rsidR="00A42CE3">
        <w:t>a</w:t>
      </w:r>
      <w:r w:rsidR="00071ACD">
        <w:t xml:space="preserve">danej do osiągnięcia </w:t>
      </w:r>
      <w:r>
        <w:t>w 2023 roku.</w:t>
      </w:r>
    </w:p>
    <w:p w14:paraId="46AD377D" w14:textId="77777777" w:rsidR="00F72E5D" w:rsidRDefault="00F72E5D" w:rsidP="00DF64C7">
      <w:pPr>
        <w:jc w:val="left"/>
      </w:pPr>
      <w:r>
        <w:t xml:space="preserve">Ponadto w celu oceny efektywności instrumentów terytorialnych analizie poddano koszt osiągnięcia jednostki wskaźnika w zależności od zastosowanego trybu. Analiza kosztów jednostkowych umożliwiła obiektywną ocenę projektów </w:t>
      </w:r>
      <w:r w:rsidR="004A3091">
        <w:t>realizowanych</w:t>
      </w:r>
      <w:r>
        <w:t xml:space="preserve"> w różnych trybach oraz ich poziom wpływu na osiągnięcie wartości docelowej wskaźników.</w:t>
      </w:r>
    </w:p>
    <w:p w14:paraId="7E3696EA" w14:textId="77777777" w:rsidR="00F72E5D" w:rsidRDefault="00F72E5D" w:rsidP="00DF64C7">
      <w:pPr>
        <w:jc w:val="left"/>
      </w:pPr>
    </w:p>
    <w:p w14:paraId="0F488D6A" w14:textId="5E9874F9" w:rsidR="00F72E5D" w:rsidRDefault="00F72E5D" w:rsidP="00DF64C7">
      <w:pPr>
        <w:jc w:val="left"/>
      </w:pPr>
      <w:r>
        <w:t>W ramach RPO WSL 2014-2020 zidentyfikowano 15 wskaźników, których osiągnięcie umożliwiał</w:t>
      </w:r>
      <w:r w:rsidR="004A3091">
        <w:t>y</w:t>
      </w:r>
      <w:r>
        <w:t xml:space="preserve"> zarówno instrumenty ZIT/RIT, jak również tryb konkursowy i pozakonkursowy. W przypadku 6 analizowanych wskaźników, osiągnęły one wyższe wartości (na dzień 30.09.2019 r.) </w:t>
      </w:r>
      <w:r w:rsidR="00D67F39">
        <w:t>w przypadku instrumentów terytorialnych</w:t>
      </w:r>
      <w:r w:rsidR="0010208F">
        <w:t>,</w:t>
      </w:r>
      <w:r w:rsidR="00D67F39">
        <w:t xml:space="preserve"> </w:t>
      </w:r>
      <w:r>
        <w:t>niż analogiczne wartości dla działań realizowanych w trybie konkursowym/ pozakonkursowym. Są to wskaźniki:</w:t>
      </w:r>
    </w:p>
    <w:p w14:paraId="6D65DF77" w14:textId="77777777" w:rsidR="00F72E5D" w:rsidRDefault="00F72E5D" w:rsidP="00DF64C7">
      <w:pPr>
        <w:pStyle w:val="Akapitzlist"/>
        <w:numPr>
          <w:ilvl w:val="0"/>
          <w:numId w:val="62"/>
        </w:numPr>
        <w:jc w:val="left"/>
      </w:pPr>
      <w:r>
        <w:t>Liczba dzieci objętych w ramach programu dodatkowymi zajęciami zwiększającymi ich szanse edukacyjne w edukacji przedszkolnej [osoby];</w:t>
      </w:r>
    </w:p>
    <w:p w14:paraId="783ACEC4" w14:textId="77777777" w:rsidR="00F72E5D" w:rsidRDefault="00F72E5D" w:rsidP="00DF64C7">
      <w:pPr>
        <w:pStyle w:val="Akapitzlist"/>
        <w:numPr>
          <w:ilvl w:val="0"/>
          <w:numId w:val="62"/>
        </w:numPr>
        <w:jc w:val="left"/>
      </w:pPr>
      <w:r>
        <w:t>Liczba miejsc wychowania przedszkolnego dofinansowanych w programie [szt.];</w:t>
      </w:r>
    </w:p>
    <w:p w14:paraId="031B1CD5" w14:textId="77777777" w:rsidR="00F72E5D" w:rsidRDefault="00F72E5D" w:rsidP="00DF64C7">
      <w:pPr>
        <w:pStyle w:val="Akapitzlist"/>
        <w:numPr>
          <w:ilvl w:val="0"/>
          <w:numId w:val="62"/>
        </w:numPr>
        <w:jc w:val="left"/>
      </w:pPr>
      <w:r>
        <w:t>Liczba uczniów szkół i placówek kształcenia zawodowego uczestniczących w stażach i praktykach u pracodawcy Liczba szkół i placówek kształcenia zawodowego doposażonych w programie w sprzęt i materiały dydaktyczne niezbędne do realizacji kształcenia zawodowego;</w:t>
      </w:r>
    </w:p>
    <w:p w14:paraId="422DD2F2" w14:textId="77777777" w:rsidR="00F72E5D" w:rsidRDefault="00F72E5D" w:rsidP="00DF64C7">
      <w:pPr>
        <w:pStyle w:val="Akapitzlist"/>
        <w:numPr>
          <w:ilvl w:val="0"/>
          <w:numId w:val="62"/>
        </w:numPr>
        <w:jc w:val="left"/>
      </w:pPr>
      <w:r>
        <w:t>Liczba szkół i placówek kształcenia zawodowego wykorzystujących doposażenie zakupione dzięki EFS;</w:t>
      </w:r>
    </w:p>
    <w:p w14:paraId="73027743" w14:textId="77777777" w:rsidR="00D67F39" w:rsidRDefault="00D67F39" w:rsidP="00DF64C7">
      <w:pPr>
        <w:pStyle w:val="Akapitzlist"/>
        <w:numPr>
          <w:ilvl w:val="0"/>
          <w:numId w:val="62"/>
        </w:numPr>
        <w:jc w:val="left"/>
      </w:pPr>
      <w:r>
        <w:t>Liczba nauczycieli kształcenia zawodowego oraz instruktorów praktycznej nauki zawodu, którzy uzyskali kwalifikacje lub nabyli kompetencje po opuszczeniu programu;</w:t>
      </w:r>
    </w:p>
    <w:p w14:paraId="40A64505" w14:textId="77777777" w:rsidR="00D67F39" w:rsidRDefault="00D67F39" w:rsidP="00DF64C7">
      <w:pPr>
        <w:pStyle w:val="Akapitzlist"/>
        <w:numPr>
          <w:ilvl w:val="0"/>
          <w:numId w:val="62"/>
        </w:numPr>
        <w:jc w:val="left"/>
      </w:pPr>
      <w:r w:rsidRPr="00121474">
        <w:t>Liczba szkół i placówek kształcenia zawodowego doposażonych w programie w sprzęt i materiały dydaktyczne niezbędne do realizacji kształcenia zawodowego</w:t>
      </w:r>
      <w:r>
        <w:t>.</w:t>
      </w:r>
    </w:p>
    <w:p w14:paraId="45B29813" w14:textId="77777777" w:rsidR="00F72E5D" w:rsidRDefault="00F72E5D" w:rsidP="00DF64C7">
      <w:pPr>
        <w:jc w:val="left"/>
      </w:pPr>
    </w:p>
    <w:p w14:paraId="6F80E0C6" w14:textId="77777777" w:rsidR="00F72E5D" w:rsidRDefault="00F72E5D" w:rsidP="00DF64C7">
      <w:pPr>
        <w:jc w:val="left"/>
      </w:pPr>
      <w:r>
        <w:t>Natomiast 7 wskaźników w ramach działań realizowanych w trybie konkursowym i pozakonkursowym osiągnęły wyższe wartości, względem analogicznych działań dedykowanych instrumentom ZIT/RIT. Są to wskaźniki:</w:t>
      </w:r>
    </w:p>
    <w:p w14:paraId="1E881EAC" w14:textId="77777777" w:rsidR="00F72E5D" w:rsidRDefault="00F72E5D" w:rsidP="00DF64C7">
      <w:pPr>
        <w:pStyle w:val="Akapitzlist"/>
        <w:numPr>
          <w:ilvl w:val="0"/>
          <w:numId w:val="63"/>
        </w:numPr>
        <w:jc w:val="left"/>
      </w:pPr>
      <w:r w:rsidRPr="000C5750">
        <w:t>Liczba nauczycieli kształcenia zawodowego oraz instruktorów praktycznej nauki zawodu objętych wsparciem w programie</w:t>
      </w:r>
      <w:r>
        <w:t>;</w:t>
      </w:r>
    </w:p>
    <w:p w14:paraId="670D7636" w14:textId="77777777" w:rsidR="00F72E5D" w:rsidRDefault="00F72E5D" w:rsidP="00DF64C7">
      <w:pPr>
        <w:pStyle w:val="Akapitzlist"/>
        <w:numPr>
          <w:ilvl w:val="0"/>
          <w:numId w:val="63"/>
        </w:numPr>
        <w:jc w:val="left"/>
      </w:pPr>
      <w:r>
        <w:t>Liczba osób o niskich kwalifikacjach objętych wsparciem w programie;</w:t>
      </w:r>
    </w:p>
    <w:p w14:paraId="0A7CEBA2" w14:textId="77777777" w:rsidR="00F72E5D" w:rsidRDefault="00F72E5D" w:rsidP="00DF64C7">
      <w:pPr>
        <w:pStyle w:val="Akapitzlist"/>
        <w:numPr>
          <w:ilvl w:val="0"/>
          <w:numId w:val="63"/>
        </w:numPr>
        <w:jc w:val="left"/>
      </w:pPr>
      <w:r>
        <w:t>Liczba osób w wieku 50 lat i więcej objętych wsparciem w programie;</w:t>
      </w:r>
    </w:p>
    <w:p w14:paraId="75685C8C" w14:textId="77777777" w:rsidR="00F72E5D" w:rsidRDefault="00F72E5D" w:rsidP="00DF64C7">
      <w:pPr>
        <w:pStyle w:val="Akapitzlist"/>
        <w:numPr>
          <w:ilvl w:val="0"/>
          <w:numId w:val="63"/>
        </w:numPr>
        <w:jc w:val="left"/>
      </w:pPr>
      <w:r>
        <w:t>Liczba osób w wieku 25 lat i więcej objętych wsparciem w programie;</w:t>
      </w:r>
    </w:p>
    <w:p w14:paraId="3FB357A0" w14:textId="77777777" w:rsidR="00F72E5D" w:rsidRDefault="00F72E5D" w:rsidP="00DF64C7">
      <w:pPr>
        <w:pStyle w:val="Akapitzlist"/>
        <w:numPr>
          <w:ilvl w:val="0"/>
          <w:numId w:val="63"/>
        </w:numPr>
        <w:jc w:val="left"/>
      </w:pPr>
      <w:r>
        <w:t>Liczba osób o niskich kwalifikacjach, które uzyskały lub nabyły kompetencje po opuszczeniu programu;</w:t>
      </w:r>
    </w:p>
    <w:p w14:paraId="5E357D33" w14:textId="77777777" w:rsidR="00F72E5D" w:rsidRDefault="00F72E5D" w:rsidP="00DF64C7">
      <w:pPr>
        <w:pStyle w:val="Akapitzlist"/>
        <w:numPr>
          <w:ilvl w:val="0"/>
          <w:numId w:val="63"/>
        </w:numPr>
        <w:jc w:val="left"/>
      </w:pPr>
      <w:r>
        <w:t>Liczba osób w wieku 50 lat i więcej, które uzyskały kwalifikacje lub nabyły kompetencje po opuszczeniu programu;</w:t>
      </w:r>
    </w:p>
    <w:p w14:paraId="4510F2D5" w14:textId="77777777" w:rsidR="00F72E5D" w:rsidRDefault="00F72E5D" w:rsidP="00DF64C7">
      <w:pPr>
        <w:pStyle w:val="Akapitzlist"/>
        <w:numPr>
          <w:ilvl w:val="0"/>
          <w:numId w:val="63"/>
        </w:numPr>
        <w:jc w:val="left"/>
      </w:pPr>
      <w:r>
        <w:t>Liczba osób w wieku 25 lat i więcej, które uzyskały kwalifikacje lub nabyły kompetencje po opuszczeniu programu.</w:t>
      </w:r>
    </w:p>
    <w:p w14:paraId="36409F09" w14:textId="77777777" w:rsidR="00F72E5D" w:rsidRDefault="00F72E5D" w:rsidP="00DF64C7">
      <w:pPr>
        <w:jc w:val="left"/>
      </w:pPr>
    </w:p>
    <w:p w14:paraId="6821E4F3" w14:textId="77777777" w:rsidR="00F72E5D" w:rsidRDefault="00F72E5D" w:rsidP="00DF64C7">
      <w:pPr>
        <w:jc w:val="left"/>
      </w:pPr>
      <w:r>
        <w:t xml:space="preserve">Jednakże analizując % realizacji docelowej wartości wskaźnika należy zwrócić uwagę na fakt, że w przypadku trzech wskaźników: </w:t>
      </w:r>
      <w:r w:rsidRPr="0082219C">
        <w:t>Liczba nauczycieli kształcenia zawodowego oraz instruktorów praktycznej nauki zawodu objętych wsparciem w programie</w:t>
      </w:r>
      <w:r>
        <w:t xml:space="preserve"> (133%); </w:t>
      </w:r>
      <w:r w:rsidRPr="0082219C">
        <w:t>Liczba szkół i placówek kształcenia zawodowego doposażonych w programie w sprzęt i materiały dydaktyczne niezbędne do realizacji kształcenia zawodowego</w:t>
      </w:r>
      <w:r>
        <w:t xml:space="preserve"> (246%); </w:t>
      </w:r>
      <w:r w:rsidRPr="0082219C">
        <w:t>Liczba nauczycieli kształcenia zawodowego oraz instruktorów praktycznej nauki zawodu, którzy uzyskali kwalifikacje lub nabyli kompetencje po opuszczeniu programu</w:t>
      </w:r>
      <w:r>
        <w:t xml:space="preserve"> (163%) instrumenty terytorialne ZIT/RIT umożliwiły osiągnięcie 100% wartości docelowej wskaźników, przy minimalnym udziale trybu konkursowego/ pozakonkursowego. </w:t>
      </w:r>
    </w:p>
    <w:p w14:paraId="77591F75" w14:textId="77777777" w:rsidR="00F72E5D" w:rsidRDefault="00F72E5D" w:rsidP="00DF64C7">
      <w:pPr>
        <w:jc w:val="left"/>
      </w:pPr>
    </w:p>
    <w:p w14:paraId="3118BBE6" w14:textId="77777777" w:rsidR="00F72E5D" w:rsidRDefault="00F72E5D" w:rsidP="00DF64C7">
      <w:pPr>
        <w:jc w:val="left"/>
      </w:pPr>
      <w:r>
        <w:t xml:space="preserve">Ponadto warto zwrócić uwagę, że w przypadku działań dedykowanych ZIT/ RIT kolejne trzy wskaźniki w 2019 r. osiągnęły wartości powyżej 75% wartości docelowej, tj.: </w:t>
      </w:r>
      <w:r w:rsidRPr="008C3543">
        <w:t>Liczba miejsc wychowania przedszkolnego dofinansowanych w programie [szt.]</w:t>
      </w:r>
      <w:r>
        <w:t xml:space="preserve">; </w:t>
      </w:r>
      <w:r w:rsidRPr="008C3543">
        <w:t>Liczba uczniów szkół i placówek kształcenia zawodowego uczestniczących w stażach i praktykach u pracodawcy</w:t>
      </w:r>
      <w:r>
        <w:t xml:space="preserve">; </w:t>
      </w:r>
      <w:r w:rsidRPr="008C3543">
        <w:t>Liczba szkół i placówek kształcenia zawodowego wykorzystujących doposażenie zakupione dzięki EFS</w:t>
      </w:r>
      <w:r>
        <w:t>.</w:t>
      </w:r>
    </w:p>
    <w:p w14:paraId="1CED2BB7" w14:textId="77777777" w:rsidR="00F72E5D" w:rsidRDefault="00F72E5D" w:rsidP="00DF64C7">
      <w:pPr>
        <w:jc w:val="left"/>
      </w:pPr>
      <w:r>
        <w:t xml:space="preserve">Wskaźnik: </w:t>
      </w:r>
      <w:r w:rsidRPr="008C3543">
        <w:t>Liczba dzieci objętych w ramach programu dodatkowymi zajęciami zwiększającymi ich szanse edukacyjne w edukacji przedszkolnej [osoby]</w:t>
      </w:r>
      <w:r>
        <w:t xml:space="preserve">; osiągnął zbliżone wartości niezależnie od trybu finansowania, natomiast wskaźniki: </w:t>
      </w:r>
      <w:r w:rsidRPr="008C3543">
        <w:t>Liczba osób o niskich kwalifikacjach objętych wsparciem w programie</w:t>
      </w:r>
      <w:r>
        <w:t xml:space="preserve">; </w:t>
      </w:r>
      <w:r w:rsidRPr="008C3543">
        <w:t>Liczba osób w wieku 50 lat i więcej objętych wsparciem w programie</w:t>
      </w:r>
      <w:r>
        <w:t xml:space="preserve">; </w:t>
      </w:r>
      <w:r w:rsidRPr="008C3543">
        <w:t>Liczba osób o niskich kwalifikacjach, które uzyskały lub nabyły kompetencje po opuszczeniu programu</w:t>
      </w:r>
      <w:r>
        <w:t xml:space="preserve">; </w:t>
      </w:r>
      <w:r w:rsidRPr="008C3543">
        <w:t>Liczba osób w wieku 50 lat i więcej, które uzyskały kwalifikacje lub nabyły kompetencje po opuszczeniu programu</w:t>
      </w:r>
      <w:r>
        <w:t>, w 2019 r. nie przekroczyły 50% osiągnięcia wartości docelowej (niezależnie od trybu) – co uniemożliwia jednoznaczną ocenę efektywności formuły inwestycji terytorialnych pod względem przedmiotowych wskaźników.</w:t>
      </w:r>
    </w:p>
    <w:p w14:paraId="51B2D80E" w14:textId="77777777" w:rsidR="00F72E5D" w:rsidRDefault="00F72E5D" w:rsidP="00DF64C7">
      <w:pPr>
        <w:jc w:val="left"/>
      </w:pPr>
      <w:r>
        <w:t>W związku z powyższym należy wskazać, że działania realizowane w formule ZIT/RIT charakteryzują się względnie wysokim poziom</w:t>
      </w:r>
      <w:r w:rsidR="00515965">
        <w:t>em s</w:t>
      </w:r>
      <w:r>
        <w:t>kuteczności w relacji do analogicznych działań realizowanych w trybie konkursowym/ pozakonkursowym, w szczególności pod względem stopnia osiągnięcia wartości docelowej wskaźników RPO WSL 2014-2020. Jak wynika z poniższej tabeli projekty realizowane w ramach ZIT/RIT  w 2019 r. przyniosły wyższe korzyści w relacji do wartości docelowych wskaźników dla 2023 r., co przekłada się na wyższy poziom skuteczności instrumentów terytorialnych.</w:t>
      </w:r>
    </w:p>
    <w:p w14:paraId="5517835A" w14:textId="77777777" w:rsidR="00F72E5D" w:rsidRDefault="00F72E5D" w:rsidP="00DF64C7">
      <w:pPr>
        <w:jc w:val="left"/>
      </w:pPr>
    </w:p>
    <w:p w14:paraId="0216ED9D" w14:textId="77777777" w:rsidR="00F72E5D" w:rsidRDefault="00F72E5D" w:rsidP="00DF64C7">
      <w:pPr>
        <w:jc w:val="left"/>
        <w:rPr>
          <w:b/>
          <w:bCs/>
          <w:i/>
        </w:rPr>
        <w:sectPr w:rsidR="00F72E5D" w:rsidSect="00174F8C">
          <w:footerReference w:type="default" r:id="rId66"/>
          <w:pgSz w:w="11906" w:h="16838"/>
          <w:pgMar w:top="1418" w:right="1418" w:bottom="1418" w:left="1418" w:header="709" w:footer="709" w:gutter="0"/>
          <w:cols w:space="708"/>
          <w:docGrid w:linePitch="360"/>
        </w:sectPr>
      </w:pPr>
      <w:r>
        <w:t>Powyższą teorię potwierdza analiza kosztów jednostkowych wskaźników, która wykazała mniejszy koszt osiągnięcia jednej jednostki wskaźnika dla 9 analizowanych wskaźników (</w:t>
      </w:r>
      <w:r w:rsidRPr="001C7E6A">
        <w:t>Liczba dzieci objętych w ramach programu dodatkowymi zajęciami zwiększającymi ich szanse edukacyjne w edukacji przedszkolnej</w:t>
      </w:r>
      <w:r>
        <w:t xml:space="preserve">; </w:t>
      </w:r>
      <w:r w:rsidRPr="001C7E6A">
        <w:t>Liczba miejsc wychowania przedszkolnego dofinansowanych w programie</w:t>
      </w:r>
      <w:r>
        <w:t xml:space="preserve">; </w:t>
      </w:r>
      <w:r w:rsidRPr="001C7E6A">
        <w:t>Liczba osób o niskich kwalifikacjach objętych wsparciem w programie</w:t>
      </w:r>
      <w:r>
        <w:t xml:space="preserve">; </w:t>
      </w:r>
      <w:r w:rsidRPr="001C7E6A">
        <w:t>Liczba osób w wieku 50 lat i więcej objętych wsparciem w programie</w:t>
      </w:r>
      <w:r>
        <w:t xml:space="preserve">; </w:t>
      </w:r>
      <w:r w:rsidRPr="001C7E6A">
        <w:t>Liczba osób w wieku 25 lat i więcej objętych wsparciem w programie</w:t>
      </w:r>
      <w:r>
        <w:t xml:space="preserve">; </w:t>
      </w:r>
      <w:r w:rsidRPr="001C7E6A">
        <w:t>Liczba szkół i placówek kształcenia zawodowego wykorzystujących doposażenie zakupione dzięki EFS</w:t>
      </w:r>
      <w:r>
        <w:t xml:space="preserve">; </w:t>
      </w:r>
      <w:r w:rsidRPr="001C7E6A">
        <w:t xml:space="preserve">Liczba nauczycieli kształcenia zawodowego oraz instruktorów praktycznej nauki zawodu, którzy uzyskali kwalifikacje lub nabyli </w:t>
      </w:r>
      <w:r w:rsidR="004A3091" w:rsidRPr="001C7E6A">
        <w:t>kompetencje</w:t>
      </w:r>
      <w:r w:rsidRPr="001C7E6A">
        <w:t xml:space="preserve"> po opuszczeniu programu</w:t>
      </w:r>
      <w:r>
        <w:t xml:space="preserve">; </w:t>
      </w:r>
      <w:r w:rsidRPr="001C7E6A">
        <w:t>Liczba uczniów szkół i placówek kształcenia zawodowego uczestniczących w stażach i praktykach u pracodawcy</w:t>
      </w:r>
      <w:r>
        <w:t>;</w:t>
      </w:r>
      <w:r w:rsidRPr="001C7E6A">
        <w:t xml:space="preserve"> Liczba szkół i placówek kształcenia zawodowego doposażonych w programie w sprzęt i materiały dydaktyczne niezbędne do realizacji kształcenia zawodowego</w:t>
      </w:r>
      <w:r>
        <w:t xml:space="preserve">). Dla wskaźnika:  </w:t>
      </w:r>
      <w:r w:rsidRPr="001C7E6A">
        <w:t xml:space="preserve">Liczba osób w wieku 50 lat i więcej, które uzyskały kwalifikacje lub nabyły </w:t>
      </w:r>
      <w:r w:rsidR="004A3091" w:rsidRPr="001C7E6A">
        <w:t>kompetencje</w:t>
      </w:r>
      <w:r w:rsidRPr="001C7E6A">
        <w:t xml:space="preserve"> po opuszczeniu programu</w:t>
      </w:r>
      <w:r>
        <w:t xml:space="preserve">, koszty te były zbliżone, natomiast wyłącznie w przypadku 3 wskaźników zidentyfikowano różnice na korzyść trybu konkursowego (wskaźniki: </w:t>
      </w:r>
      <w:r w:rsidRPr="001C7E6A">
        <w:t xml:space="preserve">Liczba osób o niskich kwalifikacjach, które uzyskały kwalifikacje lub nabyły </w:t>
      </w:r>
      <w:r w:rsidR="004A3091" w:rsidRPr="001C7E6A">
        <w:t>kompetencje</w:t>
      </w:r>
      <w:r w:rsidRPr="001C7E6A">
        <w:t xml:space="preserve"> po opuszczeniu programu</w:t>
      </w:r>
      <w:r>
        <w:t xml:space="preserve">; </w:t>
      </w:r>
      <w:r w:rsidRPr="001C7E6A">
        <w:t>Liczba osób w wieku 25 lat i więcej, które uzyskały kwalifikacje lub nabyły kompetencje po opuszczeniu programu</w:t>
      </w:r>
      <w:r>
        <w:t xml:space="preserve">; </w:t>
      </w:r>
      <w:r w:rsidRPr="001C7E6A">
        <w:t>Liczba nauczycieli kształcenia zawodowego oraz instruktorów praktycznej nauki zawodu objętych wsparciem w programie</w:t>
      </w:r>
      <w:r>
        <w:t>).</w:t>
      </w:r>
    </w:p>
    <w:p w14:paraId="44A65250" w14:textId="77777777" w:rsidR="00F72E5D" w:rsidRDefault="00F72E5D" w:rsidP="00DF64C7">
      <w:pPr>
        <w:pStyle w:val="Legenda"/>
        <w:spacing w:line="271" w:lineRule="auto"/>
        <w:jc w:val="left"/>
      </w:pPr>
      <w:r>
        <w:t xml:space="preserve">Tabela </w:t>
      </w:r>
      <w:r w:rsidR="00842E62">
        <w:t>34.</w:t>
      </w:r>
      <w:r>
        <w:t xml:space="preserve"> Analiza porównawcza wartości osiągniętych wskaźników realizowanych w </w:t>
      </w:r>
      <w:r w:rsidRPr="002C7650">
        <w:t xml:space="preserve">formule ZIT/RIT oraz </w:t>
      </w:r>
      <w:r>
        <w:t>trybie konkursowym/ pozakonkursowym</w:t>
      </w:r>
    </w:p>
    <w:tbl>
      <w:tblPr>
        <w:tblStyle w:val="Tabelasiatki4akcent61"/>
        <w:tblW w:w="14425" w:type="dxa"/>
        <w:tblLayout w:type="fixed"/>
        <w:tblLook w:val="04A0" w:firstRow="1" w:lastRow="0" w:firstColumn="1" w:lastColumn="0" w:noHBand="0" w:noVBand="1"/>
        <w:tblCaption w:val="Tabela 33 Analiza porównawcza wartości osiągniętych wskaźników realizowanych w formule ZIT/RIT oraz trybie konkursowym/ pozakonkursowym"/>
        <w:tblDescription w:val="Tabela przedstawia wartości osiągnietych wskaźników realizowanych w formule ZIT/RIT oraz w trybie konkursowym/pozakonkursowym. Podzielone zostały względem Działań/Poddziałań. Opis głównych spostrzeżeń i wniosków wynikających z tychze danych przedstawiony został we fragmencie poprzedzającym tabelę."/>
      </w:tblPr>
      <w:tblGrid>
        <w:gridCol w:w="826"/>
        <w:gridCol w:w="1584"/>
        <w:gridCol w:w="2376"/>
        <w:gridCol w:w="1276"/>
        <w:gridCol w:w="709"/>
        <w:gridCol w:w="850"/>
        <w:gridCol w:w="709"/>
        <w:gridCol w:w="850"/>
        <w:gridCol w:w="1418"/>
        <w:gridCol w:w="1417"/>
        <w:gridCol w:w="1276"/>
        <w:gridCol w:w="1134"/>
      </w:tblGrid>
      <w:tr w:rsidR="00E52548" w:rsidRPr="001C7E6A" w14:paraId="14FC32E3" w14:textId="77777777" w:rsidTr="00593B77">
        <w:trPr>
          <w:cnfStyle w:val="100000000000" w:firstRow="1" w:lastRow="0" w:firstColumn="0" w:lastColumn="0" w:oddVBand="0" w:evenVBand="0" w:oddHBand="0" w:evenHBand="0" w:firstRowFirstColumn="0" w:firstRowLastColumn="0" w:lastRowFirstColumn="0" w:lastRowLastColumn="0"/>
          <w:trHeight w:val="1260"/>
          <w:tblHeader/>
        </w:trPr>
        <w:tc>
          <w:tcPr>
            <w:cnfStyle w:val="001000000000" w:firstRow="0" w:lastRow="0" w:firstColumn="1" w:lastColumn="0" w:oddVBand="0" w:evenVBand="0" w:oddHBand="0" w:evenHBand="0" w:firstRowFirstColumn="0" w:firstRowLastColumn="0" w:lastRowFirstColumn="0" w:lastRowLastColumn="0"/>
            <w:tcW w:w="826" w:type="dxa"/>
            <w:vMerge w:val="restart"/>
            <w:noWrap/>
            <w:hideMark/>
          </w:tcPr>
          <w:p w14:paraId="3BB09C55" w14:textId="77777777" w:rsidR="00E52548" w:rsidRPr="00E24BD3" w:rsidRDefault="00E52548"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Działanie</w:t>
            </w:r>
          </w:p>
        </w:tc>
        <w:tc>
          <w:tcPr>
            <w:tcW w:w="1584" w:type="dxa"/>
            <w:vMerge w:val="restart"/>
            <w:noWrap/>
            <w:hideMark/>
          </w:tcPr>
          <w:p w14:paraId="016A4E7C" w14:textId="77777777" w:rsidR="00E52548" w:rsidRPr="00E24BD3" w:rsidRDefault="00E52548"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Poddziałanie</w:t>
            </w:r>
          </w:p>
        </w:tc>
        <w:tc>
          <w:tcPr>
            <w:tcW w:w="2376" w:type="dxa"/>
            <w:vMerge w:val="restart"/>
            <w:hideMark/>
          </w:tcPr>
          <w:p w14:paraId="6651AA36" w14:textId="77777777" w:rsidR="00E52548" w:rsidRPr="00E24BD3" w:rsidRDefault="00E52548"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Wskaźnik</w:t>
            </w:r>
          </w:p>
        </w:tc>
        <w:tc>
          <w:tcPr>
            <w:tcW w:w="1276" w:type="dxa"/>
            <w:vMerge w:val="restart"/>
            <w:noWrap/>
            <w:hideMark/>
          </w:tcPr>
          <w:p w14:paraId="65FBB82D" w14:textId="77777777" w:rsidR="00E52548" w:rsidRPr="00E24BD3" w:rsidRDefault="00E52548"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Wartość docelowa (2023)</w:t>
            </w:r>
          </w:p>
        </w:tc>
        <w:tc>
          <w:tcPr>
            <w:tcW w:w="1559" w:type="dxa"/>
            <w:gridSpan w:val="2"/>
            <w:hideMark/>
          </w:tcPr>
          <w:p w14:paraId="04D5847F" w14:textId="77777777" w:rsidR="00E52548" w:rsidRPr="00E24BD3" w:rsidRDefault="00E52548"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Wartość osiągnięta w 2019 r. (na dzień 01.10.2019 r.)</w:t>
            </w:r>
          </w:p>
        </w:tc>
        <w:tc>
          <w:tcPr>
            <w:tcW w:w="1559" w:type="dxa"/>
            <w:gridSpan w:val="2"/>
            <w:hideMark/>
          </w:tcPr>
          <w:p w14:paraId="0E48B011" w14:textId="77777777" w:rsidR="00E52548" w:rsidRPr="00E24BD3" w:rsidRDefault="00E52548"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realizacji wartości docelowej</w:t>
            </w:r>
          </w:p>
        </w:tc>
        <w:tc>
          <w:tcPr>
            <w:tcW w:w="2835" w:type="dxa"/>
            <w:gridSpan w:val="2"/>
            <w:hideMark/>
          </w:tcPr>
          <w:p w14:paraId="15972AEF" w14:textId="77777777" w:rsidR="00E52548" w:rsidRPr="00E24BD3" w:rsidRDefault="00E52548"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Wkład UE (na dzień 1.10.2019 r.) (PLN) - dla poddziałania</w:t>
            </w:r>
          </w:p>
        </w:tc>
        <w:tc>
          <w:tcPr>
            <w:tcW w:w="2410" w:type="dxa"/>
            <w:gridSpan w:val="2"/>
            <w:hideMark/>
          </w:tcPr>
          <w:p w14:paraId="6356D37C" w14:textId="77777777" w:rsidR="00E52548" w:rsidRPr="00E24BD3" w:rsidRDefault="00E52548"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Koszt jednostkowy wskaźnika (PLN)</w:t>
            </w:r>
          </w:p>
        </w:tc>
      </w:tr>
      <w:tr w:rsidR="00E52548" w:rsidRPr="001C7E6A" w14:paraId="17BCC7B7" w14:textId="77777777" w:rsidTr="00593B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dxa"/>
            <w:vMerge/>
            <w:noWrap/>
            <w:hideMark/>
          </w:tcPr>
          <w:p w14:paraId="2A38E517" w14:textId="77777777" w:rsidR="00E52548" w:rsidRPr="00E24BD3" w:rsidRDefault="00E52548" w:rsidP="00DF64C7">
            <w:pPr>
              <w:jc w:val="left"/>
              <w:rPr>
                <w:rFonts w:ascii="Calibri" w:eastAsia="Times New Roman" w:hAnsi="Calibri" w:cs="Calibri"/>
                <w:color w:val="000000"/>
                <w:sz w:val="16"/>
                <w:szCs w:val="16"/>
                <w:lang w:eastAsia="pl-PL"/>
              </w:rPr>
            </w:pPr>
          </w:p>
        </w:tc>
        <w:tc>
          <w:tcPr>
            <w:tcW w:w="1584" w:type="dxa"/>
            <w:vMerge/>
            <w:noWrap/>
            <w:hideMark/>
          </w:tcPr>
          <w:p w14:paraId="63B966CA" w14:textId="77777777" w:rsidR="00E52548" w:rsidRPr="00E24BD3" w:rsidRDefault="00E5254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p>
        </w:tc>
        <w:tc>
          <w:tcPr>
            <w:tcW w:w="2376" w:type="dxa"/>
            <w:vMerge/>
            <w:hideMark/>
          </w:tcPr>
          <w:p w14:paraId="5AA93F81" w14:textId="77777777" w:rsidR="00E52548" w:rsidRPr="00E24BD3" w:rsidRDefault="00E5254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p>
        </w:tc>
        <w:tc>
          <w:tcPr>
            <w:tcW w:w="1276" w:type="dxa"/>
            <w:vMerge/>
            <w:noWrap/>
            <w:hideMark/>
          </w:tcPr>
          <w:p w14:paraId="29F615D3" w14:textId="77777777" w:rsidR="00E52548" w:rsidRPr="00E24BD3" w:rsidRDefault="00E5254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p>
        </w:tc>
        <w:tc>
          <w:tcPr>
            <w:tcW w:w="709" w:type="dxa"/>
            <w:noWrap/>
            <w:hideMark/>
          </w:tcPr>
          <w:p w14:paraId="60B010F3" w14:textId="77777777" w:rsidR="00E52548" w:rsidRPr="00E24BD3" w:rsidRDefault="00E5254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ZIT/RIT</w:t>
            </w:r>
          </w:p>
        </w:tc>
        <w:tc>
          <w:tcPr>
            <w:tcW w:w="850" w:type="dxa"/>
            <w:noWrap/>
            <w:hideMark/>
          </w:tcPr>
          <w:p w14:paraId="5D871730" w14:textId="77777777" w:rsidR="00E52548" w:rsidRPr="00E24BD3" w:rsidRDefault="00E5254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Konkurs</w:t>
            </w:r>
          </w:p>
        </w:tc>
        <w:tc>
          <w:tcPr>
            <w:tcW w:w="709" w:type="dxa"/>
            <w:noWrap/>
            <w:hideMark/>
          </w:tcPr>
          <w:p w14:paraId="22916F45" w14:textId="77777777" w:rsidR="00E52548" w:rsidRPr="00E24BD3" w:rsidRDefault="00E5254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ZIT/RIT</w:t>
            </w:r>
          </w:p>
        </w:tc>
        <w:tc>
          <w:tcPr>
            <w:tcW w:w="850" w:type="dxa"/>
            <w:noWrap/>
            <w:hideMark/>
          </w:tcPr>
          <w:p w14:paraId="406673F2" w14:textId="77777777" w:rsidR="00E52548" w:rsidRPr="00E24BD3" w:rsidRDefault="00E5254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Konkurs</w:t>
            </w:r>
          </w:p>
        </w:tc>
        <w:tc>
          <w:tcPr>
            <w:tcW w:w="1418" w:type="dxa"/>
            <w:noWrap/>
            <w:hideMark/>
          </w:tcPr>
          <w:p w14:paraId="357AE880" w14:textId="77777777" w:rsidR="00E52548" w:rsidRPr="00E24BD3" w:rsidRDefault="00E5254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ZIT/RIT</w:t>
            </w:r>
          </w:p>
        </w:tc>
        <w:tc>
          <w:tcPr>
            <w:tcW w:w="1417" w:type="dxa"/>
            <w:noWrap/>
            <w:hideMark/>
          </w:tcPr>
          <w:p w14:paraId="47364B52" w14:textId="77777777" w:rsidR="00E52548" w:rsidRPr="00E24BD3" w:rsidRDefault="00E5254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Konkurs</w:t>
            </w:r>
          </w:p>
        </w:tc>
        <w:tc>
          <w:tcPr>
            <w:tcW w:w="1276" w:type="dxa"/>
            <w:noWrap/>
            <w:hideMark/>
          </w:tcPr>
          <w:p w14:paraId="08F453F2" w14:textId="77777777" w:rsidR="00E52548" w:rsidRPr="00E24BD3" w:rsidRDefault="00E5254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ZIT/RIT</w:t>
            </w:r>
          </w:p>
        </w:tc>
        <w:tc>
          <w:tcPr>
            <w:tcW w:w="1134" w:type="dxa"/>
            <w:noWrap/>
            <w:hideMark/>
          </w:tcPr>
          <w:p w14:paraId="20452583" w14:textId="77777777" w:rsidR="00E52548" w:rsidRPr="00E24BD3" w:rsidRDefault="00E5254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Konkurs</w:t>
            </w:r>
          </w:p>
        </w:tc>
      </w:tr>
      <w:tr w:rsidR="00F72E5D" w:rsidRPr="001C7E6A" w14:paraId="40E38BE7" w14:textId="77777777" w:rsidTr="00E24BD3">
        <w:trPr>
          <w:trHeight w:val="6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40468901"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11.1</w:t>
            </w:r>
          </w:p>
        </w:tc>
        <w:tc>
          <w:tcPr>
            <w:tcW w:w="1584" w:type="dxa"/>
            <w:noWrap/>
            <w:hideMark/>
          </w:tcPr>
          <w:p w14:paraId="6D02B6D0"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11.1.1, 11.1.2, 11.1.3</w:t>
            </w:r>
          </w:p>
        </w:tc>
        <w:tc>
          <w:tcPr>
            <w:tcW w:w="2376" w:type="dxa"/>
            <w:hideMark/>
          </w:tcPr>
          <w:p w14:paraId="1C2C4665"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dzieci objętych w ramach programu dodatkowymi zajęciami zwiększającymi ich szanse edukacyjne w edukacji przedszkolnej</w:t>
            </w:r>
          </w:p>
        </w:tc>
        <w:tc>
          <w:tcPr>
            <w:tcW w:w="1276" w:type="dxa"/>
            <w:noWrap/>
            <w:hideMark/>
          </w:tcPr>
          <w:p w14:paraId="69955BD8"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13984</w:t>
            </w:r>
          </w:p>
        </w:tc>
        <w:tc>
          <w:tcPr>
            <w:tcW w:w="709" w:type="dxa"/>
            <w:noWrap/>
            <w:hideMark/>
          </w:tcPr>
          <w:p w14:paraId="21F14E6E"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6718</w:t>
            </w:r>
          </w:p>
        </w:tc>
        <w:tc>
          <w:tcPr>
            <w:tcW w:w="850" w:type="dxa"/>
            <w:noWrap/>
            <w:hideMark/>
          </w:tcPr>
          <w:p w14:paraId="415A8716"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4861</w:t>
            </w:r>
          </w:p>
        </w:tc>
        <w:tc>
          <w:tcPr>
            <w:tcW w:w="709" w:type="dxa"/>
            <w:noWrap/>
            <w:hideMark/>
          </w:tcPr>
          <w:p w14:paraId="48FD2884"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48%</w:t>
            </w:r>
          </w:p>
        </w:tc>
        <w:tc>
          <w:tcPr>
            <w:tcW w:w="850" w:type="dxa"/>
            <w:noWrap/>
            <w:hideMark/>
          </w:tcPr>
          <w:p w14:paraId="33081B68"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35%</w:t>
            </w:r>
          </w:p>
        </w:tc>
        <w:tc>
          <w:tcPr>
            <w:tcW w:w="1418" w:type="dxa"/>
            <w:noWrap/>
            <w:hideMark/>
          </w:tcPr>
          <w:p w14:paraId="59103B3F"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4 694 266,94 zł </w:t>
            </w:r>
          </w:p>
        </w:tc>
        <w:tc>
          <w:tcPr>
            <w:tcW w:w="1417" w:type="dxa"/>
            <w:noWrap/>
            <w:hideMark/>
          </w:tcPr>
          <w:p w14:paraId="5EBDD140"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5 617 569,26 zł </w:t>
            </w:r>
          </w:p>
        </w:tc>
        <w:tc>
          <w:tcPr>
            <w:tcW w:w="1276" w:type="dxa"/>
            <w:noWrap/>
            <w:hideMark/>
          </w:tcPr>
          <w:p w14:paraId="33117DA3"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698,76 zł </w:t>
            </w:r>
          </w:p>
        </w:tc>
        <w:tc>
          <w:tcPr>
            <w:tcW w:w="1134" w:type="dxa"/>
            <w:noWrap/>
            <w:hideMark/>
          </w:tcPr>
          <w:p w14:paraId="410D9395"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1 155,64 zł </w:t>
            </w:r>
          </w:p>
        </w:tc>
      </w:tr>
      <w:tr w:rsidR="00F72E5D" w:rsidRPr="001C7E6A" w14:paraId="162B9CFF" w14:textId="77777777" w:rsidTr="00593B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747AEF69"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11.1</w:t>
            </w:r>
          </w:p>
        </w:tc>
        <w:tc>
          <w:tcPr>
            <w:tcW w:w="1584" w:type="dxa"/>
            <w:noWrap/>
            <w:hideMark/>
          </w:tcPr>
          <w:p w14:paraId="2B3F8ED3"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11.1.1, 11.1.2, 11.1.3</w:t>
            </w:r>
          </w:p>
        </w:tc>
        <w:tc>
          <w:tcPr>
            <w:tcW w:w="2376" w:type="dxa"/>
            <w:hideMark/>
          </w:tcPr>
          <w:p w14:paraId="4056FBE9"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miejsc wychowania przedszkolnego dofinansowanych w programie</w:t>
            </w:r>
          </w:p>
        </w:tc>
        <w:tc>
          <w:tcPr>
            <w:tcW w:w="1276" w:type="dxa"/>
            <w:noWrap/>
            <w:hideMark/>
          </w:tcPr>
          <w:p w14:paraId="640AE984"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3081</w:t>
            </w:r>
          </w:p>
        </w:tc>
        <w:tc>
          <w:tcPr>
            <w:tcW w:w="709" w:type="dxa"/>
            <w:noWrap/>
            <w:hideMark/>
          </w:tcPr>
          <w:p w14:paraId="11AD5EEC"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2526</w:t>
            </w:r>
          </w:p>
        </w:tc>
        <w:tc>
          <w:tcPr>
            <w:tcW w:w="850" w:type="dxa"/>
            <w:noWrap/>
            <w:hideMark/>
          </w:tcPr>
          <w:p w14:paraId="431F41C6"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1861</w:t>
            </w:r>
          </w:p>
        </w:tc>
        <w:tc>
          <w:tcPr>
            <w:tcW w:w="709" w:type="dxa"/>
            <w:noWrap/>
            <w:hideMark/>
          </w:tcPr>
          <w:p w14:paraId="212B320E"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82%</w:t>
            </w:r>
          </w:p>
        </w:tc>
        <w:tc>
          <w:tcPr>
            <w:tcW w:w="850" w:type="dxa"/>
            <w:noWrap/>
            <w:hideMark/>
          </w:tcPr>
          <w:p w14:paraId="112C16DC"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60%</w:t>
            </w:r>
          </w:p>
        </w:tc>
        <w:tc>
          <w:tcPr>
            <w:tcW w:w="1418" w:type="dxa"/>
            <w:noWrap/>
            <w:hideMark/>
          </w:tcPr>
          <w:p w14:paraId="6375AC3E"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4 694 266,94 zł </w:t>
            </w:r>
          </w:p>
        </w:tc>
        <w:tc>
          <w:tcPr>
            <w:tcW w:w="1417" w:type="dxa"/>
            <w:noWrap/>
            <w:hideMark/>
          </w:tcPr>
          <w:p w14:paraId="345DBAD0"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5 617 569,26 zł </w:t>
            </w:r>
          </w:p>
        </w:tc>
        <w:tc>
          <w:tcPr>
            <w:tcW w:w="1276" w:type="dxa"/>
            <w:noWrap/>
            <w:hideMark/>
          </w:tcPr>
          <w:p w14:paraId="0AD493CF"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1 858,38 zł </w:t>
            </w:r>
          </w:p>
        </w:tc>
        <w:tc>
          <w:tcPr>
            <w:tcW w:w="1134" w:type="dxa"/>
            <w:noWrap/>
            <w:hideMark/>
          </w:tcPr>
          <w:p w14:paraId="1837224D"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3 018,58 zł </w:t>
            </w:r>
          </w:p>
        </w:tc>
      </w:tr>
      <w:tr w:rsidR="00F72E5D" w:rsidRPr="001C7E6A" w14:paraId="1FD297E3" w14:textId="77777777" w:rsidTr="00E24BD3">
        <w:trPr>
          <w:trHeight w:val="6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22329EE2"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w:t>
            </w:r>
          </w:p>
        </w:tc>
        <w:tc>
          <w:tcPr>
            <w:tcW w:w="1584" w:type="dxa"/>
            <w:noWrap/>
            <w:hideMark/>
          </w:tcPr>
          <w:p w14:paraId="0B05F914"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11.4.1, 11.4.2, 11.4.3</w:t>
            </w:r>
          </w:p>
        </w:tc>
        <w:tc>
          <w:tcPr>
            <w:tcW w:w="2376" w:type="dxa"/>
            <w:hideMark/>
          </w:tcPr>
          <w:p w14:paraId="7F3137D9"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Liczba osób o niskich kwalifikacjach, które uzyskały kwalifikacje lub nabyły </w:t>
            </w:r>
            <w:r w:rsidR="004A3091" w:rsidRPr="00E24BD3">
              <w:rPr>
                <w:rFonts w:ascii="Calibri" w:eastAsia="Times New Roman" w:hAnsi="Calibri" w:cs="Calibri"/>
                <w:color w:val="000000"/>
                <w:sz w:val="16"/>
                <w:szCs w:val="16"/>
                <w:lang w:eastAsia="pl-PL"/>
              </w:rPr>
              <w:t>kompetencje</w:t>
            </w:r>
            <w:r w:rsidRPr="00E24BD3">
              <w:rPr>
                <w:rFonts w:ascii="Calibri" w:eastAsia="Times New Roman" w:hAnsi="Calibri" w:cs="Calibri"/>
                <w:color w:val="000000"/>
                <w:sz w:val="16"/>
                <w:szCs w:val="16"/>
                <w:lang w:eastAsia="pl-PL"/>
              </w:rPr>
              <w:t xml:space="preserve"> po opuszczeniu programu</w:t>
            </w:r>
          </w:p>
        </w:tc>
        <w:tc>
          <w:tcPr>
            <w:tcW w:w="1276" w:type="dxa"/>
            <w:noWrap/>
            <w:hideMark/>
          </w:tcPr>
          <w:p w14:paraId="1E3879E5"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9247</w:t>
            </w:r>
          </w:p>
        </w:tc>
        <w:tc>
          <w:tcPr>
            <w:tcW w:w="709" w:type="dxa"/>
            <w:noWrap/>
            <w:hideMark/>
          </w:tcPr>
          <w:p w14:paraId="77A8F59E"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49</w:t>
            </w:r>
          </w:p>
        </w:tc>
        <w:tc>
          <w:tcPr>
            <w:tcW w:w="850" w:type="dxa"/>
            <w:noWrap/>
            <w:hideMark/>
          </w:tcPr>
          <w:p w14:paraId="27E3ADC7"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2355</w:t>
            </w:r>
          </w:p>
        </w:tc>
        <w:tc>
          <w:tcPr>
            <w:tcW w:w="709" w:type="dxa"/>
            <w:noWrap/>
            <w:hideMark/>
          </w:tcPr>
          <w:p w14:paraId="648E7D0A"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w:t>
            </w:r>
          </w:p>
        </w:tc>
        <w:tc>
          <w:tcPr>
            <w:tcW w:w="850" w:type="dxa"/>
            <w:noWrap/>
            <w:hideMark/>
          </w:tcPr>
          <w:p w14:paraId="495FC8FE"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25%</w:t>
            </w:r>
          </w:p>
        </w:tc>
        <w:tc>
          <w:tcPr>
            <w:tcW w:w="1418" w:type="dxa"/>
            <w:noWrap/>
            <w:hideMark/>
          </w:tcPr>
          <w:p w14:paraId="7AAE8260"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150 758,53 zł </w:t>
            </w:r>
          </w:p>
        </w:tc>
        <w:tc>
          <w:tcPr>
            <w:tcW w:w="1417" w:type="dxa"/>
            <w:noWrap/>
            <w:hideMark/>
          </w:tcPr>
          <w:p w14:paraId="13CC8F5E"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3 119 070,16 zł </w:t>
            </w:r>
          </w:p>
        </w:tc>
        <w:tc>
          <w:tcPr>
            <w:tcW w:w="1276" w:type="dxa"/>
            <w:noWrap/>
            <w:hideMark/>
          </w:tcPr>
          <w:p w14:paraId="29A4D19B"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3 076,70 zł </w:t>
            </w:r>
          </w:p>
        </w:tc>
        <w:tc>
          <w:tcPr>
            <w:tcW w:w="1134" w:type="dxa"/>
            <w:noWrap/>
            <w:hideMark/>
          </w:tcPr>
          <w:p w14:paraId="3309F396"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1 324,45 zł </w:t>
            </w:r>
          </w:p>
        </w:tc>
      </w:tr>
      <w:tr w:rsidR="00F72E5D" w:rsidRPr="001C7E6A" w14:paraId="6134E982" w14:textId="77777777" w:rsidTr="00593B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6D19A37F"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w:t>
            </w:r>
          </w:p>
        </w:tc>
        <w:tc>
          <w:tcPr>
            <w:tcW w:w="1584" w:type="dxa"/>
            <w:noWrap/>
            <w:hideMark/>
          </w:tcPr>
          <w:p w14:paraId="0BA23CA5"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11.4.1, 11.4.2, 11.4.3</w:t>
            </w:r>
          </w:p>
        </w:tc>
        <w:tc>
          <w:tcPr>
            <w:tcW w:w="2376" w:type="dxa"/>
            <w:hideMark/>
          </w:tcPr>
          <w:p w14:paraId="69FD4301"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Liczba osób w wieku 50 lat i więcej, które uzyskały kwalifikacje lub nabyły </w:t>
            </w:r>
            <w:r w:rsidR="004A3091" w:rsidRPr="00E24BD3">
              <w:rPr>
                <w:rFonts w:ascii="Calibri" w:eastAsia="Times New Roman" w:hAnsi="Calibri" w:cs="Calibri"/>
                <w:color w:val="000000"/>
                <w:sz w:val="16"/>
                <w:szCs w:val="16"/>
                <w:lang w:eastAsia="pl-PL"/>
              </w:rPr>
              <w:t>kompetencje</w:t>
            </w:r>
            <w:r w:rsidRPr="00E24BD3">
              <w:rPr>
                <w:rFonts w:ascii="Calibri" w:eastAsia="Times New Roman" w:hAnsi="Calibri" w:cs="Calibri"/>
                <w:color w:val="000000"/>
                <w:sz w:val="16"/>
                <w:szCs w:val="16"/>
                <w:lang w:eastAsia="pl-PL"/>
              </w:rPr>
              <w:t xml:space="preserve"> po opuszczeniu programu</w:t>
            </w:r>
          </w:p>
        </w:tc>
        <w:tc>
          <w:tcPr>
            <w:tcW w:w="1276" w:type="dxa"/>
            <w:noWrap/>
            <w:hideMark/>
          </w:tcPr>
          <w:p w14:paraId="34007EFE"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2176</w:t>
            </w:r>
          </w:p>
        </w:tc>
        <w:tc>
          <w:tcPr>
            <w:tcW w:w="709" w:type="dxa"/>
            <w:noWrap/>
            <w:hideMark/>
          </w:tcPr>
          <w:p w14:paraId="121492E5"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33</w:t>
            </w:r>
          </w:p>
        </w:tc>
        <w:tc>
          <w:tcPr>
            <w:tcW w:w="850" w:type="dxa"/>
            <w:noWrap/>
            <w:hideMark/>
          </w:tcPr>
          <w:p w14:paraId="3A540CA5"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799</w:t>
            </w:r>
          </w:p>
        </w:tc>
        <w:tc>
          <w:tcPr>
            <w:tcW w:w="709" w:type="dxa"/>
            <w:noWrap/>
            <w:hideMark/>
          </w:tcPr>
          <w:p w14:paraId="4575EB49"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2%</w:t>
            </w:r>
          </w:p>
        </w:tc>
        <w:tc>
          <w:tcPr>
            <w:tcW w:w="850" w:type="dxa"/>
            <w:noWrap/>
            <w:hideMark/>
          </w:tcPr>
          <w:p w14:paraId="57D02516"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37%</w:t>
            </w:r>
          </w:p>
        </w:tc>
        <w:tc>
          <w:tcPr>
            <w:tcW w:w="1418" w:type="dxa"/>
            <w:noWrap/>
            <w:hideMark/>
          </w:tcPr>
          <w:p w14:paraId="672BA777"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150 758,53 zł </w:t>
            </w:r>
          </w:p>
        </w:tc>
        <w:tc>
          <w:tcPr>
            <w:tcW w:w="1417" w:type="dxa"/>
            <w:noWrap/>
            <w:hideMark/>
          </w:tcPr>
          <w:p w14:paraId="10C45E58"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3 119 070,16 zł </w:t>
            </w:r>
          </w:p>
        </w:tc>
        <w:tc>
          <w:tcPr>
            <w:tcW w:w="1276" w:type="dxa"/>
            <w:noWrap/>
            <w:hideMark/>
          </w:tcPr>
          <w:p w14:paraId="58640ED7" w14:textId="77777777" w:rsidR="00F72E5D" w:rsidRPr="009F10DC"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9F10DC">
              <w:rPr>
                <w:rFonts w:ascii="Calibri" w:eastAsia="Times New Roman" w:hAnsi="Calibri" w:cs="Calibri"/>
                <w:color w:val="000000"/>
                <w:sz w:val="16"/>
                <w:szCs w:val="16"/>
                <w:lang w:eastAsia="pl-PL"/>
              </w:rPr>
              <w:t xml:space="preserve"> 4 568,44 zł </w:t>
            </w:r>
          </w:p>
        </w:tc>
        <w:tc>
          <w:tcPr>
            <w:tcW w:w="1134" w:type="dxa"/>
            <w:noWrap/>
            <w:hideMark/>
          </w:tcPr>
          <w:p w14:paraId="119A22C7"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3 903,72 zł </w:t>
            </w:r>
          </w:p>
        </w:tc>
      </w:tr>
      <w:tr w:rsidR="00F72E5D" w:rsidRPr="001C7E6A" w14:paraId="6A8FBA24" w14:textId="77777777" w:rsidTr="00E24BD3">
        <w:trPr>
          <w:trHeight w:val="6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45EF096D"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w:t>
            </w:r>
          </w:p>
        </w:tc>
        <w:tc>
          <w:tcPr>
            <w:tcW w:w="1584" w:type="dxa"/>
            <w:noWrap/>
            <w:hideMark/>
          </w:tcPr>
          <w:p w14:paraId="7E497555"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11.4.1, 11.4.2, 11.4.3</w:t>
            </w:r>
          </w:p>
        </w:tc>
        <w:tc>
          <w:tcPr>
            <w:tcW w:w="2376" w:type="dxa"/>
            <w:hideMark/>
          </w:tcPr>
          <w:p w14:paraId="63273CCE"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osób w wieku 25 lat i więcej, które uzyskały kwalifikacje lub nabyły kompetencje po opuszczeniu programu</w:t>
            </w:r>
          </w:p>
        </w:tc>
        <w:tc>
          <w:tcPr>
            <w:tcW w:w="1276" w:type="dxa"/>
            <w:noWrap/>
            <w:hideMark/>
          </w:tcPr>
          <w:p w14:paraId="73549FA5"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8704</w:t>
            </w:r>
          </w:p>
        </w:tc>
        <w:tc>
          <w:tcPr>
            <w:tcW w:w="709" w:type="dxa"/>
            <w:noWrap/>
            <w:hideMark/>
          </w:tcPr>
          <w:p w14:paraId="107D83F7"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85</w:t>
            </w:r>
          </w:p>
        </w:tc>
        <w:tc>
          <w:tcPr>
            <w:tcW w:w="850" w:type="dxa"/>
            <w:noWrap/>
            <w:hideMark/>
          </w:tcPr>
          <w:p w14:paraId="3A3C5A7F"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4403</w:t>
            </w:r>
          </w:p>
        </w:tc>
        <w:tc>
          <w:tcPr>
            <w:tcW w:w="709" w:type="dxa"/>
            <w:noWrap/>
            <w:hideMark/>
          </w:tcPr>
          <w:p w14:paraId="386883B8"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w:t>
            </w:r>
          </w:p>
        </w:tc>
        <w:tc>
          <w:tcPr>
            <w:tcW w:w="850" w:type="dxa"/>
            <w:noWrap/>
            <w:hideMark/>
          </w:tcPr>
          <w:p w14:paraId="1C91EB8F"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51%</w:t>
            </w:r>
          </w:p>
        </w:tc>
        <w:tc>
          <w:tcPr>
            <w:tcW w:w="1418" w:type="dxa"/>
            <w:noWrap/>
            <w:hideMark/>
          </w:tcPr>
          <w:p w14:paraId="25068BE4"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150 758,53 zł </w:t>
            </w:r>
          </w:p>
        </w:tc>
        <w:tc>
          <w:tcPr>
            <w:tcW w:w="1417" w:type="dxa"/>
            <w:noWrap/>
            <w:hideMark/>
          </w:tcPr>
          <w:p w14:paraId="0731737D"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3 119 070,16 zł </w:t>
            </w:r>
          </w:p>
        </w:tc>
        <w:tc>
          <w:tcPr>
            <w:tcW w:w="1276" w:type="dxa"/>
            <w:noWrap/>
            <w:hideMark/>
          </w:tcPr>
          <w:p w14:paraId="0F2824BB" w14:textId="77777777" w:rsidR="00F72E5D" w:rsidRPr="009F10DC"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9F10DC">
              <w:rPr>
                <w:rFonts w:ascii="Calibri" w:eastAsia="Times New Roman" w:hAnsi="Calibri" w:cs="Calibri"/>
                <w:color w:val="000000"/>
                <w:sz w:val="16"/>
                <w:szCs w:val="16"/>
                <w:lang w:eastAsia="pl-PL"/>
              </w:rPr>
              <w:t xml:space="preserve"> 1 773,63 zł </w:t>
            </w:r>
          </w:p>
        </w:tc>
        <w:tc>
          <w:tcPr>
            <w:tcW w:w="1134" w:type="dxa"/>
            <w:noWrap/>
            <w:hideMark/>
          </w:tcPr>
          <w:p w14:paraId="1215D4C1"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708,40 zł </w:t>
            </w:r>
          </w:p>
        </w:tc>
      </w:tr>
      <w:tr w:rsidR="00F72E5D" w:rsidRPr="001C7E6A" w14:paraId="19176199" w14:textId="77777777" w:rsidTr="00593B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26E4E29A"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w:t>
            </w:r>
          </w:p>
        </w:tc>
        <w:tc>
          <w:tcPr>
            <w:tcW w:w="1584" w:type="dxa"/>
            <w:noWrap/>
            <w:hideMark/>
          </w:tcPr>
          <w:p w14:paraId="35D5FA86"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11.4.1, 11.4.2, 11.4.3</w:t>
            </w:r>
          </w:p>
        </w:tc>
        <w:tc>
          <w:tcPr>
            <w:tcW w:w="2376" w:type="dxa"/>
            <w:hideMark/>
          </w:tcPr>
          <w:p w14:paraId="6CF8B294"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osób o niskich kwalifikacjach objętych wsparciem w programie</w:t>
            </w:r>
          </w:p>
        </w:tc>
        <w:tc>
          <w:tcPr>
            <w:tcW w:w="1276" w:type="dxa"/>
            <w:noWrap/>
            <w:hideMark/>
          </w:tcPr>
          <w:p w14:paraId="1BE7D80C"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15412</w:t>
            </w:r>
          </w:p>
        </w:tc>
        <w:tc>
          <w:tcPr>
            <w:tcW w:w="709" w:type="dxa"/>
            <w:noWrap/>
            <w:hideMark/>
          </w:tcPr>
          <w:p w14:paraId="2857F6A3"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432</w:t>
            </w:r>
          </w:p>
        </w:tc>
        <w:tc>
          <w:tcPr>
            <w:tcW w:w="850" w:type="dxa"/>
            <w:noWrap/>
            <w:hideMark/>
          </w:tcPr>
          <w:p w14:paraId="519DA07C"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4460</w:t>
            </w:r>
          </w:p>
        </w:tc>
        <w:tc>
          <w:tcPr>
            <w:tcW w:w="709" w:type="dxa"/>
            <w:noWrap/>
            <w:hideMark/>
          </w:tcPr>
          <w:p w14:paraId="272283A6"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3%</w:t>
            </w:r>
          </w:p>
        </w:tc>
        <w:tc>
          <w:tcPr>
            <w:tcW w:w="850" w:type="dxa"/>
            <w:noWrap/>
            <w:hideMark/>
          </w:tcPr>
          <w:p w14:paraId="72213F88"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29%</w:t>
            </w:r>
          </w:p>
        </w:tc>
        <w:tc>
          <w:tcPr>
            <w:tcW w:w="1418" w:type="dxa"/>
            <w:noWrap/>
            <w:hideMark/>
          </w:tcPr>
          <w:p w14:paraId="008F4882"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150 758,53 zł </w:t>
            </w:r>
          </w:p>
        </w:tc>
        <w:tc>
          <w:tcPr>
            <w:tcW w:w="1417" w:type="dxa"/>
            <w:noWrap/>
            <w:hideMark/>
          </w:tcPr>
          <w:p w14:paraId="13DD5FB2"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3 119 070,16 zł </w:t>
            </w:r>
          </w:p>
        </w:tc>
        <w:tc>
          <w:tcPr>
            <w:tcW w:w="1276" w:type="dxa"/>
            <w:noWrap/>
            <w:hideMark/>
          </w:tcPr>
          <w:p w14:paraId="2EACF98C"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348,98 zł </w:t>
            </w:r>
          </w:p>
        </w:tc>
        <w:tc>
          <w:tcPr>
            <w:tcW w:w="1134" w:type="dxa"/>
            <w:noWrap/>
            <w:hideMark/>
          </w:tcPr>
          <w:p w14:paraId="3CEE3295"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699,34 zł </w:t>
            </w:r>
          </w:p>
        </w:tc>
      </w:tr>
      <w:tr w:rsidR="00F72E5D" w:rsidRPr="001C7E6A" w14:paraId="64825D09" w14:textId="77777777" w:rsidTr="00E24BD3">
        <w:trPr>
          <w:trHeight w:val="3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3107F61C"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w:t>
            </w:r>
          </w:p>
        </w:tc>
        <w:tc>
          <w:tcPr>
            <w:tcW w:w="1584" w:type="dxa"/>
            <w:noWrap/>
            <w:hideMark/>
          </w:tcPr>
          <w:p w14:paraId="19796D9C"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11.4.1, 11.4.2, 11.4.3</w:t>
            </w:r>
          </w:p>
        </w:tc>
        <w:tc>
          <w:tcPr>
            <w:tcW w:w="2376" w:type="dxa"/>
            <w:hideMark/>
          </w:tcPr>
          <w:p w14:paraId="626EC08D"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osób w wieku 50 lat i więcej objętych wsparciem w programie</w:t>
            </w:r>
          </w:p>
        </w:tc>
        <w:tc>
          <w:tcPr>
            <w:tcW w:w="1276" w:type="dxa"/>
            <w:noWrap/>
            <w:hideMark/>
          </w:tcPr>
          <w:p w14:paraId="4DDDDAFB"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3626</w:t>
            </w:r>
          </w:p>
        </w:tc>
        <w:tc>
          <w:tcPr>
            <w:tcW w:w="709" w:type="dxa"/>
            <w:noWrap/>
            <w:hideMark/>
          </w:tcPr>
          <w:p w14:paraId="5326AF64"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154</w:t>
            </w:r>
          </w:p>
        </w:tc>
        <w:tc>
          <w:tcPr>
            <w:tcW w:w="850" w:type="dxa"/>
            <w:noWrap/>
            <w:hideMark/>
          </w:tcPr>
          <w:p w14:paraId="0E2371DD"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1819</w:t>
            </w:r>
          </w:p>
        </w:tc>
        <w:tc>
          <w:tcPr>
            <w:tcW w:w="709" w:type="dxa"/>
            <w:noWrap/>
            <w:hideMark/>
          </w:tcPr>
          <w:p w14:paraId="00D3D94C"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w:t>
            </w:r>
          </w:p>
        </w:tc>
        <w:tc>
          <w:tcPr>
            <w:tcW w:w="850" w:type="dxa"/>
            <w:noWrap/>
            <w:hideMark/>
          </w:tcPr>
          <w:p w14:paraId="5A43D9F4"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50%</w:t>
            </w:r>
          </w:p>
        </w:tc>
        <w:tc>
          <w:tcPr>
            <w:tcW w:w="1418" w:type="dxa"/>
            <w:noWrap/>
            <w:hideMark/>
          </w:tcPr>
          <w:p w14:paraId="780D38F5"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150 758,53 zł </w:t>
            </w:r>
          </w:p>
        </w:tc>
        <w:tc>
          <w:tcPr>
            <w:tcW w:w="1417" w:type="dxa"/>
            <w:noWrap/>
            <w:hideMark/>
          </w:tcPr>
          <w:p w14:paraId="2E4F1A12"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3 119 070,16 zł </w:t>
            </w:r>
          </w:p>
        </w:tc>
        <w:tc>
          <w:tcPr>
            <w:tcW w:w="1276" w:type="dxa"/>
            <w:noWrap/>
            <w:hideMark/>
          </w:tcPr>
          <w:p w14:paraId="2BA8032D"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978,95 zł </w:t>
            </w:r>
          </w:p>
        </w:tc>
        <w:tc>
          <w:tcPr>
            <w:tcW w:w="1134" w:type="dxa"/>
            <w:noWrap/>
            <w:hideMark/>
          </w:tcPr>
          <w:p w14:paraId="678E98A2"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1 714,72 zł </w:t>
            </w:r>
          </w:p>
        </w:tc>
      </w:tr>
      <w:tr w:rsidR="00F72E5D" w:rsidRPr="001C7E6A" w14:paraId="656D197F" w14:textId="77777777" w:rsidTr="00593B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78380878"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w:t>
            </w:r>
          </w:p>
        </w:tc>
        <w:tc>
          <w:tcPr>
            <w:tcW w:w="1584" w:type="dxa"/>
            <w:noWrap/>
            <w:hideMark/>
          </w:tcPr>
          <w:p w14:paraId="18A9DA82"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11.4.1, 11.4.2, 11.4.3</w:t>
            </w:r>
          </w:p>
        </w:tc>
        <w:tc>
          <w:tcPr>
            <w:tcW w:w="2376" w:type="dxa"/>
            <w:hideMark/>
          </w:tcPr>
          <w:p w14:paraId="47306AE4"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osób w wieku 25 lat i więcej objętych wsparciem w programie</w:t>
            </w:r>
          </w:p>
        </w:tc>
        <w:tc>
          <w:tcPr>
            <w:tcW w:w="1276" w:type="dxa"/>
            <w:noWrap/>
            <w:hideMark/>
          </w:tcPr>
          <w:p w14:paraId="2781997A"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14506</w:t>
            </w:r>
          </w:p>
        </w:tc>
        <w:tc>
          <w:tcPr>
            <w:tcW w:w="709" w:type="dxa"/>
            <w:noWrap/>
            <w:hideMark/>
          </w:tcPr>
          <w:p w14:paraId="31E99F55"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615</w:t>
            </w:r>
          </w:p>
        </w:tc>
        <w:tc>
          <w:tcPr>
            <w:tcW w:w="850" w:type="dxa"/>
            <w:noWrap/>
            <w:hideMark/>
          </w:tcPr>
          <w:p w14:paraId="6A925AB1"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9130</w:t>
            </w:r>
          </w:p>
        </w:tc>
        <w:tc>
          <w:tcPr>
            <w:tcW w:w="709" w:type="dxa"/>
            <w:noWrap/>
            <w:hideMark/>
          </w:tcPr>
          <w:p w14:paraId="0BAE17D6"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w:t>
            </w:r>
          </w:p>
        </w:tc>
        <w:tc>
          <w:tcPr>
            <w:tcW w:w="850" w:type="dxa"/>
            <w:noWrap/>
            <w:hideMark/>
          </w:tcPr>
          <w:p w14:paraId="30D536EC"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63%</w:t>
            </w:r>
          </w:p>
        </w:tc>
        <w:tc>
          <w:tcPr>
            <w:tcW w:w="1418" w:type="dxa"/>
            <w:noWrap/>
            <w:hideMark/>
          </w:tcPr>
          <w:p w14:paraId="7EA8CED4"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150 758,53 zł </w:t>
            </w:r>
          </w:p>
        </w:tc>
        <w:tc>
          <w:tcPr>
            <w:tcW w:w="1417" w:type="dxa"/>
            <w:noWrap/>
            <w:hideMark/>
          </w:tcPr>
          <w:p w14:paraId="2D1385B7"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3 119 070,16 zł </w:t>
            </w:r>
          </w:p>
        </w:tc>
        <w:tc>
          <w:tcPr>
            <w:tcW w:w="1276" w:type="dxa"/>
            <w:noWrap/>
            <w:hideMark/>
          </w:tcPr>
          <w:p w14:paraId="60FD8A21"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245,14 zł </w:t>
            </w:r>
          </w:p>
        </w:tc>
        <w:tc>
          <w:tcPr>
            <w:tcW w:w="1134" w:type="dxa"/>
            <w:noWrap/>
            <w:hideMark/>
          </w:tcPr>
          <w:p w14:paraId="79A90D38"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341,63 zł </w:t>
            </w:r>
          </w:p>
        </w:tc>
      </w:tr>
      <w:tr w:rsidR="00F72E5D" w:rsidRPr="001C7E6A" w14:paraId="2CF6C03A" w14:textId="77777777" w:rsidTr="00E24BD3">
        <w:trPr>
          <w:trHeight w:val="6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25781C97"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w:t>
            </w:r>
          </w:p>
        </w:tc>
        <w:tc>
          <w:tcPr>
            <w:tcW w:w="1584" w:type="dxa"/>
            <w:noWrap/>
            <w:hideMark/>
          </w:tcPr>
          <w:p w14:paraId="0BEDA593"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11.2.1, 11.2.2, 11.2.3</w:t>
            </w:r>
          </w:p>
        </w:tc>
        <w:tc>
          <w:tcPr>
            <w:tcW w:w="2376" w:type="dxa"/>
            <w:hideMark/>
          </w:tcPr>
          <w:p w14:paraId="36F5AE47"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szkół i placówek kształcenia zawodowego wykorzystujących doposażenie zakupione dzięki EFS</w:t>
            </w:r>
          </w:p>
        </w:tc>
        <w:tc>
          <w:tcPr>
            <w:tcW w:w="1276" w:type="dxa"/>
            <w:noWrap/>
            <w:hideMark/>
          </w:tcPr>
          <w:p w14:paraId="0A2BA446"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67</w:t>
            </w:r>
          </w:p>
        </w:tc>
        <w:tc>
          <w:tcPr>
            <w:tcW w:w="709" w:type="dxa"/>
            <w:noWrap/>
            <w:hideMark/>
          </w:tcPr>
          <w:p w14:paraId="4749DA09"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55</w:t>
            </w:r>
          </w:p>
        </w:tc>
        <w:tc>
          <w:tcPr>
            <w:tcW w:w="850" w:type="dxa"/>
            <w:noWrap/>
            <w:hideMark/>
          </w:tcPr>
          <w:p w14:paraId="773E657B"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9</w:t>
            </w:r>
          </w:p>
        </w:tc>
        <w:tc>
          <w:tcPr>
            <w:tcW w:w="709" w:type="dxa"/>
            <w:noWrap/>
            <w:hideMark/>
          </w:tcPr>
          <w:p w14:paraId="2FC81433"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82%</w:t>
            </w:r>
          </w:p>
        </w:tc>
        <w:tc>
          <w:tcPr>
            <w:tcW w:w="850" w:type="dxa"/>
            <w:noWrap/>
            <w:hideMark/>
          </w:tcPr>
          <w:p w14:paraId="29BBAD63"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13%</w:t>
            </w:r>
          </w:p>
        </w:tc>
        <w:tc>
          <w:tcPr>
            <w:tcW w:w="1418" w:type="dxa"/>
            <w:noWrap/>
            <w:hideMark/>
          </w:tcPr>
          <w:p w14:paraId="1FF78609"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9 428 829,92 zł </w:t>
            </w:r>
          </w:p>
        </w:tc>
        <w:tc>
          <w:tcPr>
            <w:tcW w:w="1417" w:type="dxa"/>
            <w:noWrap/>
            <w:hideMark/>
          </w:tcPr>
          <w:p w14:paraId="75DDBD4A"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2 428 873,57 zł </w:t>
            </w:r>
          </w:p>
        </w:tc>
        <w:tc>
          <w:tcPr>
            <w:tcW w:w="1276" w:type="dxa"/>
            <w:noWrap/>
            <w:hideMark/>
          </w:tcPr>
          <w:p w14:paraId="56B3BEA9"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171 433,27 zł </w:t>
            </w:r>
          </w:p>
        </w:tc>
        <w:tc>
          <w:tcPr>
            <w:tcW w:w="1134" w:type="dxa"/>
            <w:noWrap/>
            <w:hideMark/>
          </w:tcPr>
          <w:p w14:paraId="48A6401F"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269 874,84 zł </w:t>
            </w:r>
          </w:p>
        </w:tc>
      </w:tr>
      <w:tr w:rsidR="00F72E5D" w:rsidRPr="001C7E6A" w14:paraId="5834A885" w14:textId="77777777" w:rsidTr="00593B7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1139382E"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w:t>
            </w:r>
          </w:p>
        </w:tc>
        <w:tc>
          <w:tcPr>
            <w:tcW w:w="1584" w:type="dxa"/>
            <w:noWrap/>
            <w:hideMark/>
          </w:tcPr>
          <w:p w14:paraId="5B2CFEA6"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11.2.1, 11.2.2, 11.2.3</w:t>
            </w:r>
          </w:p>
        </w:tc>
        <w:tc>
          <w:tcPr>
            <w:tcW w:w="2376" w:type="dxa"/>
            <w:hideMark/>
          </w:tcPr>
          <w:p w14:paraId="6831FA26"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Liczba nauczycieli kształcenia zawodowego oraz instruktorów praktycznej nauki zawodu, którzy uzyskali kwalifikacje lub nabyli </w:t>
            </w:r>
            <w:r w:rsidR="004A3091" w:rsidRPr="00E24BD3">
              <w:rPr>
                <w:rFonts w:ascii="Calibri" w:eastAsia="Times New Roman" w:hAnsi="Calibri" w:cs="Calibri"/>
                <w:color w:val="000000"/>
                <w:sz w:val="16"/>
                <w:szCs w:val="16"/>
                <w:lang w:eastAsia="pl-PL"/>
              </w:rPr>
              <w:t>kompetencje</w:t>
            </w:r>
            <w:r w:rsidRPr="00E24BD3">
              <w:rPr>
                <w:rFonts w:ascii="Calibri" w:eastAsia="Times New Roman" w:hAnsi="Calibri" w:cs="Calibri"/>
                <w:color w:val="000000"/>
                <w:sz w:val="16"/>
                <w:szCs w:val="16"/>
                <w:lang w:eastAsia="pl-PL"/>
              </w:rPr>
              <w:t xml:space="preserve"> po opuszczeniu programu</w:t>
            </w:r>
          </w:p>
        </w:tc>
        <w:tc>
          <w:tcPr>
            <w:tcW w:w="1276" w:type="dxa"/>
            <w:noWrap/>
            <w:hideMark/>
          </w:tcPr>
          <w:p w14:paraId="60566775"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215</w:t>
            </w:r>
          </w:p>
        </w:tc>
        <w:tc>
          <w:tcPr>
            <w:tcW w:w="709" w:type="dxa"/>
            <w:noWrap/>
            <w:hideMark/>
          </w:tcPr>
          <w:p w14:paraId="6DCBE3AB"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351</w:t>
            </w:r>
          </w:p>
        </w:tc>
        <w:tc>
          <w:tcPr>
            <w:tcW w:w="850" w:type="dxa"/>
            <w:noWrap/>
            <w:hideMark/>
          </w:tcPr>
          <w:p w14:paraId="41EA141A"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65</w:t>
            </w:r>
          </w:p>
        </w:tc>
        <w:tc>
          <w:tcPr>
            <w:tcW w:w="709" w:type="dxa"/>
            <w:noWrap/>
            <w:hideMark/>
          </w:tcPr>
          <w:p w14:paraId="4C120263"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163%</w:t>
            </w:r>
          </w:p>
        </w:tc>
        <w:tc>
          <w:tcPr>
            <w:tcW w:w="850" w:type="dxa"/>
            <w:noWrap/>
            <w:hideMark/>
          </w:tcPr>
          <w:p w14:paraId="69F25ABE"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30%</w:t>
            </w:r>
          </w:p>
        </w:tc>
        <w:tc>
          <w:tcPr>
            <w:tcW w:w="1418" w:type="dxa"/>
            <w:noWrap/>
            <w:hideMark/>
          </w:tcPr>
          <w:p w14:paraId="11900F81"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9 428 829,92 zł </w:t>
            </w:r>
          </w:p>
        </w:tc>
        <w:tc>
          <w:tcPr>
            <w:tcW w:w="1417" w:type="dxa"/>
            <w:noWrap/>
            <w:hideMark/>
          </w:tcPr>
          <w:p w14:paraId="5EAF9197"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2 428 873,57 zł </w:t>
            </w:r>
          </w:p>
        </w:tc>
        <w:tc>
          <w:tcPr>
            <w:tcW w:w="1276" w:type="dxa"/>
            <w:noWrap/>
            <w:hideMark/>
          </w:tcPr>
          <w:p w14:paraId="107143DF"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26 862,76 zł </w:t>
            </w:r>
          </w:p>
        </w:tc>
        <w:tc>
          <w:tcPr>
            <w:tcW w:w="1134" w:type="dxa"/>
            <w:noWrap/>
            <w:hideMark/>
          </w:tcPr>
          <w:p w14:paraId="644578B5"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37 367,29 zł </w:t>
            </w:r>
          </w:p>
        </w:tc>
      </w:tr>
      <w:tr w:rsidR="00F72E5D" w:rsidRPr="001C7E6A" w14:paraId="44074D25" w14:textId="77777777" w:rsidTr="00E24BD3">
        <w:trPr>
          <w:trHeight w:val="6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7731DE50"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w:t>
            </w:r>
          </w:p>
        </w:tc>
        <w:tc>
          <w:tcPr>
            <w:tcW w:w="1584" w:type="dxa"/>
            <w:noWrap/>
            <w:hideMark/>
          </w:tcPr>
          <w:p w14:paraId="4F2AA7C3"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11.2.1, 11.2.2, 11.2.3</w:t>
            </w:r>
          </w:p>
        </w:tc>
        <w:tc>
          <w:tcPr>
            <w:tcW w:w="2376" w:type="dxa"/>
            <w:hideMark/>
          </w:tcPr>
          <w:p w14:paraId="3272B1B1"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uczniów, którzy nabyli kompetencje kluczowe lub umiejętności uniwersalne niezbędne na rynku pracy po opuszczeniu programu</w:t>
            </w:r>
          </w:p>
        </w:tc>
        <w:tc>
          <w:tcPr>
            <w:tcW w:w="1276" w:type="dxa"/>
            <w:noWrap/>
            <w:hideMark/>
          </w:tcPr>
          <w:p w14:paraId="7517A292"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1043</w:t>
            </w:r>
          </w:p>
        </w:tc>
        <w:tc>
          <w:tcPr>
            <w:tcW w:w="709" w:type="dxa"/>
            <w:noWrap/>
            <w:hideMark/>
          </w:tcPr>
          <w:p w14:paraId="26C4C1FD"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0</w:t>
            </w:r>
          </w:p>
        </w:tc>
        <w:tc>
          <w:tcPr>
            <w:tcW w:w="850" w:type="dxa"/>
            <w:noWrap/>
            <w:hideMark/>
          </w:tcPr>
          <w:p w14:paraId="6552BFA1"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0</w:t>
            </w:r>
          </w:p>
        </w:tc>
        <w:tc>
          <w:tcPr>
            <w:tcW w:w="709" w:type="dxa"/>
            <w:noWrap/>
            <w:hideMark/>
          </w:tcPr>
          <w:p w14:paraId="328E7096"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0%</w:t>
            </w:r>
          </w:p>
        </w:tc>
        <w:tc>
          <w:tcPr>
            <w:tcW w:w="850" w:type="dxa"/>
            <w:noWrap/>
            <w:hideMark/>
          </w:tcPr>
          <w:p w14:paraId="1D81EFF4"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0%</w:t>
            </w:r>
          </w:p>
        </w:tc>
        <w:tc>
          <w:tcPr>
            <w:tcW w:w="1418" w:type="dxa"/>
            <w:noWrap/>
            <w:hideMark/>
          </w:tcPr>
          <w:p w14:paraId="1CDF25BB"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9 428 829,92 zł </w:t>
            </w:r>
          </w:p>
        </w:tc>
        <w:tc>
          <w:tcPr>
            <w:tcW w:w="1417" w:type="dxa"/>
            <w:noWrap/>
            <w:hideMark/>
          </w:tcPr>
          <w:p w14:paraId="37B7325A"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2 428 873,57 zł </w:t>
            </w:r>
          </w:p>
        </w:tc>
        <w:tc>
          <w:tcPr>
            <w:tcW w:w="1276" w:type="dxa"/>
            <w:noWrap/>
            <w:hideMark/>
          </w:tcPr>
          <w:p w14:paraId="0A13821D"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 </w:t>
            </w:r>
          </w:p>
        </w:tc>
        <w:tc>
          <w:tcPr>
            <w:tcW w:w="1134" w:type="dxa"/>
            <w:noWrap/>
            <w:hideMark/>
          </w:tcPr>
          <w:p w14:paraId="297336BA"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 </w:t>
            </w:r>
          </w:p>
        </w:tc>
      </w:tr>
      <w:tr w:rsidR="00F72E5D" w:rsidRPr="001C7E6A" w14:paraId="1D0132E0" w14:textId="77777777" w:rsidTr="00593B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67275A88"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w:t>
            </w:r>
          </w:p>
        </w:tc>
        <w:tc>
          <w:tcPr>
            <w:tcW w:w="1584" w:type="dxa"/>
            <w:noWrap/>
            <w:hideMark/>
          </w:tcPr>
          <w:p w14:paraId="6BC9084B"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11.2.1, 11.2.2, 11.2.3</w:t>
            </w:r>
          </w:p>
        </w:tc>
        <w:tc>
          <w:tcPr>
            <w:tcW w:w="2376" w:type="dxa"/>
            <w:hideMark/>
          </w:tcPr>
          <w:p w14:paraId="1A500CE0"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uczniów szkół i placówek kształcenia zawodowego uczestniczących w stażach i praktykach u pracodawcy</w:t>
            </w:r>
          </w:p>
        </w:tc>
        <w:tc>
          <w:tcPr>
            <w:tcW w:w="1276" w:type="dxa"/>
            <w:noWrap/>
            <w:hideMark/>
          </w:tcPr>
          <w:p w14:paraId="0C0AA8F2"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6066</w:t>
            </w:r>
          </w:p>
        </w:tc>
        <w:tc>
          <w:tcPr>
            <w:tcW w:w="709" w:type="dxa"/>
            <w:noWrap/>
            <w:hideMark/>
          </w:tcPr>
          <w:p w14:paraId="10000EE7"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4548</w:t>
            </w:r>
          </w:p>
        </w:tc>
        <w:tc>
          <w:tcPr>
            <w:tcW w:w="850" w:type="dxa"/>
            <w:noWrap/>
            <w:hideMark/>
          </w:tcPr>
          <w:p w14:paraId="6D48763A"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784</w:t>
            </w:r>
          </w:p>
        </w:tc>
        <w:tc>
          <w:tcPr>
            <w:tcW w:w="709" w:type="dxa"/>
            <w:noWrap/>
            <w:hideMark/>
          </w:tcPr>
          <w:p w14:paraId="0FEC85C3"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75%</w:t>
            </w:r>
          </w:p>
        </w:tc>
        <w:tc>
          <w:tcPr>
            <w:tcW w:w="850" w:type="dxa"/>
            <w:noWrap/>
            <w:hideMark/>
          </w:tcPr>
          <w:p w14:paraId="7FD43286"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13%</w:t>
            </w:r>
          </w:p>
        </w:tc>
        <w:tc>
          <w:tcPr>
            <w:tcW w:w="1418" w:type="dxa"/>
            <w:noWrap/>
            <w:hideMark/>
          </w:tcPr>
          <w:p w14:paraId="0AA330B9"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9 428 829,92 zł </w:t>
            </w:r>
          </w:p>
        </w:tc>
        <w:tc>
          <w:tcPr>
            <w:tcW w:w="1417" w:type="dxa"/>
            <w:noWrap/>
            <w:hideMark/>
          </w:tcPr>
          <w:p w14:paraId="3190EE5E"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2 428 873,57 zł </w:t>
            </w:r>
          </w:p>
        </w:tc>
        <w:tc>
          <w:tcPr>
            <w:tcW w:w="1276" w:type="dxa"/>
            <w:noWrap/>
            <w:hideMark/>
          </w:tcPr>
          <w:p w14:paraId="201558BA"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2 073,18 zł </w:t>
            </w:r>
          </w:p>
        </w:tc>
        <w:tc>
          <w:tcPr>
            <w:tcW w:w="1134" w:type="dxa"/>
            <w:noWrap/>
            <w:hideMark/>
          </w:tcPr>
          <w:p w14:paraId="6DF9A378"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3 098,05 zł </w:t>
            </w:r>
          </w:p>
        </w:tc>
      </w:tr>
      <w:tr w:rsidR="00F72E5D" w:rsidRPr="001C7E6A" w14:paraId="4A5148C9" w14:textId="77777777" w:rsidTr="00E24BD3">
        <w:trPr>
          <w:trHeight w:val="6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52096DA7"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w:t>
            </w:r>
          </w:p>
        </w:tc>
        <w:tc>
          <w:tcPr>
            <w:tcW w:w="1584" w:type="dxa"/>
            <w:noWrap/>
            <w:hideMark/>
          </w:tcPr>
          <w:p w14:paraId="4EC074F0"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11.2.1, 11.2.2, 11.2.3</w:t>
            </w:r>
          </w:p>
        </w:tc>
        <w:tc>
          <w:tcPr>
            <w:tcW w:w="2376" w:type="dxa"/>
            <w:hideMark/>
          </w:tcPr>
          <w:p w14:paraId="4852E9C9"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uczniów objętych wsparciem w zakresie rozwijania kompetencji kluczowych lub umiejętności uniwersalnych niezbędnych na rynku pracy w programie</w:t>
            </w:r>
          </w:p>
        </w:tc>
        <w:tc>
          <w:tcPr>
            <w:tcW w:w="1276" w:type="dxa"/>
            <w:noWrap/>
            <w:hideMark/>
          </w:tcPr>
          <w:p w14:paraId="2FDFB29D"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1897</w:t>
            </w:r>
          </w:p>
        </w:tc>
        <w:tc>
          <w:tcPr>
            <w:tcW w:w="709" w:type="dxa"/>
            <w:noWrap/>
            <w:hideMark/>
          </w:tcPr>
          <w:p w14:paraId="33D40EC6"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0</w:t>
            </w:r>
          </w:p>
        </w:tc>
        <w:tc>
          <w:tcPr>
            <w:tcW w:w="850" w:type="dxa"/>
            <w:noWrap/>
            <w:hideMark/>
          </w:tcPr>
          <w:p w14:paraId="69477E52"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0</w:t>
            </w:r>
          </w:p>
        </w:tc>
        <w:tc>
          <w:tcPr>
            <w:tcW w:w="709" w:type="dxa"/>
            <w:noWrap/>
            <w:hideMark/>
          </w:tcPr>
          <w:p w14:paraId="76C5F90F"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0%</w:t>
            </w:r>
          </w:p>
        </w:tc>
        <w:tc>
          <w:tcPr>
            <w:tcW w:w="850" w:type="dxa"/>
            <w:noWrap/>
            <w:hideMark/>
          </w:tcPr>
          <w:p w14:paraId="23F0BC85"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0%</w:t>
            </w:r>
          </w:p>
        </w:tc>
        <w:tc>
          <w:tcPr>
            <w:tcW w:w="1418" w:type="dxa"/>
            <w:noWrap/>
            <w:hideMark/>
          </w:tcPr>
          <w:p w14:paraId="657D0EC2"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9 428 829,92 zł </w:t>
            </w:r>
          </w:p>
        </w:tc>
        <w:tc>
          <w:tcPr>
            <w:tcW w:w="1417" w:type="dxa"/>
            <w:noWrap/>
            <w:hideMark/>
          </w:tcPr>
          <w:p w14:paraId="09AC1D85"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2 428 873,57 zł </w:t>
            </w:r>
          </w:p>
        </w:tc>
        <w:tc>
          <w:tcPr>
            <w:tcW w:w="1276" w:type="dxa"/>
            <w:noWrap/>
            <w:hideMark/>
          </w:tcPr>
          <w:p w14:paraId="2AF52027"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 </w:t>
            </w:r>
          </w:p>
        </w:tc>
        <w:tc>
          <w:tcPr>
            <w:tcW w:w="1134" w:type="dxa"/>
            <w:noWrap/>
            <w:hideMark/>
          </w:tcPr>
          <w:p w14:paraId="18DF51C9"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 </w:t>
            </w:r>
          </w:p>
        </w:tc>
      </w:tr>
      <w:tr w:rsidR="00F72E5D" w:rsidRPr="001C7E6A" w14:paraId="6A294B33" w14:textId="77777777" w:rsidTr="00593B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2B622CC6"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w:t>
            </w:r>
          </w:p>
        </w:tc>
        <w:tc>
          <w:tcPr>
            <w:tcW w:w="1584" w:type="dxa"/>
            <w:noWrap/>
            <w:hideMark/>
          </w:tcPr>
          <w:p w14:paraId="705C7507"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11.2.1, 11.2.2, 11.2.3</w:t>
            </w:r>
          </w:p>
        </w:tc>
        <w:tc>
          <w:tcPr>
            <w:tcW w:w="2376" w:type="dxa"/>
            <w:hideMark/>
          </w:tcPr>
          <w:p w14:paraId="26028A3A"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nauczycieli kształcenia zawodowego oraz instruktorów praktycznej nauki zawodu objętych wsparciem w programie</w:t>
            </w:r>
          </w:p>
        </w:tc>
        <w:tc>
          <w:tcPr>
            <w:tcW w:w="1276" w:type="dxa"/>
            <w:noWrap/>
            <w:hideMark/>
          </w:tcPr>
          <w:p w14:paraId="4A7D9023"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269</w:t>
            </w:r>
          </w:p>
        </w:tc>
        <w:tc>
          <w:tcPr>
            <w:tcW w:w="709" w:type="dxa"/>
            <w:noWrap/>
            <w:hideMark/>
          </w:tcPr>
          <w:p w14:paraId="4E0F69FA"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358</w:t>
            </w:r>
          </w:p>
        </w:tc>
        <w:tc>
          <w:tcPr>
            <w:tcW w:w="850" w:type="dxa"/>
            <w:noWrap/>
            <w:hideMark/>
          </w:tcPr>
          <w:p w14:paraId="40617ECD"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383</w:t>
            </w:r>
          </w:p>
        </w:tc>
        <w:tc>
          <w:tcPr>
            <w:tcW w:w="709" w:type="dxa"/>
            <w:noWrap/>
            <w:hideMark/>
          </w:tcPr>
          <w:p w14:paraId="774A5649"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133%</w:t>
            </w:r>
          </w:p>
        </w:tc>
        <w:tc>
          <w:tcPr>
            <w:tcW w:w="850" w:type="dxa"/>
            <w:noWrap/>
            <w:hideMark/>
          </w:tcPr>
          <w:p w14:paraId="79DD2A39"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142%</w:t>
            </w:r>
          </w:p>
        </w:tc>
        <w:tc>
          <w:tcPr>
            <w:tcW w:w="1418" w:type="dxa"/>
            <w:noWrap/>
            <w:hideMark/>
          </w:tcPr>
          <w:p w14:paraId="34A9C8B7"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9 428 829,92 zł </w:t>
            </w:r>
          </w:p>
        </w:tc>
        <w:tc>
          <w:tcPr>
            <w:tcW w:w="1417" w:type="dxa"/>
            <w:noWrap/>
            <w:hideMark/>
          </w:tcPr>
          <w:p w14:paraId="7085DFA2"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2 428 873,57 zł </w:t>
            </w:r>
          </w:p>
        </w:tc>
        <w:tc>
          <w:tcPr>
            <w:tcW w:w="1276" w:type="dxa"/>
            <w:noWrap/>
            <w:hideMark/>
          </w:tcPr>
          <w:p w14:paraId="5AE12ACF" w14:textId="77777777" w:rsidR="00F72E5D" w:rsidRPr="009F10DC"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9F10DC">
              <w:rPr>
                <w:rFonts w:ascii="Calibri" w:eastAsia="Times New Roman" w:hAnsi="Calibri" w:cs="Calibri"/>
                <w:color w:val="000000"/>
                <w:sz w:val="16"/>
                <w:szCs w:val="16"/>
                <w:lang w:eastAsia="pl-PL"/>
              </w:rPr>
              <w:t xml:space="preserve"> 26 337,51 zł </w:t>
            </w:r>
          </w:p>
        </w:tc>
        <w:tc>
          <w:tcPr>
            <w:tcW w:w="1134" w:type="dxa"/>
            <w:noWrap/>
            <w:hideMark/>
          </w:tcPr>
          <w:p w14:paraId="0B3422D7" w14:textId="77777777" w:rsidR="00F72E5D" w:rsidRPr="009F10DC"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9F10DC">
              <w:rPr>
                <w:rFonts w:ascii="Calibri" w:eastAsia="Times New Roman" w:hAnsi="Calibri" w:cs="Calibri"/>
                <w:color w:val="000000"/>
                <w:sz w:val="16"/>
                <w:szCs w:val="16"/>
                <w:lang w:eastAsia="pl-PL"/>
              </w:rPr>
              <w:t xml:space="preserve"> 6 341,71 zł </w:t>
            </w:r>
          </w:p>
        </w:tc>
      </w:tr>
      <w:tr w:rsidR="00F72E5D" w:rsidRPr="001C7E6A" w14:paraId="09CF720C" w14:textId="77777777" w:rsidTr="00E24BD3">
        <w:trPr>
          <w:trHeight w:val="6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4D36CD1A"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w:t>
            </w:r>
          </w:p>
        </w:tc>
        <w:tc>
          <w:tcPr>
            <w:tcW w:w="1584" w:type="dxa"/>
            <w:noWrap/>
            <w:hideMark/>
          </w:tcPr>
          <w:p w14:paraId="4A6735A9"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11.2.1, 11.2.2, 11.2.3</w:t>
            </w:r>
          </w:p>
        </w:tc>
        <w:tc>
          <w:tcPr>
            <w:tcW w:w="2376" w:type="dxa"/>
            <w:hideMark/>
          </w:tcPr>
          <w:p w14:paraId="74827EB7"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szkół i placówek kształcenia zawodowego doposażonych w programie w sprzęt i materiały dydaktyczne niezbędne do realizacji kształcenia zawodowego</w:t>
            </w:r>
          </w:p>
        </w:tc>
        <w:tc>
          <w:tcPr>
            <w:tcW w:w="1276" w:type="dxa"/>
            <w:noWrap/>
            <w:hideMark/>
          </w:tcPr>
          <w:p w14:paraId="4D442904"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67</w:t>
            </w:r>
          </w:p>
        </w:tc>
        <w:tc>
          <w:tcPr>
            <w:tcW w:w="709" w:type="dxa"/>
            <w:noWrap/>
            <w:hideMark/>
          </w:tcPr>
          <w:p w14:paraId="4AE66614"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165</w:t>
            </w:r>
          </w:p>
        </w:tc>
        <w:tc>
          <w:tcPr>
            <w:tcW w:w="850" w:type="dxa"/>
            <w:noWrap/>
            <w:hideMark/>
          </w:tcPr>
          <w:p w14:paraId="03E6EF20"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36</w:t>
            </w:r>
          </w:p>
        </w:tc>
        <w:tc>
          <w:tcPr>
            <w:tcW w:w="709" w:type="dxa"/>
            <w:noWrap/>
            <w:hideMark/>
          </w:tcPr>
          <w:p w14:paraId="4D705AA4"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246%</w:t>
            </w:r>
          </w:p>
        </w:tc>
        <w:tc>
          <w:tcPr>
            <w:tcW w:w="850" w:type="dxa"/>
            <w:noWrap/>
            <w:hideMark/>
          </w:tcPr>
          <w:p w14:paraId="6A52325F"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54%</w:t>
            </w:r>
          </w:p>
        </w:tc>
        <w:tc>
          <w:tcPr>
            <w:tcW w:w="1418" w:type="dxa"/>
            <w:noWrap/>
            <w:hideMark/>
          </w:tcPr>
          <w:p w14:paraId="6E635CD2"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9 428 829,92 zł </w:t>
            </w:r>
          </w:p>
        </w:tc>
        <w:tc>
          <w:tcPr>
            <w:tcW w:w="1417" w:type="dxa"/>
            <w:noWrap/>
            <w:hideMark/>
          </w:tcPr>
          <w:p w14:paraId="74ECDD38"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2 428 873,57 zł </w:t>
            </w:r>
          </w:p>
        </w:tc>
        <w:tc>
          <w:tcPr>
            <w:tcW w:w="1276" w:type="dxa"/>
            <w:noWrap/>
            <w:hideMark/>
          </w:tcPr>
          <w:p w14:paraId="3DEFB424" w14:textId="77777777" w:rsidR="00F72E5D" w:rsidRPr="009F10DC"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9F10DC">
              <w:rPr>
                <w:rFonts w:ascii="Calibri" w:eastAsia="Times New Roman" w:hAnsi="Calibri" w:cs="Calibri"/>
                <w:color w:val="000000"/>
                <w:sz w:val="16"/>
                <w:szCs w:val="16"/>
                <w:lang w:eastAsia="pl-PL"/>
              </w:rPr>
              <w:t xml:space="preserve"> 57 144,42 zł </w:t>
            </w:r>
          </w:p>
        </w:tc>
        <w:tc>
          <w:tcPr>
            <w:tcW w:w="1134" w:type="dxa"/>
            <w:noWrap/>
            <w:hideMark/>
          </w:tcPr>
          <w:p w14:paraId="2FDE9A3A" w14:textId="77777777" w:rsidR="00F72E5D" w:rsidRPr="009F10DC"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9F10DC">
              <w:rPr>
                <w:rFonts w:ascii="Calibri" w:eastAsia="Times New Roman" w:hAnsi="Calibri" w:cs="Calibri"/>
                <w:color w:val="000000"/>
                <w:sz w:val="16"/>
                <w:szCs w:val="16"/>
                <w:lang w:eastAsia="pl-PL"/>
              </w:rPr>
              <w:t xml:space="preserve"> 67 468,71 zł </w:t>
            </w:r>
          </w:p>
        </w:tc>
      </w:tr>
      <w:tr w:rsidR="00F72E5D" w:rsidRPr="001C7E6A" w14:paraId="4872098D" w14:textId="77777777" w:rsidTr="00593B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7656FB11"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12.1</w:t>
            </w:r>
          </w:p>
        </w:tc>
        <w:tc>
          <w:tcPr>
            <w:tcW w:w="1584" w:type="dxa"/>
            <w:noWrap/>
            <w:hideMark/>
          </w:tcPr>
          <w:p w14:paraId="01EAAAAC"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12.1.1, 12.1.2</w:t>
            </w:r>
          </w:p>
        </w:tc>
        <w:tc>
          <w:tcPr>
            <w:tcW w:w="2376" w:type="dxa"/>
            <w:hideMark/>
          </w:tcPr>
          <w:p w14:paraId="22A246C0"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wspartych obiektów infrastruktury przedszkolnej</w:t>
            </w:r>
          </w:p>
        </w:tc>
        <w:tc>
          <w:tcPr>
            <w:tcW w:w="1276" w:type="dxa"/>
            <w:noWrap/>
            <w:hideMark/>
          </w:tcPr>
          <w:p w14:paraId="46810B6B"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50</w:t>
            </w:r>
          </w:p>
        </w:tc>
        <w:tc>
          <w:tcPr>
            <w:tcW w:w="709" w:type="dxa"/>
            <w:noWrap/>
            <w:hideMark/>
          </w:tcPr>
          <w:p w14:paraId="5F9FE647"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40</w:t>
            </w:r>
          </w:p>
        </w:tc>
        <w:tc>
          <w:tcPr>
            <w:tcW w:w="850" w:type="dxa"/>
            <w:noWrap/>
            <w:hideMark/>
          </w:tcPr>
          <w:p w14:paraId="14522CE7"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n.d.</w:t>
            </w:r>
          </w:p>
        </w:tc>
        <w:tc>
          <w:tcPr>
            <w:tcW w:w="709" w:type="dxa"/>
            <w:noWrap/>
            <w:hideMark/>
          </w:tcPr>
          <w:p w14:paraId="2F915E1B"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80%</w:t>
            </w:r>
          </w:p>
        </w:tc>
        <w:tc>
          <w:tcPr>
            <w:tcW w:w="850" w:type="dxa"/>
            <w:noWrap/>
            <w:hideMark/>
          </w:tcPr>
          <w:p w14:paraId="76D3F085"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n.d.</w:t>
            </w:r>
          </w:p>
        </w:tc>
        <w:tc>
          <w:tcPr>
            <w:tcW w:w="1418" w:type="dxa"/>
            <w:noWrap/>
            <w:hideMark/>
          </w:tcPr>
          <w:p w14:paraId="3BBF1FCB"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22 713 283,24 zł </w:t>
            </w:r>
          </w:p>
        </w:tc>
        <w:tc>
          <w:tcPr>
            <w:tcW w:w="1417" w:type="dxa"/>
            <w:noWrap/>
            <w:hideMark/>
          </w:tcPr>
          <w:p w14:paraId="2E3383CB"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n.d.</w:t>
            </w:r>
          </w:p>
        </w:tc>
        <w:tc>
          <w:tcPr>
            <w:tcW w:w="1276" w:type="dxa"/>
            <w:noWrap/>
            <w:hideMark/>
          </w:tcPr>
          <w:p w14:paraId="0953BC72"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567 832,08 zł </w:t>
            </w:r>
          </w:p>
        </w:tc>
        <w:tc>
          <w:tcPr>
            <w:tcW w:w="1134" w:type="dxa"/>
            <w:noWrap/>
            <w:hideMark/>
          </w:tcPr>
          <w:p w14:paraId="6C710FA4"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w:t>
            </w:r>
          </w:p>
        </w:tc>
      </w:tr>
      <w:tr w:rsidR="00F72E5D" w:rsidRPr="001C7E6A" w14:paraId="290183E0" w14:textId="77777777" w:rsidTr="00E24BD3">
        <w:trPr>
          <w:trHeight w:val="6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59E5538B"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12.1</w:t>
            </w:r>
          </w:p>
        </w:tc>
        <w:tc>
          <w:tcPr>
            <w:tcW w:w="1584" w:type="dxa"/>
            <w:noWrap/>
            <w:hideMark/>
          </w:tcPr>
          <w:p w14:paraId="4DC2D5DC"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12.1.1, 12.1.2</w:t>
            </w:r>
          </w:p>
        </w:tc>
        <w:tc>
          <w:tcPr>
            <w:tcW w:w="2376" w:type="dxa"/>
            <w:hideMark/>
          </w:tcPr>
          <w:p w14:paraId="46933502"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Potencjał objętej wsparciem infrastruktury w zakresie opieki nad dziećmi lub infrastruktury edukacyjnej</w:t>
            </w:r>
          </w:p>
        </w:tc>
        <w:tc>
          <w:tcPr>
            <w:tcW w:w="1276" w:type="dxa"/>
            <w:noWrap/>
            <w:hideMark/>
          </w:tcPr>
          <w:p w14:paraId="186570A2"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4249</w:t>
            </w:r>
          </w:p>
        </w:tc>
        <w:tc>
          <w:tcPr>
            <w:tcW w:w="709" w:type="dxa"/>
            <w:noWrap/>
            <w:hideMark/>
          </w:tcPr>
          <w:p w14:paraId="069EC7B4"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4 844</w:t>
            </w:r>
          </w:p>
        </w:tc>
        <w:tc>
          <w:tcPr>
            <w:tcW w:w="850" w:type="dxa"/>
            <w:noWrap/>
            <w:hideMark/>
          </w:tcPr>
          <w:p w14:paraId="145FF77F"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n.d.</w:t>
            </w:r>
          </w:p>
        </w:tc>
        <w:tc>
          <w:tcPr>
            <w:tcW w:w="709" w:type="dxa"/>
            <w:noWrap/>
            <w:hideMark/>
          </w:tcPr>
          <w:p w14:paraId="40A671F8"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114%</w:t>
            </w:r>
          </w:p>
        </w:tc>
        <w:tc>
          <w:tcPr>
            <w:tcW w:w="850" w:type="dxa"/>
            <w:noWrap/>
            <w:hideMark/>
          </w:tcPr>
          <w:p w14:paraId="4C6EFEBA"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n.d.</w:t>
            </w:r>
          </w:p>
        </w:tc>
        <w:tc>
          <w:tcPr>
            <w:tcW w:w="1418" w:type="dxa"/>
            <w:noWrap/>
            <w:hideMark/>
          </w:tcPr>
          <w:p w14:paraId="592EF1EC"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22 713 283,24 zł </w:t>
            </w:r>
          </w:p>
        </w:tc>
        <w:tc>
          <w:tcPr>
            <w:tcW w:w="1417" w:type="dxa"/>
            <w:noWrap/>
            <w:hideMark/>
          </w:tcPr>
          <w:p w14:paraId="7903C818"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n.d.</w:t>
            </w:r>
          </w:p>
        </w:tc>
        <w:tc>
          <w:tcPr>
            <w:tcW w:w="1276" w:type="dxa"/>
            <w:noWrap/>
            <w:hideMark/>
          </w:tcPr>
          <w:p w14:paraId="21202700"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4 688,95 zł </w:t>
            </w:r>
          </w:p>
        </w:tc>
        <w:tc>
          <w:tcPr>
            <w:tcW w:w="1134" w:type="dxa"/>
            <w:noWrap/>
            <w:hideMark/>
          </w:tcPr>
          <w:p w14:paraId="6984DC3A"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w:t>
            </w:r>
          </w:p>
        </w:tc>
      </w:tr>
      <w:tr w:rsidR="00F72E5D" w:rsidRPr="001C7E6A" w14:paraId="65482146" w14:textId="77777777" w:rsidTr="00593B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3A2CE3F2"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12.2</w:t>
            </w:r>
          </w:p>
        </w:tc>
        <w:tc>
          <w:tcPr>
            <w:tcW w:w="1584" w:type="dxa"/>
            <w:noWrap/>
            <w:hideMark/>
          </w:tcPr>
          <w:p w14:paraId="67317DE6"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12.2.1, 12.2.2</w:t>
            </w:r>
          </w:p>
        </w:tc>
        <w:tc>
          <w:tcPr>
            <w:tcW w:w="2376" w:type="dxa"/>
            <w:hideMark/>
          </w:tcPr>
          <w:p w14:paraId="70B7C93A" w14:textId="77777777" w:rsidR="00F72E5D" w:rsidRPr="00E24BD3" w:rsidRDefault="00F72E5D"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Liczba wspartych obiektów infrastruktury kształcenia zawodowego</w:t>
            </w:r>
          </w:p>
        </w:tc>
        <w:tc>
          <w:tcPr>
            <w:tcW w:w="1276" w:type="dxa"/>
            <w:noWrap/>
            <w:hideMark/>
          </w:tcPr>
          <w:p w14:paraId="55AFACC1"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52</w:t>
            </w:r>
          </w:p>
        </w:tc>
        <w:tc>
          <w:tcPr>
            <w:tcW w:w="709" w:type="dxa"/>
            <w:noWrap/>
            <w:hideMark/>
          </w:tcPr>
          <w:p w14:paraId="4F835D86"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42</w:t>
            </w:r>
          </w:p>
        </w:tc>
        <w:tc>
          <w:tcPr>
            <w:tcW w:w="850" w:type="dxa"/>
            <w:noWrap/>
            <w:hideMark/>
          </w:tcPr>
          <w:p w14:paraId="7DA7CFB8"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n.d.</w:t>
            </w:r>
          </w:p>
        </w:tc>
        <w:tc>
          <w:tcPr>
            <w:tcW w:w="709" w:type="dxa"/>
            <w:noWrap/>
            <w:hideMark/>
          </w:tcPr>
          <w:p w14:paraId="29D8B138"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81%</w:t>
            </w:r>
          </w:p>
        </w:tc>
        <w:tc>
          <w:tcPr>
            <w:tcW w:w="850" w:type="dxa"/>
            <w:noWrap/>
            <w:hideMark/>
          </w:tcPr>
          <w:p w14:paraId="7913700E"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n.d.</w:t>
            </w:r>
          </w:p>
        </w:tc>
        <w:tc>
          <w:tcPr>
            <w:tcW w:w="1418" w:type="dxa"/>
            <w:noWrap/>
            <w:hideMark/>
          </w:tcPr>
          <w:p w14:paraId="79BECA8F"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15 060 142,59 zł </w:t>
            </w:r>
          </w:p>
        </w:tc>
        <w:tc>
          <w:tcPr>
            <w:tcW w:w="1417" w:type="dxa"/>
            <w:noWrap/>
            <w:hideMark/>
          </w:tcPr>
          <w:p w14:paraId="276DCB5C"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n.d.</w:t>
            </w:r>
          </w:p>
        </w:tc>
        <w:tc>
          <w:tcPr>
            <w:tcW w:w="1276" w:type="dxa"/>
            <w:noWrap/>
            <w:hideMark/>
          </w:tcPr>
          <w:p w14:paraId="3A1F4231"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358 574,82 zł </w:t>
            </w:r>
          </w:p>
        </w:tc>
        <w:tc>
          <w:tcPr>
            <w:tcW w:w="1134" w:type="dxa"/>
            <w:noWrap/>
            <w:hideMark/>
          </w:tcPr>
          <w:p w14:paraId="5C3B2D5D" w14:textId="77777777" w:rsidR="00F72E5D" w:rsidRPr="00E24BD3" w:rsidRDefault="00F72E5D"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w:t>
            </w:r>
          </w:p>
        </w:tc>
      </w:tr>
      <w:tr w:rsidR="00F72E5D" w:rsidRPr="001C7E6A" w14:paraId="62CF9502" w14:textId="77777777" w:rsidTr="00E24BD3">
        <w:trPr>
          <w:trHeight w:val="600"/>
        </w:trPr>
        <w:tc>
          <w:tcPr>
            <w:cnfStyle w:val="001000000000" w:firstRow="0" w:lastRow="0" w:firstColumn="1" w:lastColumn="0" w:oddVBand="0" w:evenVBand="0" w:oddHBand="0" w:evenHBand="0" w:firstRowFirstColumn="0" w:firstRowLastColumn="0" w:lastRowFirstColumn="0" w:lastRowLastColumn="0"/>
            <w:tcW w:w="826" w:type="dxa"/>
            <w:noWrap/>
            <w:hideMark/>
          </w:tcPr>
          <w:p w14:paraId="1B316821" w14:textId="77777777" w:rsidR="00F72E5D" w:rsidRPr="00E24BD3" w:rsidRDefault="00F72E5D" w:rsidP="00DF64C7">
            <w:pPr>
              <w:jc w:val="left"/>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12.2</w:t>
            </w:r>
          </w:p>
        </w:tc>
        <w:tc>
          <w:tcPr>
            <w:tcW w:w="1584" w:type="dxa"/>
            <w:noWrap/>
            <w:hideMark/>
          </w:tcPr>
          <w:p w14:paraId="51746A77"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12.2.1, 12.2.2</w:t>
            </w:r>
          </w:p>
        </w:tc>
        <w:tc>
          <w:tcPr>
            <w:tcW w:w="2376" w:type="dxa"/>
            <w:hideMark/>
          </w:tcPr>
          <w:p w14:paraId="7A254512" w14:textId="77777777" w:rsidR="00F72E5D" w:rsidRPr="00E24BD3" w:rsidRDefault="00F72E5D"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Potencjał objętej wsparciem infrastruktury w zakresie opieki nad dziećmi lub infrastruktury edukacyjnej</w:t>
            </w:r>
          </w:p>
        </w:tc>
        <w:tc>
          <w:tcPr>
            <w:tcW w:w="1276" w:type="dxa"/>
            <w:noWrap/>
            <w:hideMark/>
          </w:tcPr>
          <w:p w14:paraId="02D7CEAF"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28080</w:t>
            </w:r>
          </w:p>
        </w:tc>
        <w:tc>
          <w:tcPr>
            <w:tcW w:w="709" w:type="dxa"/>
            <w:noWrap/>
            <w:hideMark/>
          </w:tcPr>
          <w:p w14:paraId="2C20CEE4"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13 163</w:t>
            </w:r>
          </w:p>
        </w:tc>
        <w:tc>
          <w:tcPr>
            <w:tcW w:w="850" w:type="dxa"/>
            <w:noWrap/>
            <w:hideMark/>
          </w:tcPr>
          <w:p w14:paraId="01ADC6F8"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n.d.</w:t>
            </w:r>
          </w:p>
        </w:tc>
        <w:tc>
          <w:tcPr>
            <w:tcW w:w="709" w:type="dxa"/>
            <w:noWrap/>
            <w:hideMark/>
          </w:tcPr>
          <w:p w14:paraId="02B6BCD0"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47%</w:t>
            </w:r>
          </w:p>
        </w:tc>
        <w:tc>
          <w:tcPr>
            <w:tcW w:w="850" w:type="dxa"/>
            <w:noWrap/>
            <w:hideMark/>
          </w:tcPr>
          <w:p w14:paraId="37762B31"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n.d.</w:t>
            </w:r>
          </w:p>
        </w:tc>
        <w:tc>
          <w:tcPr>
            <w:tcW w:w="1418" w:type="dxa"/>
            <w:noWrap/>
            <w:hideMark/>
          </w:tcPr>
          <w:p w14:paraId="4B63C70B"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15 060 142,59 zł </w:t>
            </w:r>
          </w:p>
        </w:tc>
        <w:tc>
          <w:tcPr>
            <w:tcW w:w="1417" w:type="dxa"/>
            <w:noWrap/>
            <w:hideMark/>
          </w:tcPr>
          <w:p w14:paraId="4DD7D7CC"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n.d.</w:t>
            </w:r>
          </w:p>
        </w:tc>
        <w:tc>
          <w:tcPr>
            <w:tcW w:w="1276" w:type="dxa"/>
            <w:noWrap/>
            <w:hideMark/>
          </w:tcPr>
          <w:p w14:paraId="6C7E8F0A"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 xml:space="preserve"> 1 144,13 zł </w:t>
            </w:r>
          </w:p>
        </w:tc>
        <w:tc>
          <w:tcPr>
            <w:tcW w:w="1134" w:type="dxa"/>
            <w:noWrap/>
            <w:hideMark/>
          </w:tcPr>
          <w:p w14:paraId="4E425BFB" w14:textId="77777777" w:rsidR="00F72E5D" w:rsidRPr="00E24BD3" w:rsidRDefault="00F72E5D"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E24BD3">
              <w:rPr>
                <w:rFonts w:ascii="Calibri" w:eastAsia="Times New Roman" w:hAnsi="Calibri" w:cs="Calibri"/>
                <w:color w:val="000000"/>
                <w:sz w:val="16"/>
                <w:szCs w:val="16"/>
                <w:lang w:eastAsia="pl-PL"/>
              </w:rPr>
              <w:t>-</w:t>
            </w:r>
          </w:p>
        </w:tc>
      </w:tr>
    </w:tbl>
    <w:p w14:paraId="50944BFC" w14:textId="77777777" w:rsidR="00F72E5D" w:rsidRDefault="00F72E5D" w:rsidP="00DF64C7">
      <w:pPr>
        <w:pStyle w:val="podpisrdailustracji"/>
        <w:spacing w:line="271" w:lineRule="auto"/>
        <w:jc w:val="left"/>
      </w:pPr>
      <w:r>
        <w:t xml:space="preserve">Źródło: opracowanie własne EU-Consult sp. z o.o. na podstawie danych </w:t>
      </w:r>
      <w:r w:rsidR="001A07C5">
        <w:t>SL</w:t>
      </w:r>
      <w:r>
        <w:t xml:space="preserve">2014 </w:t>
      </w:r>
      <w:r w:rsidRPr="00AB5D0E">
        <w:t xml:space="preserve">(data dostępu: </w:t>
      </w:r>
      <w:r w:rsidR="001A07C5">
        <w:t>1</w:t>
      </w:r>
      <w:r>
        <w:t>.</w:t>
      </w:r>
      <w:r w:rsidR="001A07C5">
        <w:t>10</w:t>
      </w:r>
      <w:r>
        <w:t>.2019 r.</w:t>
      </w:r>
      <w:r w:rsidRPr="00AB5D0E">
        <w:t>)</w:t>
      </w:r>
      <w:r>
        <w:t>.</w:t>
      </w:r>
    </w:p>
    <w:p w14:paraId="6433EFB7" w14:textId="77777777" w:rsidR="00F72E5D" w:rsidRDefault="00F72E5D" w:rsidP="00DF64C7">
      <w:pPr>
        <w:jc w:val="left"/>
      </w:pPr>
    </w:p>
    <w:p w14:paraId="37803245" w14:textId="77777777" w:rsidR="00F72E5D" w:rsidRDefault="00F72E5D" w:rsidP="00DF64C7">
      <w:pPr>
        <w:jc w:val="left"/>
        <w:sectPr w:rsidR="00F72E5D" w:rsidSect="00E24BD3">
          <w:pgSz w:w="16838" w:h="11906" w:orient="landscape"/>
          <w:pgMar w:top="1418" w:right="1418" w:bottom="1418" w:left="1418" w:header="709" w:footer="709" w:gutter="0"/>
          <w:cols w:space="708"/>
          <w:docGrid w:linePitch="360"/>
        </w:sectPr>
      </w:pPr>
    </w:p>
    <w:p w14:paraId="4C156565" w14:textId="77777777" w:rsidR="00F72E5D" w:rsidRDefault="00F72E5D" w:rsidP="00DF64C7">
      <w:pPr>
        <w:jc w:val="left"/>
      </w:pPr>
      <w:r>
        <w:t xml:space="preserve">Wskaźniki dla Działania 11.2 pokazują, że to projekty realizowane w ramach ZIT oraz RIT przyniosły największe efekty w postaci wartości osiągniętych wskaźników. Dotyczy to w szczególności wskaźników: </w:t>
      </w:r>
      <w:r w:rsidRPr="00E4185C">
        <w:t>Liczba uczniów szkół i placówek kształcenia zawodowego uczestniczących w stażach i praktykach u pracodawcy oraz Liczba szkół i placówek kształcenia zawodowego doposażonych w programie</w:t>
      </w:r>
      <w:r w:rsidRPr="003578F5">
        <w:rPr>
          <w:rFonts w:cs="Arial"/>
          <w:b/>
          <w:sz w:val="20"/>
          <w:szCs w:val="20"/>
        </w:rPr>
        <w:t xml:space="preserve"> </w:t>
      </w:r>
      <w:r w:rsidRPr="00E4185C">
        <w:t>w sprzęt i materiały dydaktyczne niezbędne do realizacji kształcenia zawodowego</w:t>
      </w:r>
      <w:r>
        <w:t>. To w ramach formuły ZIT/RIT złożono także największą liczbę wniosków o dofinansowanie.</w:t>
      </w:r>
    </w:p>
    <w:p w14:paraId="6BDFB5D8" w14:textId="77777777" w:rsidR="00F72E5D" w:rsidRDefault="00F72E5D" w:rsidP="00DF64C7">
      <w:pPr>
        <w:jc w:val="left"/>
      </w:pPr>
      <w:r>
        <w:t xml:space="preserve">Wskaźniki dotyczące Działania 11.4 wskazują, iż znacznie większe efekty w postaci wysokiej wartości docelowej wskaźnika przyniosły projekty realizowane w formie konkursowej, jednakże </w:t>
      </w:r>
      <w:r w:rsidR="004A3091">
        <w:t>biorąc</w:t>
      </w:r>
      <w:r>
        <w:t xml:space="preserve"> pod uwagę koszt osiągnięcia jednej wartości wskaźnika można zauważyć, że w trybie konkursowym/ pozakonkursowym osiągnięcie wartości jest działaniem bardziej kosztochłonnym w przypadku wskaźników: L</w:t>
      </w:r>
      <w:r w:rsidRPr="001C7E6A">
        <w:t xml:space="preserve">iczba osób o niskich kwalifikacjach, które uzyskały kwalifikacje lub nabyły </w:t>
      </w:r>
      <w:r w:rsidR="004A3091" w:rsidRPr="001C7E6A">
        <w:t>kompetencje</w:t>
      </w:r>
      <w:r w:rsidRPr="001C7E6A">
        <w:t xml:space="preserve"> po opuszczeniu programu</w:t>
      </w:r>
      <w:r>
        <w:t xml:space="preserve">; </w:t>
      </w:r>
      <w:r w:rsidRPr="001C7E6A">
        <w:t xml:space="preserve">Liczba osób w wieku 50 lat i więcej, które uzyskały kwalifikacje lub nabyły </w:t>
      </w:r>
      <w:r w:rsidR="004A3091" w:rsidRPr="001C7E6A">
        <w:t>kompetencje</w:t>
      </w:r>
      <w:r w:rsidRPr="001C7E6A">
        <w:t xml:space="preserve"> po opuszczeniu programu</w:t>
      </w:r>
      <w:r>
        <w:t xml:space="preserve">; </w:t>
      </w:r>
      <w:r w:rsidRPr="001C7E6A">
        <w:t>Liczba osób w wieku 25 lat i więcej, które uzyskały kwalifikacje lub nabyły kompetencje po opuszczeniu programu</w:t>
      </w:r>
      <w:r>
        <w:t>. Były to projekty nastawione na organizację kursów i szkoleń dla osób dorosłych mających podnieść ich kwalifikacje i kompetencje.</w:t>
      </w:r>
    </w:p>
    <w:p w14:paraId="00501DBA" w14:textId="77777777" w:rsidR="00F72E5D" w:rsidRDefault="00F72E5D" w:rsidP="00DF64C7">
      <w:pPr>
        <w:jc w:val="left"/>
      </w:pPr>
      <w:r>
        <w:t xml:space="preserve">Działania 12.1 oraz 12.2 realizowane były wyłącznie w formule inwestycji terytorialnych. W 2019 roku nie udało się osiągnąć założonej wartości docelowej w przypadku wskaźników: </w:t>
      </w:r>
      <w:r w:rsidRPr="001C7E6A">
        <w:t>Liczba wspartych obiektów infrastruktury kształcenia zawodowego</w:t>
      </w:r>
      <w:r>
        <w:t xml:space="preserve"> (81%) oraz </w:t>
      </w:r>
      <w:r w:rsidRPr="001C7E6A">
        <w:t>Potencjał objętej wsparciem infrastruktury w zakresie opieki nad dziećmi lub infrastruktury edukacyjnej</w:t>
      </w:r>
      <w:r>
        <w:t xml:space="preserve"> (47%), należy jednak pamiętać, iż ostateczna wartość wskaźników została określona na rok 2023.</w:t>
      </w:r>
    </w:p>
    <w:p w14:paraId="1C911E99" w14:textId="77777777" w:rsidR="003A4432" w:rsidRDefault="003A4432" w:rsidP="00DF64C7">
      <w:pPr>
        <w:jc w:val="left"/>
      </w:pPr>
      <w:r>
        <w:t>Wskaźniki rezultatu określone dla Działania 11.1 dotyczą projektów realizowanych w formule konkursowej i pozakonkursowej. W ich ramach udało się znacznie przekroczyć wartość docelową określoną na 2023 rok.</w:t>
      </w:r>
    </w:p>
    <w:p w14:paraId="064F85A4" w14:textId="77777777" w:rsidR="003A4432" w:rsidRDefault="003A4432" w:rsidP="00DF64C7">
      <w:pPr>
        <w:jc w:val="left"/>
      </w:pPr>
      <w:r>
        <w:t xml:space="preserve">W ramach Działania 11.2 zdecydowanie większą skutecznością, widoczną w wartości osiągniętych wskaźników, wykazały się projekty realizowane w formule inwestycji terytorialnych. Są to projekty, których celem jest doposażenie szkół i placówek kształcenia zawodowego oraz podniesienie kwalifikacji i kompetencji nauczycieli kształcenia zawodowego i instruktorów praktycznej nauki zawodu. </w:t>
      </w:r>
    </w:p>
    <w:p w14:paraId="33C68CF7" w14:textId="3BA9B862" w:rsidR="003A4432" w:rsidRDefault="003A4432" w:rsidP="00DF64C7">
      <w:pPr>
        <w:spacing w:after="240"/>
        <w:jc w:val="left"/>
      </w:pPr>
      <w:r>
        <w:t>Przedstawiciele IZ oraz IP oraz eksperci ocenili, że realizowanie projektów</w:t>
      </w:r>
      <w:r w:rsidRPr="00493227">
        <w:t xml:space="preserve"> w formule inwestycji terytorialnych (ZIT i RIT)</w:t>
      </w:r>
      <w:r>
        <w:t xml:space="preserve"> jest skuteczne, szczególnie z punktu widzenia projektów związanych ze szkolnictwem zawodowym. Widoczne jest silne zróżnicowanie poszczególnych subregionów (ukształtowanie terenu i warunki naturalne </w:t>
      </w:r>
      <w:r w:rsidR="004A3091">
        <w:t>wpływa</w:t>
      </w:r>
      <w:r w:rsidR="0010208F">
        <w:t>ją</w:t>
      </w:r>
      <w:r w:rsidR="004A3091">
        <w:t xml:space="preserve"> na </w:t>
      </w:r>
      <w:r>
        <w:t>rozwój różnych gałęzi gospodarki) co z kolei determinuje istnienie różnych potrzeb szkolnictwa zawodowego w poszczególnych obszarach. Z tego też powodu cennym jest powiązanie wsparcia ze strategiami ZIT/RIT, które bezpośrednio określają lokalne potrzeby. Przyjęta formuła pozwala tym samym lepiej sprostać temu wyzwaniu, co z kolei wpływa na skuteczność wspartych projektów.</w:t>
      </w:r>
      <w:r w:rsidRPr="00DB6DDD">
        <w:t xml:space="preserve"> </w:t>
      </w:r>
      <w:r>
        <w:t>Formuła ta korzystnie wpływa także na możliwość uzyskiwania wsparcia przez mniejsze gminy (które tym samym nie muszą konkurować z większymi ośrodkami miejskimi) – określone środki finansowe rozdysponowane są wśród mniejszej liczby potencjalnych beneficjentów. Przedstawiciele IZ i IP nie stwierdzili jednak istotnych różnic w skuteczności, w porównaniu do projektów wyłanianych w pozostałych działaniach</w:t>
      </w:r>
      <w:r w:rsidR="005D5E43">
        <w:t xml:space="preserve"> (tj. realizowanych poza formułą inwestycji terytorialnych ZIT/RIT)</w:t>
      </w:r>
      <w:r>
        <w:t>.</w:t>
      </w:r>
    </w:p>
    <w:p w14:paraId="631AB5E5" w14:textId="77777777" w:rsidR="003A4432" w:rsidRDefault="003A4432" w:rsidP="00DF64C7">
      <w:pPr>
        <w:jc w:val="left"/>
      </w:pPr>
      <w:r>
        <w:t xml:space="preserve">Zasadne jest także dalsze wdrażanie projektów edukacyjnych w formie inwestycji terytorialnych – wspólna realizacja projektów edukacyjnych oraz współpraca i komplementarność w zakresie tego typu projektów pozwala na zapewnienie kompleksowych działań w zakresie podniesienia jakości kształcenia. </w:t>
      </w:r>
    </w:p>
    <w:p w14:paraId="12C10E0D" w14:textId="77777777" w:rsidR="003A4432" w:rsidRPr="007B5F7E" w:rsidRDefault="003A4432" w:rsidP="00DF64C7">
      <w:pPr>
        <w:jc w:val="left"/>
        <w:rPr>
          <w:rFonts w:eastAsiaTheme="minorHAnsi" w:cs="Arial"/>
          <w:color w:val="000000" w:themeColor="text1"/>
        </w:rPr>
      </w:pPr>
      <w:r w:rsidRPr="00985EC0">
        <w:rPr>
          <w:color w:val="000000" w:themeColor="text1"/>
        </w:rPr>
        <w:t xml:space="preserve">Eksperci uczestniczący w panelu, wskazując na dużą skuteczność działań realizowanych w formule ZIT/RIT, także stwierdzili, że zasadne jest kontynuowanie tych działań. </w:t>
      </w:r>
      <w:r w:rsidRPr="00985EC0">
        <w:rPr>
          <w:rFonts w:eastAsiaTheme="minorHAnsi" w:cs="Arial"/>
          <w:color w:val="000000" w:themeColor="text1"/>
        </w:rPr>
        <w:t xml:space="preserve">ZIT i RIT umożliwiają zniwelowanie różnic w zakresie poziomu społeczno-gospodarczego poszczególnych regionów poprzez pobudzenie ich potencjału w strategicznych obszarach. Taka formuła realizowania </w:t>
      </w:r>
      <w:r w:rsidR="005D5E43">
        <w:rPr>
          <w:rFonts w:eastAsiaTheme="minorHAnsi" w:cs="Arial"/>
          <w:color w:val="000000" w:themeColor="text1"/>
        </w:rPr>
        <w:t>projektów</w:t>
      </w:r>
      <w:r w:rsidRPr="00985EC0">
        <w:rPr>
          <w:rFonts w:eastAsiaTheme="minorHAnsi" w:cs="Arial"/>
          <w:color w:val="000000" w:themeColor="text1"/>
        </w:rPr>
        <w:t xml:space="preserve"> jest korzystna przede wszystkim dla małych społeczności lokalnych, które dysponują zazwyczaj mniejszymi zasobami infrastrukturalnymi, kadrowymi oraz finansowymi. Jest to także szansa na dostęp do szerszej projektów, a </w:t>
      </w:r>
      <w:r w:rsidRPr="002962E7">
        <w:rPr>
          <w:rFonts w:eastAsiaTheme="minorHAnsi" w:cs="Arial"/>
          <w:color w:val="000000" w:themeColor="text1"/>
        </w:rPr>
        <w:t>tym samym możliwe jest rozszerzenie działań, których celem jest kompleksowo rozumiana edukacja.</w:t>
      </w:r>
      <w:r w:rsidRPr="002962E7">
        <w:rPr>
          <w:color w:val="000000" w:themeColor="text1"/>
        </w:rPr>
        <w:t xml:space="preserve"> </w:t>
      </w:r>
      <w:r w:rsidRPr="002962E7">
        <w:rPr>
          <w:rFonts w:eastAsiaTheme="minorHAnsi" w:cs="Arial"/>
          <w:color w:val="000000" w:themeColor="text1"/>
        </w:rPr>
        <w:t xml:space="preserve">Projekty realizowane w formule ZIT i RIT pozwalają zwiększyć zakres współpracy regionalnej i rozwój regionalnego partnerstwa, zwłaszcza w zakresie pozyskiwania funduszy umożliwiających przeprowadzenie zmian i unowocześnień w </w:t>
      </w:r>
      <w:r w:rsidRPr="007B5F7E">
        <w:rPr>
          <w:rFonts w:eastAsiaTheme="minorHAnsi" w:cs="Arial"/>
          <w:color w:val="000000" w:themeColor="text1"/>
        </w:rPr>
        <w:t>obszarze edukacji dzieci, młodzieży i osób dorosłych.</w:t>
      </w:r>
    </w:p>
    <w:p w14:paraId="1344C5DE" w14:textId="77777777" w:rsidR="007B6935" w:rsidRPr="007B5F7E" w:rsidRDefault="003A4432" w:rsidP="00DF64C7">
      <w:pPr>
        <w:spacing w:after="3600"/>
        <w:jc w:val="left"/>
      </w:pPr>
      <w:r w:rsidRPr="007B5F7E">
        <w:t>Mając na uwadze powyższe, efekty projektów realizowanych w formule inwestycji terytorialnych uznać należy za skuteczne, co potwierdzone zostało również wynikami zrealizowanego badania CAWI/CATI z beneficjentami wsparcia w ramach OP XI. Projekty ZIT/RIT w wysokim stopniu pozwoliły na zaspokojenie zidentyfikowanych potrzeb (przewaga odpowiedzi „[projekt] zdecydowanie pozwolił na zaspokojenie potrzeb” w przypadku każdego działania), zaś efekty zaplanowane w ramach projektów udało się „zdecydowanie osiągnąć”. Warto jednakże zwrócić uwagę na fakt, iż porównując efekty projektów wdrażanych w formule inwestycji terytorialnych oraz pozostałych, nie jest możliwe wykazanie istotnych różnić bądź trendów, a odpowiedzi dotyczące projektów ZIT/RIT porównywalne były do odpowiedzi beneficjentów realizujących projekty</w:t>
      </w:r>
      <w:r w:rsidR="00970B94">
        <w:t xml:space="preserve"> poza formułą inwestycji terytorialnych ZIT/RIT</w:t>
      </w:r>
      <w:r w:rsidRPr="007B5F7E">
        <w:t>. Analizując szczegółowe wyniki badania zauważyć można, iż w przypadku Działania 11.1 projekty ZIT/RIT w większym stopniu odpowiadały na zidentyfikowane potrzeby, niż projekty realizowane w ramach Poddziałania 11.1.3, zaś w przypadku Działania 11.4 projekty RIT cechowały się najniższą skutecznością w tym zakresie. Zdaniem beneficjentów uczestniczących w badaniu w nieco niższym stopniu udało się osiągnąć efekty w przypadku projektów ZIT w ramach działania 11.2, zaś w przypadku pozostałych projektów Działania 11.4 (Poddziałanie 11.4.3) odnotowano większe efekty niż w przypadku projektów realizowanych w formule ZIT/RIT. Na podstawie zrealizowanych badań CAWI/CATI stwierdzić więc należy, że realizacja projektów w ramach Działań dedykowanych instrumentom terytorialnym ZIT/RIT nie wykazuje się wyższą skutecznością niż wyłanianych w pozostałych Działaniach w ramach OP XI, gdyż cechują się one porównywalnym stopniem skuteczności.</w:t>
      </w:r>
      <w:r w:rsidR="00135BC0" w:rsidDel="00135BC0">
        <w:t xml:space="preserve"> </w:t>
      </w:r>
    </w:p>
    <w:p w14:paraId="50679184" w14:textId="77777777" w:rsidR="003A4432" w:rsidRPr="007B5F7E" w:rsidRDefault="00D22B94" w:rsidP="00DF64C7">
      <w:pPr>
        <w:pStyle w:val="Legenda"/>
        <w:spacing w:line="271" w:lineRule="auto"/>
        <w:jc w:val="left"/>
      </w:pPr>
      <w:r>
        <w:t xml:space="preserve">Wykres </w:t>
      </w:r>
      <w:r w:rsidR="003350B7">
        <w:t>35</w:t>
      </w:r>
      <w:r>
        <w:t xml:space="preserve">. </w:t>
      </w:r>
      <w:r w:rsidR="003A4432" w:rsidRPr="007B5F7E">
        <w:t>W jakim stopniu projekt pozwala/pozwolił na zaspokojenie zidentyfikowanych potrzeb?  Proszę o ocenę w skali 1-5, gdzie: 1 – zdecydowanie nie pozwolił na zaspokojenie potrzeb 2 – raczej nie pozwolił na zaspokojenie potrzeb 3 – nie mam zdania 4 – raczej pozwolił na zaspokojenie potrzeb 5 – zdecydowanie pozwolił na zaspokojenie potrzeb</w:t>
      </w:r>
    </w:p>
    <w:p w14:paraId="304653D0" w14:textId="77777777" w:rsidR="00311414" w:rsidRPr="007B5F7E" w:rsidRDefault="00311414" w:rsidP="00DF64C7">
      <w:pPr>
        <w:spacing w:before="120" w:after="80"/>
        <w:jc w:val="left"/>
        <w:rPr>
          <w:rFonts w:ascii="Calibri" w:eastAsia="Times New Roman" w:hAnsi="Calibri" w:cs="Times New Roman"/>
          <w:sz w:val="24"/>
        </w:rPr>
      </w:pPr>
      <w:r w:rsidRPr="00D25C1C">
        <w:rPr>
          <w:noProof/>
          <w:lang w:eastAsia="pl-PL"/>
        </w:rPr>
        <w:drawing>
          <wp:inline distT="0" distB="0" distL="0" distR="0" wp14:anchorId="79FA6632" wp14:editId="162F81BB">
            <wp:extent cx="5509260" cy="1836420"/>
            <wp:effectExtent l="0" t="0" r="15240" b="11430"/>
            <wp:docPr id="26" name="Wykres 26" descr="  2 3 4 5&#10;11.1.1 - ZIT  3,2% 16,1% 80,6%&#10;11.1.2 - RIT   19,2% 80,8%&#10;11.1.3 - konkursowe 1,8%  14,0% 84,2%&#10;" title="W jakim stopniu projekt pozwala/pozwolił na zaspokojenie zidentyfikowanych potrzeb?  Proszę o ocenę w skali 1-5, gdzie: 1 – zdecydowanie nie pozwolił na zaspokojenie potrzeb 2 – raczej nie pozwolił na zaspokojenie potrzeb 3 – nie mam zdania 4 – raczej pozwolił na zaspokojenie potrzeb 5 – zdecydowanie pozwolił na zaspokojenie potrzeb"/>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50A2AC2" w14:textId="77777777" w:rsidR="00311414" w:rsidRPr="007B5F7E" w:rsidRDefault="00311414" w:rsidP="00DF64C7">
      <w:pPr>
        <w:spacing w:before="120" w:after="80"/>
        <w:jc w:val="left"/>
        <w:rPr>
          <w:rFonts w:ascii="Calibri" w:eastAsia="Times New Roman" w:hAnsi="Calibri" w:cs="Times New Roman"/>
          <w:sz w:val="24"/>
        </w:rPr>
      </w:pPr>
      <w:r w:rsidRPr="00D25C1C">
        <w:rPr>
          <w:noProof/>
          <w:lang w:eastAsia="pl-PL"/>
        </w:rPr>
        <w:drawing>
          <wp:inline distT="0" distB="0" distL="0" distR="0" wp14:anchorId="37909643" wp14:editId="40E14C13">
            <wp:extent cx="5509260" cy="1836420"/>
            <wp:effectExtent l="0" t="0" r="15240" b="11430"/>
            <wp:docPr id="27" name="Wykres 27" descr="  1 2 3 4 5&#10;11.2.1 - ZIT 5,6%  22,2% 22,2% 50,0%&#10;11.2.2 - RIT  6,7% 20,0% 13,3% 60,0%&#10;11.2.3 - konkursowe   28,6% 50,0% 21,4%&#10;" title="W jakim stopniu projekt pozwala/pozwolił na zaspokojenie zidentyfikowanych potrzeb?  Proszę o ocenę w skali 1-5, gdzie: 1 – zdecydowanie nie pozwolił na zaspokojenie potrzeb 2 – raczej nie pozwolił na zaspokojenie potrzeb 3 – nie mam zdania 4 – raczej pozwolił na zaspokojenie potrzeb 5 – zdecydowanie pozwolił na zaspokojenie potrzeb"/>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216FFEF" w14:textId="77777777" w:rsidR="00311414" w:rsidRPr="007B5F7E" w:rsidRDefault="00311414" w:rsidP="00DF64C7">
      <w:pPr>
        <w:spacing w:before="120" w:after="80"/>
        <w:jc w:val="left"/>
        <w:rPr>
          <w:rFonts w:ascii="Calibri" w:eastAsia="Times New Roman" w:hAnsi="Calibri" w:cs="Times New Roman"/>
          <w:sz w:val="24"/>
        </w:rPr>
      </w:pPr>
      <w:r w:rsidRPr="00D25C1C">
        <w:rPr>
          <w:noProof/>
          <w:lang w:eastAsia="pl-PL"/>
        </w:rPr>
        <w:drawing>
          <wp:inline distT="0" distB="0" distL="0" distR="0" wp14:anchorId="1E305689" wp14:editId="3F74933F">
            <wp:extent cx="5509260" cy="1836420"/>
            <wp:effectExtent l="0" t="0" r="15240" b="11430"/>
            <wp:docPr id="30" name="Wykres 30" descr="  2 3 4 5&#10;11.4.1 - ZIT  20,0% 20,0% 60,0%&#10;11.4.2 - RIT 33,3% 33,3% 33,3% &#10;11.4.3 - konkursowe  21,4% 14,3% 64,3%&#10;" title="W jakim stopniu projekt pozwala/pozwolił na zaspokojenie zidentyfikowanych potrzeb?  Proszę o ocenę w skali 1-5, gdzie: 1 – zdecydowanie nie pozwolił na zaspokojenie potrzeb 2 – raczej nie pozwolił na zaspokojenie potrzeb 3 – nie mam zdania 4 – raczej pozwolił na zaspokojenie potrzeb 5 – zdecydowanie pozwolił na zaspokojenie potrzeb"/>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7655B27" w14:textId="77777777" w:rsidR="003A4432" w:rsidRPr="007B5F7E" w:rsidRDefault="003A4432" w:rsidP="00DF64C7">
      <w:pPr>
        <w:spacing w:after="240"/>
        <w:jc w:val="left"/>
        <w:rPr>
          <w:rFonts w:cs="Arial"/>
          <w:sz w:val="18"/>
        </w:rPr>
      </w:pPr>
      <w:r w:rsidRPr="007B5F7E">
        <w:rPr>
          <w:rFonts w:cs="Arial"/>
          <w:sz w:val="18"/>
        </w:rPr>
        <w:t>Źródło: opracowanie własne na podstawie badania CAWI/CATI z beneficjentami OP XI, 11.1. n=114, 11.2 n=47, 11.4 n=22.</w:t>
      </w:r>
    </w:p>
    <w:p w14:paraId="5666AD26" w14:textId="77777777" w:rsidR="003A4432" w:rsidRPr="007B5F7E" w:rsidRDefault="003A4432" w:rsidP="00DF64C7">
      <w:pPr>
        <w:pStyle w:val="Legenda"/>
        <w:spacing w:line="271" w:lineRule="auto"/>
        <w:jc w:val="left"/>
      </w:pPr>
      <w:r w:rsidRPr="007B5F7E">
        <w:t>Wykres</w:t>
      </w:r>
      <w:r w:rsidR="00D22B94">
        <w:t xml:space="preserve"> 3</w:t>
      </w:r>
      <w:r w:rsidR="003350B7">
        <w:t>6</w:t>
      </w:r>
      <w:r w:rsidR="00D22B94">
        <w:t>.</w:t>
      </w:r>
      <w:r w:rsidRPr="007B5F7E">
        <w:t xml:space="preserve"> W jakim stopniu udało się osiągnąć efekty zaplanowane w ramach projektu? Proszę o ocenę w skali 1-5, gdzie: 1 – zdecydowanie nie udało się osiągnąć   2 – raczej nie udało się osiągnąć   3 – nie mam zdania   4 – raczej udało się osiągnąć 5 – zdecydowanie udało się osiągnąć</w:t>
      </w:r>
    </w:p>
    <w:p w14:paraId="3C0D7DAC" w14:textId="77777777" w:rsidR="003A4432" w:rsidRPr="007B5F7E" w:rsidRDefault="003A4432" w:rsidP="00DF64C7">
      <w:pPr>
        <w:spacing w:before="120" w:after="80"/>
        <w:jc w:val="left"/>
        <w:rPr>
          <w:rFonts w:ascii="Calibri" w:eastAsia="Times New Roman" w:hAnsi="Calibri" w:cs="Times New Roman"/>
          <w:sz w:val="24"/>
        </w:rPr>
      </w:pPr>
      <w:r w:rsidRPr="00D25C1C">
        <w:rPr>
          <w:noProof/>
          <w:lang w:eastAsia="pl-PL"/>
        </w:rPr>
        <w:drawing>
          <wp:inline distT="0" distB="0" distL="0" distR="0" wp14:anchorId="7641AAAE" wp14:editId="503DCA66">
            <wp:extent cx="5509260" cy="1836420"/>
            <wp:effectExtent l="0" t="0" r="15240" b="11430"/>
            <wp:docPr id="57" name="Wykres 57" descr=" Rozkłąd odpowiedzi dla poszczególnych działańprzedstawia się następująco:&#10;11.1.1 - ZIT - 4% dla wskazania&quot;3&quot; i &quot;4&quot; oraz 92% dla wskazania &quot;5&quot;&#10;11.1.2 - RIT - 13,6% dla wskazania &quot;4&quot; i 86,4% dla wskazania &quot;5&quot;&#10;11.1.3 - konkursowe - 7,1% dla wskazania &quot;4&quot; i 92,9% dla wskazania &quot;5&quot;&#10;" title="W jakim stopniu udało się osiągnąć efekty zaplanowane w ramach projektu? Proszę o ocenę w skali 1-5, gdzie: 1 – zdecydowanie nie udało się osiągnąć   2 – raczej nie udało się osiągnąć   3 – nie mam zdania   4 – raczej udało się osiągnąć 5 – zdecydowanie udało się osiągnąć"/>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C9AF46A" w14:textId="77777777" w:rsidR="003A4432" w:rsidRPr="007B5F7E" w:rsidRDefault="003A4432" w:rsidP="00DF64C7">
      <w:pPr>
        <w:spacing w:before="120" w:after="80"/>
        <w:jc w:val="left"/>
        <w:rPr>
          <w:rFonts w:ascii="Calibri" w:eastAsia="Times New Roman" w:hAnsi="Calibri" w:cs="Times New Roman"/>
          <w:sz w:val="24"/>
        </w:rPr>
      </w:pPr>
      <w:r w:rsidRPr="00D25C1C">
        <w:rPr>
          <w:noProof/>
          <w:lang w:eastAsia="pl-PL"/>
        </w:rPr>
        <w:drawing>
          <wp:inline distT="0" distB="0" distL="0" distR="0" wp14:anchorId="6D8A8830" wp14:editId="7697912B">
            <wp:extent cx="5509260" cy="1836420"/>
            <wp:effectExtent l="0" t="0" r="15240" b="11430"/>
            <wp:docPr id="58" name="Wykres 58" descr=" Rozkłąd odpowiedzi dla poszczególnych działańprzedstawia się następująco:&#10;11.2.1 - ZIT - 16,7% dla wskazania &quot;1&quot; i wskazania &quot;4&quot; i 66,7% dla wskazania &quot;5&quot;&#10;11.2.2 - RIT - 100% dla wskazania &quot;5&quot;  &#10;11.2.3 - konkursowe - 100% dla wskazania &quot;5&quot;&#10;" title="W jakim stopniu udało się osiągnąć efekty zaplanowane w ramach projektu? Proszę o ocenę w skali 1-5, gdzie: 1 – zdecydowanie nie udało się osiągnąć   2 – raczej nie udało się osiągnąć   3 – nie mam zdania   4 – raczej udało się osiągnąć 5 – zdecydowanie udało się osiągnąć"/>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F9F8AE9" w14:textId="77777777" w:rsidR="003A4432" w:rsidRPr="007B5F7E" w:rsidRDefault="003A4432" w:rsidP="00DF64C7">
      <w:pPr>
        <w:spacing w:before="120" w:after="80"/>
        <w:jc w:val="left"/>
        <w:rPr>
          <w:rFonts w:ascii="Calibri" w:eastAsia="Times New Roman" w:hAnsi="Calibri" w:cs="Times New Roman"/>
          <w:sz w:val="24"/>
        </w:rPr>
      </w:pPr>
      <w:r w:rsidRPr="00D25C1C">
        <w:rPr>
          <w:noProof/>
          <w:lang w:eastAsia="pl-PL"/>
        </w:rPr>
        <w:drawing>
          <wp:inline distT="0" distB="0" distL="0" distR="0" wp14:anchorId="2FA92904" wp14:editId="079744D1">
            <wp:extent cx="5509260" cy="1836420"/>
            <wp:effectExtent l="0" t="0" r="15240" b="11430"/>
            <wp:docPr id="59" name="Wykres 59" descr=" Rozkłąd odpowiedzi dla poszczególnych działańprzedstawia się następująco:&#10;11.4.1 - ZIT - 50% dla wskazania &quot;4&quot; i 50% dla wskazania &quot;5&quot;&#10;11.4.2 - RIT - 100% dla wskazania &quot;2&quot;  &#10;11.4.3 - konkursowe - 100% dla wskazania &quot;5&quot;&#10;" title="W jakim stopniu udało się osiągnąć efekty zaplanowane w ramach projektu? Proszę o ocenę w skali 1-5, gdzie: 1 – zdecydowanie nie udało się osiągnąć   2 – raczej nie udało się osiągnąć   3 – nie mam zdania   4 – raczej udało się osiągnąć 5 – zdecydowanie udało się osiągnąć"/>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6A0BE9E" w14:textId="77777777" w:rsidR="003A4432" w:rsidRPr="007B5F7E" w:rsidRDefault="003A4432" w:rsidP="00DF64C7">
      <w:pPr>
        <w:spacing w:after="240"/>
        <w:jc w:val="left"/>
        <w:rPr>
          <w:rFonts w:cs="Arial"/>
          <w:sz w:val="18"/>
        </w:rPr>
      </w:pPr>
      <w:r w:rsidRPr="007B5F7E">
        <w:rPr>
          <w:rFonts w:cs="Arial"/>
          <w:sz w:val="18"/>
        </w:rPr>
        <w:t>Źródło: opracowanie własne na podstawie badania CAWI/CATI z beneficjentami OP XI, 11.1. n=89, 11.2 n=16, 11.4 n=4.</w:t>
      </w:r>
    </w:p>
    <w:p w14:paraId="0FBDB986" w14:textId="77777777" w:rsidR="00904F35" w:rsidRDefault="00904F35" w:rsidP="00DF64C7">
      <w:pPr>
        <w:jc w:val="left"/>
      </w:pPr>
      <w:r>
        <w:t xml:space="preserve">O </w:t>
      </w:r>
      <w:r w:rsidR="004A3091">
        <w:t>występujące</w:t>
      </w:r>
      <w:r>
        <w:t xml:space="preserve"> problemy w ramach Działań/Poddziałań realizowanych w formule ZIT/RIT zapytano przedstawicieli IP ZIT/RIT. Wskazywane problemy były jednak po części zbieżne z tymi wskazywanymi również dla naborów przeprowadzanych poza ww. formułą:</w:t>
      </w:r>
    </w:p>
    <w:p w14:paraId="7C83028C" w14:textId="77777777" w:rsidR="00904F35" w:rsidRDefault="00904F35" w:rsidP="00DF64C7">
      <w:pPr>
        <w:pStyle w:val="Akapitzlist"/>
        <w:numPr>
          <w:ilvl w:val="0"/>
          <w:numId w:val="67"/>
        </w:numPr>
        <w:jc w:val="left"/>
      </w:pPr>
      <w:r>
        <w:t xml:space="preserve">konieczność powiązania projektów dofinansowanych w ramach EFRR z EFS (i problem odpowiedniego dopasowania czasów naborów) - problem został obecnie </w:t>
      </w:r>
      <w:r w:rsidR="004A3091">
        <w:t>rozwiązany</w:t>
      </w:r>
      <w:r>
        <w:t>;</w:t>
      </w:r>
    </w:p>
    <w:p w14:paraId="4905AFE4" w14:textId="77777777" w:rsidR="00904F35" w:rsidRDefault="00904F35" w:rsidP="00DF64C7">
      <w:pPr>
        <w:pStyle w:val="Akapitzlist"/>
        <w:numPr>
          <w:ilvl w:val="0"/>
          <w:numId w:val="67"/>
        </w:numPr>
        <w:jc w:val="left"/>
      </w:pPr>
      <w:r>
        <w:t>problem związany z koniecznością wynikania projektów  planowanych do realizacji w ramach Działania 11.4.1 z zatwierdzonego programu rewitalizacji (problem został rozwiązany w 2018 r., kiedy to warunek ten przeszedł z kryteriów obligatoryjnych (merytorycznych) na kryteria dodatkowo punktowane</w:t>
      </w:r>
      <w:r w:rsidR="00E14907">
        <w:t>;</w:t>
      </w:r>
    </w:p>
    <w:p w14:paraId="7A39A18E" w14:textId="72DFD0F7" w:rsidR="00904F35" w:rsidRDefault="00904F35" w:rsidP="00DF64C7">
      <w:pPr>
        <w:pStyle w:val="Akapitzlist"/>
        <w:numPr>
          <w:ilvl w:val="0"/>
          <w:numId w:val="67"/>
        </w:numPr>
        <w:jc w:val="left"/>
      </w:pPr>
      <w:r>
        <w:t>wnioski o dofinansowanie składane przez cz</w:t>
      </w:r>
      <w:r w:rsidR="00E14907">
        <w:t>ę</w:t>
      </w:r>
      <w:r w:rsidR="00EE7A8A">
        <w:t>ść gmin cechowały</w:t>
      </w:r>
      <w:r>
        <w:t xml:space="preserve"> si</w:t>
      </w:r>
      <w:r w:rsidR="00E14907">
        <w:t>ę</w:t>
      </w:r>
      <w:r>
        <w:t xml:space="preserve"> stosunkowo niskim poziomem meryt</w:t>
      </w:r>
      <w:r w:rsidR="00E14907">
        <w:t>o</w:t>
      </w:r>
      <w:r>
        <w:t>ryczno-jako</w:t>
      </w:r>
      <w:r w:rsidR="00E14907">
        <w:t>ś</w:t>
      </w:r>
      <w:r>
        <w:t xml:space="preserve">ciowym (badani wskazywali przy tym, że w przypadku części gmin sytuacja ta powtarza się w ramach kolejnych naborów). Powodowało to problem w postaci </w:t>
      </w:r>
      <w:r w:rsidR="004A3091">
        <w:t>konieczności</w:t>
      </w:r>
      <w:r>
        <w:t xml:space="preserve"> rywalizacji gmin słabiej przygotowanych do właściwego opracowania dokumentacji konkursowej z podmiotami prywatnymi (Poddziałanie 11.4.1).</w:t>
      </w:r>
    </w:p>
    <w:p w14:paraId="0FF7BBBA" w14:textId="77777777" w:rsidR="003A4432" w:rsidRPr="007B5F7E" w:rsidRDefault="003A4432" w:rsidP="00DF64C7">
      <w:pPr>
        <w:jc w:val="left"/>
      </w:pPr>
      <w:r w:rsidRPr="007B5F7E">
        <w:t>Beneficjentów badania CAWI/CATI</w:t>
      </w:r>
      <w:r w:rsidR="00904F35">
        <w:t xml:space="preserve"> również zapytano</w:t>
      </w:r>
      <w:r w:rsidRPr="007B5F7E">
        <w:t xml:space="preserve"> czy napotkali oni problemy na etapie wdrażania projektów w ramach ZIT/RIT, które wpłynęłyby na zmiany względem założonego harmonogramu. Jedynie niski odsetek badanych zauważał tego rodzaju problemy, zdecydowana większość respondentów badania uznała, iż realizowane działania odbywają/odbywały się zgodnie z harmonogramem projektu. W przypadku projektów realizowanych w formule ZIT oraz innych projektów odsetek odpowiedzi twierdzącej porównywalny był w przypadku każdego analizowanego Działania OP XI, największ</w:t>
      </w:r>
      <w:r w:rsidR="00F72E5D">
        <w:t>e</w:t>
      </w:r>
      <w:r w:rsidRPr="007B5F7E">
        <w:t xml:space="preserve"> wahania odnotowano zaś w przypadku projektów RIT, gdzie w ramach Poddziałania 11.1.2 żaden z respondentów nie wskazał problemów we wdrażaniu projektu, zaś w przypadku Poddziałania 11.2.2 największy odsetek respondentów badania CAWI/CATI wskazał występowanie tego rodzaju problemów. Respondenci badania uzupełnili swoje odpowiedzi informacją jakiego rodzaju problemy były przez nich napotykane – w przypadku projektów ZIT oraz RIT wskazywane bariery nie różniły się w znaczący sposób od problemów napotykanych przez realizatorów pozostałych projektów.</w:t>
      </w:r>
    </w:p>
    <w:p w14:paraId="2DE97ADB" w14:textId="77777777" w:rsidR="003A4432" w:rsidRPr="007B5F7E" w:rsidRDefault="003A4432" w:rsidP="00DF64C7">
      <w:pPr>
        <w:jc w:val="left"/>
      </w:pPr>
      <w:r w:rsidRPr="007B5F7E">
        <w:t>W ramach projektów realizowanych w formule inwestycji terytorialnych (ZIT i RIT) beneficjenci wsparcia zauważali następujące bariery:</w:t>
      </w:r>
    </w:p>
    <w:p w14:paraId="711AE472" w14:textId="77777777" w:rsidR="003A4432" w:rsidRPr="007B5F7E" w:rsidRDefault="003A4432" w:rsidP="00DF64C7">
      <w:pPr>
        <w:pStyle w:val="Akapitzlist"/>
        <w:numPr>
          <w:ilvl w:val="0"/>
          <w:numId w:val="61"/>
        </w:numPr>
        <w:jc w:val="left"/>
      </w:pPr>
      <w:r w:rsidRPr="007B5F7E">
        <w:t>Późny termin podpisania umowy o dofinansowanie;</w:t>
      </w:r>
    </w:p>
    <w:p w14:paraId="2FBACECB" w14:textId="77777777" w:rsidR="003A4432" w:rsidRPr="007B5F7E" w:rsidRDefault="003A4432" w:rsidP="00DF64C7">
      <w:pPr>
        <w:pStyle w:val="Akapitzlist"/>
        <w:numPr>
          <w:ilvl w:val="0"/>
          <w:numId w:val="61"/>
        </w:numPr>
        <w:jc w:val="left"/>
      </w:pPr>
      <w:r w:rsidRPr="007B5F7E">
        <w:t>Problemy z wyłonieniem wykonawcy;</w:t>
      </w:r>
    </w:p>
    <w:p w14:paraId="2C9C1272" w14:textId="77777777" w:rsidR="003A4432" w:rsidRPr="007B5F7E" w:rsidRDefault="003A4432" w:rsidP="00DF64C7">
      <w:pPr>
        <w:pStyle w:val="Akapitzlist"/>
        <w:numPr>
          <w:ilvl w:val="0"/>
          <w:numId w:val="61"/>
        </w:numPr>
        <w:jc w:val="left"/>
      </w:pPr>
      <w:r w:rsidRPr="007B5F7E">
        <w:t>Brak odpowiednich ofert na rynku;</w:t>
      </w:r>
    </w:p>
    <w:p w14:paraId="7A7C6AF0" w14:textId="77777777" w:rsidR="003A4432" w:rsidRPr="007B5F7E" w:rsidRDefault="003A4432" w:rsidP="00DF64C7">
      <w:pPr>
        <w:pStyle w:val="Akapitzlist"/>
        <w:numPr>
          <w:ilvl w:val="0"/>
          <w:numId w:val="61"/>
        </w:numPr>
        <w:jc w:val="left"/>
      </w:pPr>
      <w:r w:rsidRPr="007B5F7E">
        <w:t>Problemy we współpracy z wykonawcą;</w:t>
      </w:r>
    </w:p>
    <w:p w14:paraId="121F7CFD" w14:textId="77777777" w:rsidR="003A4432" w:rsidRPr="007B5F7E" w:rsidRDefault="003A4432" w:rsidP="00DF64C7">
      <w:pPr>
        <w:pStyle w:val="Akapitzlist"/>
        <w:numPr>
          <w:ilvl w:val="0"/>
          <w:numId w:val="61"/>
        </w:numPr>
        <w:jc w:val="left"/>
      </w:pPr>
      <w:r w:rsidRPr="007B5F7E">
        <w:t>Braki kadrowe;</w:t>
      </w:r>
    </w:p>
    <w:p w14:paraId="5D0ABCDE" w14:textId="77777777" w:rsidR="003A4432" w:rsidRPr="007B5F7E" w:rsidRDefault="003A4432" w:rsidP="00DF64C7">
      <w:pPr>
        <w:pStyle w:val="Akapitzlist"/>
        <w:numPr>
          <w:ilvl w:val="0"/>
          <w:numId w:val="61"/>
        </w:numPr>
        <w:jc w:val="left"/>
      </w:pPr>
      <w:r w:rsidRPr="007B5F7E">
        <w:t>Duże obciążenie - konieczność przeprowadzenia jednocześnie kilku postępowań zamówień publicznych przy jednoczesnym wykonywaniu innych zadań związanych z realizacją projektu oraz zakresem czynności pracowników;</w:t>
      </w:r>
    </w:p>
    <w:p w14:paraId="7FFC6B02" w14:textId="77777777" w:rsidR="003A4432" w:rsidRPr="007B5F7E" w:rsidRDefault="003A4432" w:rsidP="00DF64C7">
      <w:pPr>
        <w:pStyle w:val="Akapitzlist"/>
        <w:numPr>
          <w:ilvl w:val="0"/>
          <w:numId w:val="61"/>
        </w:numPr>
        <w:jc w:val="left"/>
      </w:pPr>
      <w:r w:rsidRPr="007B5F7E">
        <w:t>Zmiana miejsca realizacji projektu;</w:t>
      </w:r>
    </w:p>
    <w:p w14:paraId="11A22E2E" w14:textId="77777777" w:rsidR="003A4432" w:rsidRPr="007B5F7E" w:rsidRDefault="003A4432" w:rsidP="00DF64C7">
      <w:pPr>
        <w:pStyle w:val="Akapitzlist"/>
        <w:numPr>
          <w:ilvl w:val="0"/>
          <w:numId w:val="61"/>
        </w:numPr>
        <w:jc w:val="left"/>
      </w:pPr>
      <w:r w:rsidRPr="007B5F7E">
        <w:t>Problemy we współpracy z partnerem; zerwanie działań partnera przed planowanym końcem projektu;</w:t>
      </w:r>
    </w:p>
    <w:p w14:paraId="15D25755" w14:textId="77777777" w:rsidR="003A4432" w:rsidRPr="007B5F7E" w:rsidRDefault="003A4432" w:rsidP="00DF64C7">
      <w:pPr>
        <w:pStyle w:val="Akapitzlist"/>
        <w:numPr>
          <w:ilvl w:val="0"/>
          <w:numId w:val="61"/>
        </w:numPr>
        <w:jc w:val="left"/>
      </w:pPr>
      <w:r w:rsidRPr="007B5F7E">
        <w:t>Opóźnienia w rozstrzyganiu postępowań przetargowych wynikające ze zbyt wysokich cen oferowanych przez Wykonawców i brak złożonych ofert;</w:t>
      </w:r>
    </w:p>
    <w:p w14:paraId="416D0955" w14:textId="77777777" w:rsidR="003A4432" w:rsidRPr="007B5F7E" w:rsidRDefault="003A4432" w:rsidP="00DF64C7">
      <w:pPr>
        <w:pStyle w:val="Akapitzlist"/>
        <w:numPr>
          <w:ilvl w:val="0"/>
          <w:numId w:val="61"/>
        </w:numPr>
        <w:jc w:val="left"/>
      </w:pPr>
      <w:r w:rsidRPr="007B5F7E">
        <w:t>Małe zainteresowanie wśród potencjalnych beneficjentów;</w:t>
      </w:r>
    </w:p>
    <w:p w14:paraId="0F0BD73A" w14:textId="77777777" w:rsidR="00D264A3" w:rsidRDefault="003A4432" w:rsidP="00DF64C7">
      <w:pPr>
        <w:pStyle w:val="Akapitzlist"/>
        <w:numPr>
          <w:ilvl w:val="0"/>
          <w:numId w:val="61"/>
        </w:numPr>
        <w:jc w:val="left"/>
      </w:pPr>
      <w:r w:rsidRPr="007B5F7E">
        <w:t>Problemy z naborem uczestników</w:t>
      </w:r>
      <w:r w:rsidR="00D264A3">
        <w:t xml:space="preserve"> (problem został jednak zniwelowany poprzez zniesienie obowiązku (wobec części projektów</w:t>
      </w:r>
      <w:r w:rsidR="00703C4C">
        <w:t xml:space="preserve"> realizowanych w ramach Działania 11.4 ZIT/RIT</w:t>
      </w:r>
      <w:r w:rsidR="00D264A3">
        <w:t>) wynikania z zatwierdzonego programu rewitalizacji</w:t>
      </w:r>
      <w:r w:rsidR="00703C4C">
        <w:t xml:space="preserve">, co wiązało </w:t>
      </w:r>
      <w:r w:rsidR="00CC70D2">
        <w:t>się</w:t>
      </w:r>
      <w:r w:rsidR="00703C4C">
        <w:t xml:space="preserve"> faktem braku posiadania przez wszystkie gminy zatwierdzonego</w:t>
      </w:r>
      <w:r w:rsidR="00D264A3">
        <w:t xml:space="preserve"> program</w:t>
      </w:r>
      <w:r w:rsidR="00703C4C">
        <w:t xml:space="preserve">u rewitalizacji oraz z sytuacji, w których zatwierdzony program nie </w:t>
      </w:r>
      <w:r w:rsidR="00D264A3">
        <w:t xml:space="preserve">wskazywał </w:t>
      </w:r>
      <w:r w:rsidR="00703C4C">
        <w:t xml:space="preserve">na </w:t>
      </w:r>
      <w:r w:rsidR="00D264A3">
        <w:t xml:space="preserve">projekty </w:t>
      </w:r>
      <w:r w:rsidR="00703C4C">
        <w:t xml:space="preserve">planowane do zrealizowania w ramach Działania </w:t>
      </w:r>
      <w:r w:rsidR="00D264A3">
        <w:t xml:space="preserve">11.4 </w:t>
      </w:r>
      <w:r w:rsidR="00703C4C">
        <w:t xml:space="preserve">wśród planowanych przedsięwzięć oraz kiedy posiadany (i zatwierdzony) program rewitalizacji nie pozwalał na realizację </w:t>
      </w:r>
      <w:r w:rsidR="00CC70D2">
        <w:t>zakładanego</w:t>
      </w:r>
      <w:r w:rsidR="00703C4C">
        <w:t xml:space="preserve"> projektu przez ograniczenie wynikające z przyjętego obszaru rewitalizacji.</w:t>
      </w:r>
      <w:r w:rsidR="00D264A3">
        <w:t xml:space="preserve"> </w:t>
      </w:r>
    </w:p>
    <w:p w14:paraId="544C7B46" w14:textId="77777777" w:rsidR="003A4432" w:rsidRPr="007B5F7E" w:rsidRDefault="003A4432" w:rsidP="00DF64C7">
      <w:pPr>
        <w:pStyle w:val="Legenda"/>
        <w:spacing w:line="271" w:lineRule="auto"/>
        <w:jc w:val="left"/>
        <w:rPr>
          <w:rFonts w:eastAsia="Times New Roman"/>
        </w:rPr>
      </w:pPr>
      <w:r w:rsidRPr="007B5F7E">
        <w:t>Wykres</w:t>
      </w:r>
      <w:r w:rsidR="00D22B94">
        <w:t xml:space="preserve"> 3</w:t>
      </w:r>
      <w:r w:rsidR="003350B7">
        <w:t>7</w:t>
      </w:r>
      <w:r w:rsidR="00D22B94">
        <w:t>.</w:t>
      </w:r>
      <w:r w:rsidRPr="007B5F7E">
        <w:t xml:space="preserve"> Czy realizowane działania odbywają/odbywały się zgodnie z harmonogramem projektu?</w:t>
      </w:r>
    </w:p>
    <w:p w14:paraId="152216E8" w14:textId="77777777" w:rsidR="003A4432" w:rsidRPr="007B5F7E" w:rsidRDefault="003A4432" w:rsidP="00DF64C7">
      <w:pPr>
        <w:spacing w:before="120" w:after="80"/>
        <w:jc w:val="left"/>
        <w:rPr>
          <w:rFonts w:ascii="Calibri" w:eastAsia="Times New Roman" w:hAnsi="Calibri" w:cs="Times New Roman"/>
          <w:sz w:val="24"/>
        </w:rPr>
      </w:pPr>
      <w:r w:rsidRPr="00D25C1C">
        <w:rPr>
          <w:noProof/>
          <w:lang w:eastAsia="pl-PL"/>
        </w:rPr>
        <w:drawing>
          <wp:inline distT="0" distB="0" distL="0" distR="0" wp14:anchorId="5137A88B" wp14:editId="5F49B330">
            <wp:extent cx="5509260" cy="1653540"/>
            <wp:effectExtent l="0" t="0" r="15240" b="3810"/>
            <wp:docPr id="60" name="Wykres 60" descr="Na wykresie kolumnowym przedstawiono odpowiedzi, które prezentują się następująco: 11.1.1 - 74,2%, 11.1.2 - 100% i 11.1.3 - 86,2%." title="Czy realizowane działania odbywają/odbywały się zgodnie z harmonogramem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7D57A07" w14:textId="77777777" w:rsidR="003A4432" w:rsidRPr="007B5F7E" w:rsidRDefault="003A4432" w:rsidP="00DF64C7">
      <w:pPr>
        <w:spacing w:before="120" w:after="80"/>
        <w:jc w:val="left"/>
        <w:rPr>
          <w:rFonts w:ascii="Calibri" w:eastAsia="Times New Roman" w:hAnsi="Calibri" w:cs="Times New Roman"/>
          <w:sz w:val="24"/>
        </w:rPr>
      </w:pPr>
      <w:r w:rsidRPr="00D25C1C">
        <w:rPr>
          <w:noProof/>
          <w:lang w:eastAsia="pl-PL"/>
        </w:rPr>
        <w:drawing>
          <wp:inline distT="0" distB="0" distL="0" distR="0" wp14:anchorId="296C1859" wp14:editId="32EED4FE">
            <wp:extent cx="5509260" cy="1653540"/>
            <wp:effectExtent l="0" t="0" r="15240" b="3810"/>
            <wp:docPr id="64" name="Wykres 64" descr="Na wykresie kolumnowym przedstawionono odpowiedzi, które przedstawiały się następująco: 11.2.1 - 66,7%, 11.2.2 - 73,0% i 11.2.3 - 85,7%." title="Czy realizowane działania odbywają/odbywały się zgodnie z harmonogramem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3B73DC7" w14:textId="77777777" w:rsidR="003A4432" w:rsidRPr="007B5F7E" w:rsidRDefault="003A4432" w:rsidP="00DF64C7">
      <w:pPr>
        <w:spacing w:before="120" w:after="80"/>
        <w:jc w:val="left"/>
        <w:rPr>
          <w:rFonts w:ascii="Calibri" w:eastAsia="Times New Roman" w:hAnsi="Calibri" w:cs="Times New Roman"/>
          <w:sz w:val="24"/>
        </w:rPr>
      </w:pPr>
      <w:r w:rsidRPr="00D25C1C">
        <w:rPr>
          <w:noProof/>
          <w:lang w:eastAsia="pl-PL"/>
        </w:rPr>
        <w:drawing>
          <wp:inline distT="0" distB="0" distL="0" distR="0" wp14:anchorId="0F6DD2C4" wp14:editId="033B6F6A">
            <wp:extent cx="5509260" cy="1653540"/>
            <wp:effectExtent l="0" t="0" r="15240" b="3810"/>
            <wp:docPr id="67" name="Wykres 67" descr="NA wykresie kolumnowym przedstawionono odpowiedzi, które przedstawiały się następująco: 11.4.1 - 60,0%, 11.4.2 - 33,0% i 11.4.3 - 85,7%." title="Czy realizowane działania odbywają/odbywały się zgodnie z harmonogramem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7C9CFF7" w14:textId="77777777" w:rsidR="003A4432" w:rsidRPr="007B5F7E" w:rsidRDefault="003A4432" w:rsidP="00DF64C7">
      <w:pPr>
        <w:spacing w:after="240"/>
        <w:jc w:val="left"/>
        <w:rPr>
          <w:rFonts w:cs="Arial"/>
          <w:sz w:val="18"/>
        </w:rPr>
      </w:pPr>
      <w:r w:rsidRPr="007B5F7E">
        <w:rPr>
          <w:rFonts w:cs="Arial"/>
          <w:sz w:val="18"/>
        </w:rPr>
        <w:t>Źródło: opracowanie własne na podstawie badania CAWI/CATI z beneficjentami OP XI, 11.1. n=114, 11.2 n=47, 11.4 n=22.</w:t>
      </w:r>
    </w:p>
    <w:p w14:paraId="343BF3F3" w14:textId="77777777" w:rsidR="003A4432" w:rsidRPr="002962E7" w:rsidRDefault="003A4432" w:rsidP="00DF64C7">
      <w:pPr>
        <w:jc w:val="left"/>
      </w:pPr>
      <w:r w:rsidRPr="007B5F7E">
        <w:t>W przypadku pozostałych problemów, podczas wywiadu grupowego wskazano, iż ogłaszanie odrębnych konkursów dla ZIT-ów i RIT-ów wiąże się z dużymi obciążeniami dla referatów, które zajmują się wyborem projektów i powoduje wydłużenie procedury oceny wniosków o dofinansowanie. Zdaniem ekspertów rozważyć należy możliwość ogłaszania tylko jednego konkursu, przy jednoczesnym podzieleniu alokacji na poszczególne subregiony. Zdaniem ekspertów uczestniczących w wywiadzie grupowym w takim przypadku istniałaby jedna procedura i zasady, różne byłyby jednak kryteria i alokacja przeznaczona dla poszczególnych subregionów.</w:t>
      </w:r>
    </w:p>
    <w:p w14:paraId="7B0A741C" w14:textId="77777777" w:rsidR="003A4432" w:rsidRDefault="003A4432" w:rsidP="00DF64C7">
      <w:pPr>
        <w:pStyle w:val="Tekstkomentarza"/>
        <w:spacing w:line="271" w:lineRule="auto"/>
        <w:jc w:val="left"/>
      </w:pPr>
    </w:p>
    <w:p w14:paraId="5B155746" w14:textId="77777777" w:rsidR="003A4432" w:rsidRPr="008552D3" w:rsidRDefault="003A4432" w:rsidP="00DF64C7">
      <w:pPr>
        <w:jc w:val="left"/>
        <w:rPr>
          <w:rStyle w:val="Odwoanieintensywne"/>
        </w:rPr>
      </w:pPr>
      <w:r w:rsidRPr="008552D3">
        <w:rPr>
          <w:rStyle w:val="Odwoanieintensywne"/>
        </w:rPr>
        <w:t>Podsumowanie</w:t>
      </w:r>
    </w:p>
    <w:p w14:paraId="5CC1F112" w14:textId="77777777" w:rsidR="00F72E5D" w:rsidRDefault="00F72E5D" w:rsidP="00DF64C7">
      <w:pPr>
        <w:jc w:val="left"/>
      </w:pPr>
      <w:r>
        <w:t>Działania realizowane w formule ZIT/RIT charakteryzują się wysokim poziom</w:t>
      </w:r>
      <w:r w:rsidR="00E14907">
        <w:t>em</w:t>
      </w:r>
      <w:r>
        <w:t xml:space="preserve"> skuteczności w relacji do analogicznych działań realizowanych w trybie konkursowym/ pozakonkursowym, w szczególności pod względem stopnia osiągnięcia wartości docelowej wskaźników RPO WSL 2014-2020 oraz pod względem kosztu osiągnięcia jednostkowych wartości wskaźników.</w:t>
      </w:r>
      <w:r w:rsidRPr="007251C8">
        <w:t xml:space="preserve"> </w:t>
      </w:r>
      <w:r>
        <w:t>Instrumenty terytorialne ZIT/RIT umożliwiły osiągnięcie wartości docelowej wskaźników, przy zaangażowaniu mniejszych środków finansowych w przeliczeniu na jednostkę wskaźnika, niż analogicznie w przypadku trybu konkursowego/ pozakonkursowego w przypadku 9 spośród 13 analizowanych wskaźników (analizie poddane zostały</w:t>
      </w:r>
      <w:r w:rsidR="00BE23D0">
        <w:t xml:space="preserve"> </w:t>
      </w:r>
      <w:r>
        <w:t>wskaźniki</w:t>
      </w:r>
      <w:r w:rsidR="00BE23D0">
        <w:t>,</w:t>
      </w:r>
      <w:r>
        <w:t xml:space="preserve"> których wartość aktualna kształtowała się powyżej zera)</w:t>
      </w:r>
      <w:r w:rsidR="00BE23D0">
        <w:t xml:space="preserve">. </w:t>
      </w:r>
      <w:r>
        <w:t>W związku z powyższym zasadne jest wdrażanie projektów edukacyjnych w formule instrumentów terytorialnych w przyszłej perspektywie finansowej.</w:t>
      </w:r>
      <w:r w:rsidR="00BE23D0">
        <w:t xml:space="preserve"> </w:t>
      </w:r>
      <w:r w:rsidRPr="00327089">
        <w:t>Mając na uwadze powyższe, efekty projektów realizowanych w formule inwestycji terytorialnych uznać należy za skuteczne, co potwierdzone zostało również wynikami zre</w:t>
      </w:r>
      <w:r>
        <w:t>alizowanego badania CAWI/CATI z </w:t>
      </w:r>
      <w:r w:rsidRPr="00327089">
        <w:t>beneficjentami wsparcia w ramach OP XI.</w:t>
      </w:r>
    </w:p>
    <w:p w14:paraId="174A14CF" w14:textId="77777777" w:rsidR="003A4432" w:rsidRDefault="003A4432" w:rsidP="00DF64C7">
      <w:pPr>
        <w:jc w:val="left"/>
      </w:pPr>
      <w:r w:rsidRPr="00327089">
        <w:t xml:space="preserve">Projekty ZIT/RIT </w:t>
      </w:r>
      <w:r w:rsidR="00515965" w:rsidRPr="00515965">
        <w:t>charakteryzuj</w:t>
      </w:r>
      <w:r w:rsidR="00515965">
        <w:t>ą się względnie wysokim poziomem</w:t>
      </w:r>
      <w:r w:rsidR="00515965" w:rsidRPr="00515965">
        <w:t xml:space="preserve"> skuteczności w relacji do analogicznych działań real</w:t>
      </w:r>
      <w:r w:rsidR="00515965">
        <w:t>izowanych w trybie konkursowym/</w:t>
      </w:r>
      <w:r w:rsidR="00515965" w:rsidRPr="00515965">
        <w:t>pozakonkursowym, w szczególności pod względem stopnia osiągnięcia wartości docelowej wskaźników RPO WSL 2014-2020</w:t>
      </w:r>
      <w:r w:rsidR="00515965">
        <w:t>.</w:t>
      </w:r>
    </w:p>
    <w:p w14:paraId="100D17CD" w14:textId="77777777" w:rsidR="003A4432" w:rsidRDefault="003A4432" w:rsidP="00DF64C7">
      <w:pPr>
        <w:jc w:val="left"/>
      </w:pPr>
      <w:r>
        <w:t>P</w:t>
      </w:r>
      <w:r w:rsidRPr="00327089">
        <w:t>orównując</w:t>
      </w:r>
      <w:r w:rsidR="00515965">
        <w:t xml:space="preserve"> z kolei</w:t>
      </w:r>
      <w:r w:rsidRPr="00327089">
        <w:t xml:space="preserve"> efekty projektów wdrażanych w formule inwestycji terytorialnych oraz pozostałych, nie jest możliwe wykazanie istotnych różni</w:t>
      </w:r>
      <w:r w:rsidR="00BE23D0">
        <w:t>c</w:t>
      </w:r>
      <w:r w:rsidRPr="00327089">
        <w:t xml:space="preserve"> bądź trendów, a odpowiedzi dotyczące projektów ZIT/RIT porównywalne były do odpowiedzi beneficjentów realizujących inne projekty.</w:t>
      </w:r>
    </w:p>
    <w:p w14:paraId="6156DBB4" w14:textId="77777777" w:rsidR="003A4432" w:rsidRDefault="003A4432" w:rsidP="00DF64C7">
      <w:pPr>
        <w:jc w:val="left"/>
      </w:pPr>
      <w:r>
        <w:t>Z</w:t>
      </w:r>
      <w:r w:rsidRPr="00327089">
        <w:t xml:space="preserve">decydowana większość </w:t>
      </w:r>
      <w:r>
        <w:t>beneficjentów</w:t>
      </w:r>
      <w:r w:rsidRPr="00327089">
        <w:t xml:space="preserve"> uznała, iż realizowane działania </w:t>
      </w:r>
      <w:r>
        <w:t xml:space="preserve">w ramach projektu </w:t>
      </w:r>
      <w:r w:rsidRPr="00327089">
        <w:t>odbywają/odbywały się zgodnie z harmonogramem projektu.</w:t>
      </w:r>
      <w:r>
        <w:t xml:space="preserve"> Na etapie wdrażania </w:t>
      </w:r>
      <w:r w:rsidRPr="00197108">
        <w:t>projektów w ramach ZIT/RIT</w:t>
      </w:r>
      <w:r>
        <w:t xml:space="preserve"> zidentyfikowan</w:t>
      </w:r>
      <w:r w:rsidR="00BE23D0">
        <w:t>o</w:t>
      </w:r>
      <w:r>
        <w:t xml:space="preserve"> problemy związane z: późnym terminem podpisania umowy o dofinansowanie</w:t>
      </w:r>
      <w:r w:rsidR="00BE23D0">
        <w:t>,</w:t>
      </w:r>
      <w:r>
        <w:t xml:space="preserve"> problemami z wyłonieniem wykonawcy</w:t>
      </w:r>
      <w:r w:rsidR="00BE23D0">
        <w:t>,</w:t>
      </w:r>
      <w:r>
        <w:t xml:space="preserve"> brakiem odpowiednich ofert na rynku</w:t>
      </w:r>
      <w:r w:rsidR="00BE23D0">
        <w:t>,</w:t>
      </w:r>
      <w:r>
        <w:t xml:space="preserve"> problemami we współpracy z wykonawcą</w:t>
      </w:r>
      <w:r w:rsidR="00BE23D0">
        <w:t>,</w:t>
      </w:r>
      <w:r>
        <w:t xml:space="preserve"> opóźnieniami związanymi z zezwoleniami budowlanymi</w:t>
      </w:r>
      <w:r w:rsidR="00BE23D0">
        <w:t>,</w:t>
      </w:r>
      <w:r>
        <w:t xml:space="preserve"> brakami kadrowymi</w:t>
      </w:r>
      <w:r w:rsidR="00BE23D0">
        <w:t>,</w:t>
      </w:r>
      <w:r>
        <w:t xml:space="preserve"> dużym obciążeniem - koniecznością przeprowadzenia jednocześnie kilku postępowań zamówień publicznych przy jednoczesnym wykonywaniu innych zadań związanych z realizacją projektu oraz zakresem czynności pracowników</w:t>
      </w:r>
      <w:r w:rsidR="00BE23D0">
        <w:t>,</w:t>
      </w:r>
      <w:r>
        <w:t xml:space="preserve"> zmianą miejsca realizacji projektu</w:t>
      </w:r>
      <w:r w:rsidR="00BE23D0">
        <w:t>,</w:t>
      </w:r>
      <w:r>
        <w:t xml:space="preserve"> problemami we współpracy z partnerem</w:t>
      </w:r>
      <w:r w:rsidR="00BE23D0">
        <w:t>,</w:t>
      </w:r>
      <w:r>
        <w:t xml:space="preserve"> zerwanie działań partnera przed planowanym końcem projektu</w:t>
      </w:r>
      <w:r w:rsidR="00BE23D0">
        <w:t>,</w:t>
      </w:r>
      <w:r>
        <w:t xml:space="preserve"> opóźnieniami w rozstrzyganiu postępowań przetargowych wynikające ze zbyt wysokich cen oferowanych przez Wykonawców i brak złożonych ofert</w:t>
      </w:r>
      <w:r w:rsidR="00BE23D0">
        <w:t>,</w:t>
      </w:r>
      <w:r>
        <w:t xml:space="preserve"> małym zainteresowaniem wśród potencjalnych beneficjentów</w:t>
      </w:r>
      <w:r w:rsidR="00BE23D0">
        <w:t>,</w:t>
      </w:r>
      <w:r>
        <w:t xml:space="preserve"> problemami z naborem uczestników. </w:t>
      </w:r>
    </w:p>
    <w:p w14:paraId="5C376620" w14:textId="77777777" w:rsidR="003A4432" w:rsidRDefault="003A4432" w:rsidP="00DF64C7">
      <w:pPr>
        <w:jc w:val="left"/>
      </w:pPr>
      <w:r>
        <w:t xml:space="preserve">W ramach przeciwdziałania problemom należy rozważyć przede wszystkim </w:t>
      </w:r>
      <w:r w:rsidRPr="00327089">
        <w:t>możliwość ogłaszania tylko jednego konkursu, przy jednoczesnym podzieleniu alokacji na poszczególne subregiony. Zdaniem ekspertów uczestniczących w wywiadzie grupowym w takim przypadku istniałaby jedna procedura i zasady, różne byłyby jednak kryteria i alokacja przeznaczona dla poszczególnych subregionów.</w:t>
      </w:r>
    </w:p>
    <w:p w14:paraId="5455BC61" w14:textId="77777777" w:rsidR="00A464CB" w:rsidRDefault="00A464CB" w:rsidP="00DF64C7">
      <w:pPr>
        <w:pStyle w:val="Nagwek3"/>
        <w:tabs>
          <w:tab w:val="left" w:pos="1560"/>
        </w:tabs>
        <w:spacing w:line="271" w:lineRule="auto"/>
        <w:ind w:left="426"/>
        <w:jc w:val="left"/>
        <w:rPr>
          <w:rFonts w:eastAsia="Arial"/>
        </w:rPr>
      </w:pPr>
      <w:bookmarkStart w:id="123" w:name="_Toc38035021"/>
      <w:r w:rsidRPr="00610089">
        <w:rPr>
          <w:rFonts w:eastAsia="Arial"/>
        </w:rPr>
        <w:t>Ocena ścieżki pozakonkursowej:</w:t>
      </w:r>
      <w:bookmarkEnd w:id="119"/>
      <w:r w:rsidRPr="00610089">
        <w:rPr>
          <w:rFonts w:eastAsia="Arial"/>
        </w:rPr>
        <w:t xml:space="preserve"> </w:t>
      </w:r>
      <w:bookmarkStart w:id="124" w:name="_Toc24466828"/>
      <w:r w:rsidRPr="00610089">
        <w:rPr>
          <w:rFonts w:eastAsia="Arial"/>
        </w:rPr>
        <w:t>Czy projekty</w:t>
      </w:r>
      <w:r>
        <w:rPr>
          <w:rFonts w:eastAsia="Arial"/>
        </w:rPr>
        <w:t xml:space="preserve"> w </w:t>
      </w:r>
      <w:r w:rsidRPr="00610089">
        <w:rPr>
          <w:rFonts w:eastAsia="Arial"/>
        </w:rPr>
        <w:t>ramach ścieżki pozakonkursowej były</w:t>
      </w:r>
      <w:r>
        <w:rPr>
          <w:rFonts w:eastAsia="Arial"/>
        </w:rPr>
        <w:t xml:space="preserve"> i </w:t>
      </w:r>
      <w:r w:rsidRPr="00610089">
        <w:rPr>
          <w:rFonts w:eastAsia="Arial"/>
        </w:rPr>
        <w:t>są realizowane zgodnie</w:t>
      </w:r>
      <w:r>
        <w:rPr>
          <w:rFonts w:eastAsia="Arial"/>
        </w:rPr>
        <w:t xml:space="preserve"> z </w:t>
      </w:r>
      <w:r w:rsidRPr="00610089">
        <w:rPr>
          <w:rFonts w:eastAsia="Arial"/>
        </w:rPr>
        <w:t>harmonogramem? Czy wystąpiły/występują problemy</w:t>
      </w:r>
      <w:r>
        <w:rPr>
          <w:rFonts w:eastAsia="Arial"/>
        </w:rPr>
        <w:t xml:space="preserve"> w </w:t>
      </w:r>
      <w:r w:rsidRPr="00610089">
        <w:rPr>
          <w:rFonts w:eastAsia="Arial"/>
        </w:rPr>
        <w:t>ich realizacji</w:t>
      </w:r>
      <w:r>
        <w:rPr>
          <w:rFonts w:eastAsia="Arial"/>
        </w:rPr>
        <w:t xml:space="preserve"> i </w:t>
      </w:r>
      <w:r w:rsidRPr="00610089">
        <w:rPr>
          <w:rFonts w:eastAsia="Arial"/>
        </w:rPr>
        <w:t>jak można im zapobiec?</w:t>
      </w:r>
      <w:bookmarkEnd w:id="120"/>
      <w:bookmarkEnd w:id="121"/>
      <w:bookmarkEnd w:id="123"/>
      <w:bookmarkEnd w:id="124"/>
    </w:p>
    <w:p w14:paraId="7828BE82" w14:textId="77777777" w:rsidR="008F4134" w:rsidRDefault="008F4134" w:rsidP="00DF64C7">
      <w:pPr>
        <w:jc w:val="left"/>
      </w:pPr>
      <w:r>
        <w:t xml:space="preserve">W celu dokonania analizy realizacji harmonogramu oraz problemów na etapie przygotowania/wdrażania każdego z projektów dokonano analizy dokumentacji wdrożeniowej oraz realizowano badania CAWI/CATI z beneficjentami projektów pozakonkursowych. </w:t>
      </w:r>
    </w:p>
    <w:p w14:paraId="4E21894C" w14:textId="77777777" w:rsidR="008658D7" w:rsidRDefault="00DE515A" w:rsidP="00DF64C7">
      <w:pPr>
        <w:jc w:val="left"/>
      </w:pPr>
      <w:r>
        <w:t xml:space="preserve">W ramach ścieżki pozakonkursowej realizowane były projekty </w:t>
      </w:r>
      <w:r w:rsidR="00A73384">
        <w:t>z Poddziałań 11.1.5 (Efektywny rozwój dzieci i młodzieży – program stypendialny), 11.2.3 (Wsparcie szkolnictwa zawodowego) oraz 12.3 (</w:t>
      </w:r>
      <w:r w:rsidR="00906F01">
        <w:t>Instytucje popularyzujące naukę). Wg stanu na dzień 14.10.2019 r. w ramach trybu pozakonkursowego podpisano 270 umów na łączną kwotę 1 177 621 785 zł</w:t>
      </w:r>
      <w:r w:rsidR="009C3DA3">
        <w:t>, co stanowi 61,29% alokacji</w:t>
      </w:r>
      <w:r w:rsidR="00906F01">
        <w:rPr>
          <w:rStyle w:val="Odwoanieprzypisudolnego"/>
        </w:rPr>
        <w:footnoteReference w:id="114"/>
      </w:r>
      <w:r w:rsidR="00D55D3B">
        <w:t>.</w:t>
      </w:r>
    </w:p>
    <w:p w14:paraId="779CFD0D" w14:textId="77777777" w:rsidR="007D1093" w:rsidRDefault="002542DC" w:rsidP="00DF64C7">
      <w:pPr>
        <w:jc w:val="left"/>
      </w:pPr>
      <w:r>
        <w:t xml:space="preserve">W latach 2015-2016 </w:t>
      </w:r>
      <w:r w:rsidR="009C3DA3">
        <w:t>nie stwierdzono problemów w reali</w:t>
      </w:r>
      <w:r w:rsidR="0043367C">
        <w:t>zacji projektów realizowanych w </w:t>
      </w:r>
      <w:r w:rsidR="009C3DA3">
        <w:t>trybie pozakonkursowym.</w:t>
      </w:r>
      <w:r w:rsidR="00DC2D74">
        <w:t xml:space="preserve"> </w:t>
      </w:r>
      <w:r w:rsidR="003B0B3A">
        <w:t>Sprawozdanie za rok 2017 wskazuje, że doprecyzowane zapisy zawarte w SZOOP pozwoliły na przyspie</w:t>
      </w:r>
      <w:r w:rsidR="00B664FF">
        <w:t xml:space="preserve">szenie identyfikacji projektów oraz </w:t>
      </w:r>
      <w:r w:rsidR="003B0B3A">
        <w:t>unikn</w:t>
      </w:r>
      <w:r w:rsidR="00B664FF">
        <w:t>ięcie</w:t>
      </w:r>
      <w:r w:rsidR="003B0B3A">
        <w:t xml:space="preserve"> wydłużających się terminów składania projektów</w:t>
      </w:r>
      <w:r w:rsidR="007E30C8">
        <w:rPr>
          <w:rStyle w:val="Odwoanieprzypisudolnego"/>
        </w:rPr>
        <w:footnoteReference w:id="115"/>
      </w:r>
      <w:r w:rsidR="003B0B3A">
        <w:t>.</w:t>
      </w:r>
    </w:p>
    <w:p w14:paraId="5CA4D0C2" w14:textId="77777777" w:rsidR="00017C6C" w:rsidRDefault="00C7233A" w:rsidP="00DF64C7">
      <w:pPr>
        <w:jc w:val="left"/>
      </w:pPr>
      <w:r>
        <w:t>Część beneficjentów realizujących projekty w ramach ścieżki pozakonkursowej wskazało na opóźnienia w realizacji projektu zgodnie z harmonogramem. Zdecydowana większość takich sytuacji wynika z czynników od nich niezależnych, m.in. opóźnie</w:t>
      </w:r>
      <w:r w:rsidR="0043367C">
        <w:t>ń w podpisaniu umowy o </w:t>
      </w:r>
      <w:r>
        <w:t>dofinansowanie, przedłużających się procedur przetargowych</w:t>
      </w:r>
      <w:r w:rsidR="00CE4D28">
        <w:t xml:space="preserve"> na wyłonienie podwykonawców, weryfikacji wniosku o płatność i opóźnień w wypłacie kolejny</w:t>
      </w:r>
      <w:r w:rsidR="00E671FA">
        <w:t>ch transz dotacji czy zmianami w prawie miejscowym, które miały wpływ na realizację projektu</w:t>
      </w:r>
      <w:r w:rsidR="002B5DF3">
        <w:rPr>
          <w:rStyle w:val="Odwoanieprzypisudolnego"/>
        </w:rPr>
        <w:footnoteReference w:id="116"/>
      </w:r>
      <w:r w:rsidR="00E671FA">
        <w:t>.</w:t>
      </w:r>
    </w:p>
    <w:p w14:paraId="39E99831" w14:textId="77777777" w:rsidR="00482145" w:rsidRDefault="00E00B9F" w:rsidP="00DF64C7">
      <w:pPr>
        <w:jc w:val="left"/>
      </w:pPr>
      <w:r>
        <w:t>Beneficjen</w:t>
      </w:r>
      <w:r w:rsidR="00877C17">
        <w:t>t</w:t>
      </w:r>
      <w:r>
        <w:t xml:space="preserve"> realizujący projekt w ramach Poddziałania 11.1.5 wskaza</w:t>
      </w:r>
      <w:r w:rsidR="00877C17">
        <w:t>ł</w:t>
      </w:r>
      <w:r>
        <w:t xml:space="preserve">, </w:t>
      </w:r>
      <w:r w:rsidR="006B72AE">
        <w:t xml:space="preserve">że znaczna część problemów wynikała z dużej liczby wniosków o stypendium, z których część wymagała poprawy. Błędy zawarte w dokumentacji oraz liczba złożonych wniosków wpływały na wydłużenie się procesu weryfikacji wniosków, co z kolei </w:t>
      </w:r>
      <w:r w:rsidR="007B6D8F">
        <w:t>powodowało</w:t>
      </w:r>
      <w:r w:rsidR="006B72AE">
        <w:t xml:space="preserve"> przesunięcie okresu zatwierdzenia ostatecznej listy stypen</w:t>
      </w:r>
      <w:r w:rsidR="0043367C">
        <w:t>dystów. Problem wynikał także z </w:t>
      </w:r>
      <w:r w:rsidR="006B72AE">
        <w:t xml:space="preserve">błędnych informacji uzyskanych od </w:t>
      </w:r>
      <w:r w:rsidR="007B6D8F">
        <w:t>części</w:t>
      </w:r>
      <w:r w:rsidR="006B72AE">
        <w:t xml:space="preserve"> wnioskodawców stypendium – warunkiem otrzymania stypendium jest niepobieranie innego </w:t>
      </w:r>
      <w:r w:rsidR="006B72AE" w:rsidRPr="006B72AE">
        <w:t xml:space="preserve">stypendium za wyniki w nauce finansowanego ze środków publicznych, w sumarycznej wartości w skali roku szkolnego przewyższającej </w:t>
      </w:r>
      <w:r w:rsidR="007266E2">
        <w:t xml:space="preserve">ustaloną </w:t>
      </w:r>
      <w:r w:rsidR="006B72AE" w:rsidRPr="006B72AE">
        <w:t>kwotę.</w:t>
      </w:r>
      <w:r w:rsidR="006B72AE">
        <w:t xml:space="preserve"> Po ujawnieniu przekroczenia wskazanej sumy konieczne było cofnięcie decyzji o przyznaniu stypendium.</w:t>
      </w:r>
      <w:r w:rsidR="00D71CD2">
        <w:t xml:space="preserve"> </w:t>
      </w:r>
      <w:r w:rsidR="0024208C">
        <w:t>P</w:t>
      </w:r>
      <w:r>
        <w:t xml:space="preserve">roblem w realizacji i rozliczeniu projektów stanowiły </w:t>
      </w:r>
      <w:r w:rsidR="00D71CD2">
        <w:t xml:space="preserve">także </w:t>
      </w:r>
      <w:r>
        <w:t xml:space="preserve">liczne uchybienia w sprawozdaniach z realizacji </w:t>
      </w:r>
      <w:r w:rsidR="00BC6565">
        <w:t>Planów Rozwoju Ucznia</w:t>
      </w:r>
      <w:r>
        <w:t>. Błędy wpływały na opóźnienie terminu uruchomienia procesu wypłaty wynagrodzeń opiekunom i stypendystom</w:t>
      </w:r>
      <w:r w:rsidR="004B674E">
        <w:t xml:space="preserve">. Realizacja projektu wiązała się także z koniecznością wypełnienia dużej ilości dokumentacji dotyczącej zatrudnienia opiekunów dydaktycznych, co jest bardzo czasochłonne i wymaga dużego zaangażowania ze strony personelu merytorycznego i administracyjnego. </w:t>
      </w:r>
      <w:r>
        <w:t xml:space="preserve">Specyfika Poddziałania wpływała także na fakt trudności w </w:t>
      </w:r>
      <w:r w:rsidR="006B72AE">
        <w:t>komu</w:t>
      </w:r>
      <w:r w:rsidR="00F350D7">
        <w:t>nikacji między beneficjent</w:t>
      </w:r>
      <w:r w:rsidR="00877C17">
        <w:t>em</w:t>
      </w:r>
      <w:r w:rsidR="00F350D7">
        <w:t xml:space="preserve"> a </w:t>
      </w:r>
      <w:r w:rsidR="006B72AE">
        <w:t>stypendystami i opiekunami w okresie wakacyjnym</w:t>
      </w:r>
      <w:r w:rsidR="002B5DF3">
        <w:rPr>
          <w:rStyle w:val="Odwoanieprzypisudolnego"/>
        </w:rPr>
        <w:footnoteReference w:id="117"/>
      </w:r>
      <w:r w:rsidR="006B72AE">
        <w:t>.</w:t>
      </w:r>
      <w:r w:rsidR="00482145" w:rsidRPr="00482145">
        <w:t xml:space="preserve"> </w:t>
      </w:r>
    </w:p>
    <w:p w14:paraId="518050FD" w14:textId="77777777" w:rsidR="00017C6C" w:rsidRDefault="00881B6F" w:rsidP="00DF64C7">
      <w:pPr>
        <w:jc w:val="left"/>
      </w:pPr>
      <w:r>
        <w:t xml:space="preserve">Badani opiekunowie projektów oraz przedstawiciele IZ </w:t>
      </w:r>
      <w:r w:rsidR="00482145">
        <w:t xml:space="preserve">wskazali, że zdiagnozowane opóźnienia i problemy nie wpłyną na realizację wskaźników </w:t>
      </w:r>
      <w:r w:rsidR="00C330C1">
        <w:t>rezultatu, kilku spośród nich wskazało jednak, że istnieje ryzyko nieosiągnięcia założonych wartości wskaźników produktu</w:t>
      </w:r>
      <w:r w:rsidR="00482145">
        <w:t>.</w:t>
      </w:r>
      <w:r w:rsidR="00C330C1">
        <w:t xml:space="preserve"> W celu zapobiegania takim sytuacjom, beneficjenci wydłużają termin </w:t>
      </w:r>
      <w:r w:rsidR="00FF21BC">
        <w:t xml:space="preserve">rekrutacji uczestników </w:t>
      </w:r>
      <w:r w:rsidR="00C330C1">
        <w:t>oraz int</w:t>
      </w:r>
      <w:r w:rsidR="0043367C">
        <w:t>ensyfikują promocję projektów i </w:t>
      </w:r>
      <w:r w:rsidR="00F350D7">
        <w:t>związanych z </w:t>
      </w:r>
      <w:r w:rsidR="00C330C1">
        <w:t xml:space="preserve">nimi korzyści. W kilku przypadkach nie było możliwości zapobiegnięcia sytuacji nieosiągnięcia wskaźnika, gdyż wynikała ona z rezygnacji uczestników projektów – następne w kolejności osoby posiadały taką samą </w:t>
      </w:r>
      <w:r w:rsidR="00D15731">
        <w:t>liczbę</w:t>
      </w:r>
      <w:r w:rsidR="00C330C1">
        <w:t xml:space="preserve"> punktów, przez co wybranie jednej </w:t>
      </w:r>
      <w:r w:rsidR="00D15731">
        <w:t>lu</w:t>
      </w:r>
      <w:r w:rsidR="00C330C1">
        <w:t xml:space="preserve">b dwóch brakujących mogłoby być </w:t>
      </w:r>
      <w:r w:rsidR="00D15731">
        <w:t>zinterpretowane jako nierówne traktowanie.</w:t>
      </w:r>
    </w:p>
    <w:p w14:paraId="42AFD4CC" w14:textId="77777777" w:rsidR="00F92A4B" w:rsidRDefault="00F92A4B" w:rsidP="00DF64C7">
      <w:pPr>
        <w:jc w:val="left"/>
      </w:pPr>
      <w:r>
        <w:t>Beneficjent projektu pozakonkursowego realizowanego w ramach Poddziałania 11.2.3 wskazał, że podczas realizacji zadania nie odnotowano</w:t>
      </w:r>
      <w:r w:rsidR="0043367C">
        <w:t xml:space="preserve"> żadnych problemów, w związku z </w:t>
      </w:r>
      <w:r>
        <w:t>tym nie jest także zagrożone osiągnięcie założonych wskaźników produktu i rezultatu</w:t>
      </w:r>
      <w:r w:rsidR="003A336B">
        <w:rPr>
          <w:rStyle w:val="Odwoanieprzypisudolnego"/>
        </w:rPr>
        <w:footnoteReference w:id="118"/>
      </w:r>
      <w:r>
        <w:t>.</w:t>
      </w:r>
    </w:p>
    <w:p w14:paraId="6E837C9C" w14:textId="77777777" w:rsidR="00373720" w:rsidRDefault="005544AF" w:rsidP="00DF64C7">
      <w:pPr>
        <w:jc w:val="left"/>
      </w:pPr>
      <w:r>
        <w:t>Podczas realizacji projektu w ramach Działania 12.3 problemem było głównie długotrwałe postępowanie przetargowe prowadzone w trybie dialogu konkurencyjnego i konieczność jego powtarzania. Beneficjent wskazał także, że wydłużył się okres sprawdzania dokumentacji wykonawczej, która stanowiła podstawę do ogłoszenia postępowania na wykonawcę robót budowlanych.</w:t>
      </w:r>
      <w:r w:rsidR="009F500D">
        <w:t xml:space="preserve"> W związku z przesunięciem terminu ogłoszenia przetargu na wykonawcę robót budowlanych, przesunięciu uległy także ogłoszenia na wybór dostawców wyposażenia.</w:t>
      </w:r>
      <w:r w:rsidR="005A606F">
        <w:t xml:space="preserve"> Okazało się także, że z uwagi na niedoszacowanie realizacji robót budowlanych, konieczne jest zabezpieczenie dodatkowych środków</w:t>
      </w:r>
      <w:r w:rsidR="00F30362">
        <w:t xml:space="preserve"> na ten cel. W 2019 roku pojawił kolejny problem w postaci </w:t>
      </w:r>
      <w:r w:rsidR="00E424DE">
        <w:t xml:space="preserve">sporu między </w:t>
      </w:r>
      <w:r w:rsidR="004F2EF1">
        <w:t>w</w:t>
      </w:r>
      <w:r w:rsidR="00E424DE">
        <w:t xml:space="preserve">ykonawcą a </w:t>
      </w:r>
      <w:r w:rsidR="004F2EF1">
        <w:t>b</w:t>
      </w:r>
      <w:r w:rsidR="00E424DE">
        <w:t>eneficjentem, co skutkować może wydłużeniem realizacji robót.</w:t>
      </w:r>
      <w:r w:rsidR="00014294">
        <w:t xml:space="preserve"> Występujące problemy nie powinny jednak wpłynąć na realizację wskaźników projektu</w:t>
      </w:r>
      <w:r w:rsidR="003A336B">
        <w:rPr>
          <w:rStyle w:val="Odwoanieprzypisudolnego"/>
        </w:rPr>
        <w:footnoteReference w:id="119"/>
      </w:r>
      <w:r w:rsidR="00014294">
        <w:t>.</w:t>
      </w:r>
    </w:p>
    <w:p w14:paraId="45505918" w14:textId="77777777" w:rsidR="00B1057B" w:rsidRDefault="002A7A01" w:rsidP="00DF64C7">
      <w:pPr>
        <w:jc w:val="left"/>
      </w:pPr>
      <w:r>
        <w:t>Badani opiekunowie projektów</w:t>
      </w:r>
      <w:r w:rsidR="00EC4F12">
        <w:t xml:space="preserve"> </w:t>
      </w:r>
      <w:r>
        <w:t xml:space="preserve">pozakonkursowych </w:t>
      </w:r>
      <w:r w:rsidR="00EC4F12">
        <w:t xml:space="preserve">wskazali, że pojawiające się problemy nie miały wpływu na powodzenie Programu i osiągniecie założonych wskaźników. Wyjątek w tej kwestii stanowi wspomniany projekt </w:t>
      </w:r>
      <w:r w:rsidR="00EC4F12" w:rsidRPr="00A72870">
        <w:rPr>
          <w:i/>
        </w:rPr>
        <w:t>Planetarium - Śląski Park Nauki. Modernizacja i rozbudowa Planetarium Śląskiego w Chorzowie</w:t>
      </w:r>
      <w:r w:rsidR="00EC4F12">
        <w:rPr>
          <w:i/>
        </w:rPr>
        <w:t xml:space="preserve">, </w:t>
      </w:r>
      <w:r w:rsidR="00EC4F12">
        <w:t>realizowany w ramach Działania 12.3, w którym konieczne było dość znaczne wydłużenie czasu realizacji projektu</w:t>
      </w:r>
      <w:r w:rsidR="00210E97">
        <w:t xml:space="preserve"> (etap zakończenia robót budowlanych przesunięty został o rok), związane z wymogami środowiskowymi w ramach prowadzonych prac budowlanych</w:t>
      </w:r>
      <w:r w:rsidR="00EC4F12">
        <w:t xml:space="preserve">. </w:t>
      </w:r>
      <w:r w:rsidR="00210E97">
        <w:t>Badani</w:t>
      </w:r>
      <w:r w:rsidR="004D16D2">
        <w:t xml:space="preserve"> opiekunowie projektów</w:t>
      </w:r>
      <w:r w:rsidR="00210E97">
        <w:t xml:space="preserve"> zwrócili przy tym uwagę, że projekt ten jest (ze względu na swoją formę i zakres) stosunkowo nietypowy, lecz nie zauważyli kosztów, których można by w jego przypadku uniknąć (jak wskazano powyżej, sam etap prac budowlanych był wręcz niedoszacowany, ze względu na postępujący w czasie wzrost cen robót i materiałów budowlanych).</w:t>
      </w:r>
      <w:r w:rsidR="002A49F6">
        <w:t xml:space="preserve"> </w:t>
      </w:r>
    </w:p>
    <w:p w14:paraId="3676C144" w14:textId="77777777" w:rsidR="00210E97" w:rsidRDefault="002A49F6" w:rsidP="00DF64C7">
      <w:pPr>
        <w:jc w:val="left"/>
      </w:pPr>
      <w:r>
        <w:t xml:space="preserve">Warto przy tym zaznaczyć, że również w przypadku pozostałych projektów realizowanych w trybie pozakonkursowym </w:t>
      </w:r>
      <w:r w:rsidR="002A7A01">
        <w:t xml:space="preserve">badanym (w tym opiekunom tychże projektów) </w:t>
      </w:r>
      <w:r>
        <w:t>nie udało się wskazać kosztów, których można było uniknąć.</w:t>
      </w:r>
      <w:r w:rsidR="00B1057B">
        <w:t xml:space="preserve"> Badani zwrócili również uwagę, że żaden z wymienionych przez nich problemów nie wynikał z pozakonkursowego trybu wyboru projektów. Jednocześnie </w:t>
      </w:r>
      <w:r w:rsidR="00873017">
        <w:t xml:space="preserve">badani odnosząc się właśnie do tegoż trybu nie potrafili stwierdzić, czy miał pozytywny bądź negatywny wpływ na </w:t>
      </w:r>
      <w:r w:rsidR="00CE5B73">
        <w:t xml:space="preserve">realizację </w:t>
      </w:r>
      <w:r w:rsidR="00873017">
        <w:t xml:space="preserve">projektów – wskazując na jego neutralny charakter. </w:t>
      </w:r>
    </w:p>
    <w:p w14:paraId="04E1157D" w14:textId="77777777" w:rsidR="00EC4F12" w:rsidRDefault="00EC4F12" w:rsidP="00DF64C7">
      <w:pPr>
        <w:jc w:val="left"/>
      </w:pPr>
      <w:r>
        <w:t xml:space="preserve">Zdaniem badanych, brak problemów we wdrażaniu projektów pozakonkursowych wynika m.in. z doświadczenia we wdrażaniu tego rodzaju wsparcia (projekt </w:t>
      </w:r>
      <w:r w:rsidR="000B6DEA">
        <w:t xml:space="preserve">„Śląskie. Inwestujemy w talenty” </w:t>
      </w:r>
      <w:r>
        <w:t>wdrażan</w:t>
      </w:r>
      <w:r w:rsidR="000B6DEA">
        <w:t>y</w:t>
      </w:r>
      <w:r>
        <w:t xml:space="preserve"> by</w:t>
      </w:r>
      <w:r w:rsidR="000B6DEA">
        <w:t>ł już</w:t>
      </w:r>
      <w:r>
        <w:t xml:space="preserve"> dotychczas w ramach kilku edycji).</w:t>
      </w:r>
    </w:p>
    <w:p w14:paraId="4A021056" w14:textId="77777777" w:rsidR="000C3BE9" w:rsidRDefault="000C3BE9" w:rsidP="00DF64C7">
      <w:pPr>
        <w:jc w:val="left"/>
      </w:pPr>
    </w:p>
    <w:p w14:paraId="4C39885C" w14:textId="77777777" w:rsidR="003A336B" w:rsidRPr="003A336B" w:rsidRDefault="003A336B" w:rsidP="00DF64C7">
      <w:pPr>
        <w:jc w:val="left"/>
        <w:rPr>
          <w:rStyle w:val="Odwoanieintensywne"/>
        </w:rPr>
      </w:pPr>
      <w:r w:rsidRPr="003A336B">
        <w:rPr>
          <w:rStyle w:val="Odwoanieintensywne"/>
        </w:rPr>
        <w:t>Podsumowanie</w:t>
      </w:r>
    </w:p>
    <w:p w14:paraId="56311872" w14:textId="485E0868" w:rsidR="003A336B" w:rsidRDefault="005B2F42" w:rsidP="00DF64C7">
      <w:pPr>
        <w:jc w:val="left"/>
      </w:pPr>
      <w:r>
        <w:t xml:space="preserve">W przypadku projektów realizowanych w formule pozakonkursowej zidentyfikowano opóźnienia w założonej w harmonogramie realizacji działań. Opóźnienia wynikały z </w:t>
      </w:r>
      <w:r w:rsidR="001A5A5C">
        <w:t>c</w:t>
      </w:r>
      <w:r>
        <w:t xml:space="preserve">zynników </w:t>
      </w:r>
      <w:r w:rsidRPr="008A11A0">
        <w:t>niezależnych</w:t>
      </w:r>
      <w:r>
        <w:t xml:space="preserve"> od beneficjentów</w:t>
      </w:r>
      <w:r w:rsidRPr="008A11A0">
        <w:t>, m.in. opóźnień w podpisaniu umowy o</w:t>
      </w:r>
      <w:r w:rsidR="001A5A5C">
        <w:t xml:space="preserve"> </w:t>
      </w:r>
      <w:r w:rsidRPr="008A11A0">
        <w:t>dofinansowanie, przedłużających się procedur przetargowych na wyłonienie</w:t>
      </w:r>
      <w:r w:rsidR="001A5A5C">
        <w:t xml:space="preserve"> </w:t>
      </w:r>
      <w:r w:rsidRPr="008A11A0">
        <w:t>podwykonawców, weryfikacji wniosku o płatność i opóźnień w wypłacie kolejnych transz dotacji czy zmianami w prawie miejscowym, które miały wpływ na realizację projektu</w:t>
      </w:r>
      <w:r>
        <w:t>. Warto jednakże zwrócić uwagę na fakt, że, zdaniem beneficjentów,</w:t>
      </w:r>
      <w:r w:rsidRPr="00F52038">
        <w:t xml:space="preserve"> zdiagnozowane opóźnienia i problemy nie wpłyną na </w:t>
      </w:r>
      <w:r>
        <w:t>realizację wskaźników rezultatu</w:t>
      </w:r>
      <w:r w:rsidRPr="00F52038">
        <w:t xml:space="preserve">. W celu zapobiegania </w:t>
      </w:r>
      <w:r>
        <w:t>problemom</w:t>
      </w:r>
      <w:r w:rsidRPr="00F52038">
        <w:t xml:space="preserve"> beneficjenci wydłużają termin naboru oraz intensyfikują promocję projektów i związanych z nimi korzyści.</w:t>
      </w:r>
    </w:p>
    <w:p w14:paraId="3483C440" w14:textId="77777777" w:rsidR="007B6935" w:rsidRDefault="007B6935" w:rsidP="00DF64C7">
      <w:pPr>
        <w:jc w:val="left"/>
      </w:pPr>
    </w:p>
    <w:p w14:paraId="3E0CA83D" w14:textId="77777777" w:rsidR="007B6935" w:rsidRDefault="007B6935" w:rsidP="00DF64C7">
      <w:pPr>
        <w:jc w:val="left"/>
      </w:pPr>
    </w:p>
    <w:p w14:paraId="069EEF99" w14:textId="77777777" w:rsidR="00A464CB" w:rsidRDefault="00A464CB" w:rsidP="00DF64C7">
      <w:pPr>
        <w:pStyle w:val="Nagwek3"/>
        <w:spacing w:line="271" w:lineRule="auto"/>
        <w:ind w:left="426"/>
        <w:jc w:val="left"/>
        <w:rPr>
          <w:rFonts w:eastAsia="Arial"/>
        </w:rPr>
      </w:pPr>
      <w:bookmarkStart w:id="125" w:name="_Toc24466829"/>
      <w:bookmarkStart w:id="126" w:name="_Toc26526290"/>
      <w:bookmarkStart w:id="127" w:name="_Toc25664309"/>
      <w:bookmarkStart w:id="128" w:name="_Toc38035022"/>
      <w:r w:rsidRPr="00610089">
        <w:rPr>
          <w:rFonts w:eastAsia="Arial"/>
        </w:rPr>
        <w:t>Ocena ścieżki pozakonkursowej:</w:t>
      </w:r>
      <w:bookmarkEnd w:id="125"/>
      <w:r>
        <w:rPr>
          <w:rFonts w:eastAsia="Arial"/>
        </w:rPr>
        <w:t xml:space="preserve"> </w:t>
      </w:r>
      <w:r w:rsidRPr="003B766F">
        <w:rPr>
          <w:rFonts w:eastAsia="Arial"/>
        </w:rPr>
        <w:t>W jakim stopniu program stypendialny realizowany w ramach Działania 1</w:t>
      </w:r>
      <w:r w:rsidR="0051099C">
        <w:rPr>
          <w:rFonts w:eastAsia="Arial"/>
        </w:rPr>
        <w:t>1.1.5 Efektywny rozwój dzieci i </w:t>
      </w:r>
      <w:r w:rsidRPr="003B766F">
        <w:rPr>
          <w:rFonts w:eastAsia="Arial"/>
        </w:rPr>
        <w:t>młodzieży wpłynął na podniesienie jakości kształcenia w zakresie przedmiotów matematyczno-przyrodniczych i technicznych?</w:t>
      </w:r>
      <w:bookmarkEnd w:id="126"/>
      <w:bookmarkEnd w:id="127"/>
      <w:bookmarkEnd w:id="128"/>
    </w:p>
    <w:p w14:paraId="1A5A8658" w14:textId="77777777" w:rsidR="008D703A" w:rsidRDefault="008D703A" w:rsidP="00DF64C7">
      <w:pPr>
        <w:jc w:val="left"/>
        <w:rPr>
          <w:rFonts w:eastAsia="DejaVuSans" w:cs="DejaVuSans"/>
        </w:rPr>
      </w:pPr>
      <w:r>
        <w:t xml:space="preserve">W ramach </w:t>
      </w:r>
      <w:r w:rsidRPr="007C31B7">
        <w:t>poddzia</w:t>
      </w:r>
      <w:r w:rsidRPr="007C31B7">
        <w:rPr>
          <w:rFonts w:hint="eastAsia"/>
        </w:rPr>
        <w:t>ł</w:t>
      </w:r>
      <w:r w:rsidRPr="007C31B7">
        <w:t>ania: 11.1.5. Efektywny rozw</w:t>
      </w:r>
      <w:r w:rsidRPr="007C31B7">
        <w:rPr>
          <w:rFonts w:hint="eastAsia"/>
        </w:rPr>
        <w:t>ó</w:t>
      </w:r>
      <w:r w:rsidRPr="007C31B7">
        <w:t>j dzieci i m</w:t>
      </w:r>
      <w:r w:rsidRPr="007C31B7">
        <w:rPr>
          <w:rFonts w:hint="eastAsia"/>
        </w:rPr>
        <w:t>ł</w:t>
      </w:r>
      <w:r w:rsidRPr="007C31B7">
        <w:t>odzie</w:t>
      </w:r>
      <w:r w:rsidRPr="007C31B7">
        <w:rPr>
          <w:rFonts w:hint="eastAsia"/>
        </w:rPr>
        <w:t>ż</w:t>
      </w:r>
      <w:r w:rsidR="001149A8">
        <w:t xml:space="preserve">y – </w:t>
      </w:r>
      <w:r w:rsidRPr="007C31B7">
        <w:t>program stypendialny</w:t>
      </w:r>
      <w:r>
        <w:t xml:space="preserve">, zostało przeprowadzonych pięć naborów (edycji) dla projektów pod nazwą </w:t>
      </w:r>
      <w:r w:rsidRPr="007C31B7">
        <w:rPr>
          <w:rFonts w:eastAsia="DejaVuSans" w:cs="DejaVuSans"/>
          <w:i/>
        </w:rPr>
        <w:t xml:space="preserve">Śląskie. Inwestujemy w </w:t>
      </w:r>
      <w:r w:rsidR="00C736B8" w:rsidRPr="007C31B7">
        <w:rPr>
          <w:rFonts w:eastAsia="DejaVuSans" w:cs="DejaVuSans"/>
          <w:i/>
        </w:rPr>
        <w:t>talent</w:t>
      </w:r>
      <w:r w:rsidR="00C736B8">
        <w:rPr>
          <w:rFonts w:eastAsia="DejaVuSans" w:cs="DejaVuSans"/>
          <w:i/>
        </w:rPr>
        <w:t>y</w:t>
      </w:r>
      <w:r>
        <w:rPr>
          <w:rFonts w:eastAsia="DejaVuSans" w:cs="DejaVuSans"/>
        </w:rPr>
        <w:t>. Tryb wyboru projektów przyjął formę pozakonkursową. Kwota łączna wydatków kwalifikowanych, w ramach wszystkich pięciu edycji, wyniosła 23 338 370,00 złotych. Najniższ</w:t>
      </w:r>
      <w:r w:rsidR="00F725C1">
        <w:rPr>
          <w:rFonts w:eastAsia="DejaVuSans" w:cs="DejaVuSans"/>
        </w:rPr>
        <w:t>a</w:t>
      </w:r>
      <w:r>
        <w:rPr>
          <w:rFonts w:eastAsia="DejaVuSans" w:cs="DejaVuSans"/>
        </w:rPr>
        <w:t xml:space="preserve"> wartość </w:t>
      </w:r>
      <w:r w:rsidR="00F725C1">
        <w:rPr>
          <w:rFonts w:eastAsia="DejaVuSans" w:cs="DejaVuSans"/>
        </w:rPr>
        <w:t>wystąpiła</w:t>
      </w:r>
      <w:r>
        <w:rPr>
          <w:rFonts w:eastAsia="DejaVuSans" w:cs="DejaVuSans"/>
        </w:rPr>
        <w:t xml:space="preserve"> w edycji pierwszej </w:t>
      </w:r>
      <w:r w:rsidR="001149A8">
        <w:rPr>
          <w:rFonts w:eastAsia="DejaVuSans" w:cs="DejaVuSans"/>
        </w:rPr>
        <w:t>–</w:t>
      </w:r>
      <w:r>
        <w:rPr>
          <w:rFonts w:eastAsia="DejaVuSans" w:cs="DejaVuSans"/>
        </w:rPr>
        <w:t xml:space="preserve"> </w:t>
      </w:r>
      <w:r w:rsidRPr="007A7F5F">
        <w:rPr>
          <w:rFonts w:eastAsia="DejaVuSans" w:cs="DejaVuSans"/>
        </w:rPr>
        <w:t>3 625 760,00</w:t>
      </w:r>
      <w:r>
        <w:rPr>
          <w:rFonts w:eastAsia="DejaVuSans" w:cs="DejaVuSans"/>
        </w:rPr>
        <w:t xml:space="preserve"> złotych. W każdej kolejnej edycji wartość ta sukcesywnie wzrastała. W ostatniej, piątej edycji konkursowej wydatki kwalifikowane wyniosły </w:t>
      </w:r>
      <w:r w:rsidRPr="007A7F5F">
        <w:rPr>
          <w:rFonts w:eastAsia="DejaVuSans" w:cs="DejaVuSans"/>
        </w:rPr>
        <w:t>5 007 560,00</w:t>
      </w:r>
      <w:r>
        <w:rPr>
          <w:rFonts w:eastAsia="DejaVuSans" w:cs="DejaVuSans"/>
        </w:rPr>
        <w:t xml:space="preserve"> złotych. Wnioskodawcą oraz liderem projektu było województwo śląskie. Projekt jest dofinansowany w 95%</w:t>
      </w:r>
      <w:r w:rsidR="00F725C1">
        <w:rPr>
          <w:rStyle w:val="Odwoanieprzypisudolnego"/>
          <w:rFonts w:eastAsia="DejaVuSans"/>
        </w:rPr>
        <w:footnoteReference w:id="120"/>
      </w:r>
      <w:r>
        <w:rPr>
          <w:rFonts w:eastAsia="DejaVuSans" w:cs="DejaVuSans"/>
        </w:rPr>
        <w:t xml:space="preserve">. </w:t>
      </w:r>
    </w:p>
    <w:p w14:paraId="1DE09591" w14:textId="77777777" w:rsidR="008D703A" w:rsidRDefault="008D703A" w:rsidP="00DF64C7">
      <w:pPr>
        <w:jc w:val="left"/>
      </w:pPr>
      <w:r w:rsidRPr="007566B2">
        <w:t>Każda z edycji projektu zakładała pomoc stypendialną przyznawan</w:t>
      </w:r>
      <w:r w:rsidR="001149A8">
        <w:t>ą</w:t>
      </w:r>
      <w:r w:rsidRPr="007566B2">
        <w:t xml:space="preserve"> uczniom w zakresie przedmiotów matematycznych, przyrodniczych, informatycznych oraz języków obcych. Wsparcie kierowane było do uczniów zamieszkujących teren województwa śląskiego</w:t>
      </w:r>
      <w:r w:rsidR="001149A8">
        <w:t>,</w:t>
      </w:r>
      <w:r w:rsidRPr="007566B2">
        <w:t xml:space="preserve"> wykazujących się szczególnymi predyspozycjami w zakresie wskazanych nauk. Szczególnym uwzględnieniem zostały objęte osoby</w:t>
      </w:r>
      <w:r w:rsidR="00877C17">
        <w:t xml:space="preserve"> z</w:t>
      </w:r>
      <w:r w:rsidRPr="007566B2">
        <w:t xml:space="preserve"> niepełnosprawn</w:t>
      </w:r>
      <w:r w:rsidR="00877C17">
        <w:t>ościami</w:t>
      </w:r>
      <w:r w:rsidRPr="007566B2">
        <w:t>. Stypendia wypłacane były w oparciu o złożone przez uczniów wnioski o przyznanie stypendium wraz ze sporządzonym Planem Rozwoju Ucznia określającym jego cele edukacyjne.</w:t>
      </w:r>
    </w:p>
    <w:p w14:paraId="4BD6ACF9" w14:textId="77777777" w:rsidR="008D703A" w:rsidRDefault="008D703A" w:rsidP="00DF64C7">
      <w:pPr>
        <w:jc w:val="left"/>
        <w:rPr>
          <w:rFonts w:eastAsia="DejaVuSans" w:cs="DejaVuSans"/>
        </w:rPr>
      </w:pPr>
      <w:r w:rsidRPr="00892F76">
        <w:t>Ponadto, dzięki o</w:t>
      </w:r>
      <w:r w:rsidR="001149A8">
        <w:t>ferowanemu wsparciu finansowemu</w:t>
      </w:r>
      <w:r w:rsidR="00367F85">
        <w:t xml:space="preserve"> </w:t>
      </w:r>
      <w:r w:rsidRPr="00892F76">
        <w:t>będące</w:t>
      </w:r>
      <w:r w:rsidR="001149A8">
        <w:t>mu</w:t>
      </w:r>
      <w:r w:rsidRPr="00892F76">
        <w:t xml:space="preserve"> dodatkowym elementem motywującym do nauki, uczniowie</w:t>
      </w:r>
      <w:r w:rsidR="001149A8">
        <w:t>,</w:t>
      </w:r>
      <w:r w:rsidRPr="00892F76">
        <w:t xml:space="preserve"> </w:t>
      </w:r>
      <w:r w:rsidR="001149A8">
        <w:t>a także opiekunowie dydaktyczni, mi</w:t>
      </w:r>
      <w:r w:rsidRPr="00892F76">
        <w:t xml:space="preserve">eli możliwość rozwijania swoich zdolności oraz zainteresowań. Celem projektu w ramach każdej z pięciu edycji było również kształtowanie wśród uczniów postawy „uczenia się przez całe życie”. Dodatkowo </w:t>
      </w:r>
      <w:r w:rsidRPr="00892F76">
        <w:rPr>
          <w:rFonts w:eastAsia="DejaVuSans" w:cs="DejaVuSans"/>
        </w:rPr>
        <w:t xml:space="preserve">uczniowie objęci wsparciem stypendialnym w ramach zajęć </w:t>
      </w:r>
      <w:r w:rsidR="001149A8">
        <w:rPr>
          <w:rFonts w:eastAsia="DejaVuSans" w:cs="DejaVuSans"/>
        </w:rPr>
        <w:t xml:space="preserve">otrzymywali </w:t>
      </w:r>
      <w:r w:rsidRPr="00892F76">
        <w:rPr>
          <w:rFonts w:eastAsia="DejaVuSans" w:cs="DejaVuSans"/>
        </w:rPr>
        <w:t>opiek</w:t>
      </w:r>
      <w:r w:rsidR="001149A8">
        <w:rPr>
          <w:rFonts w:eastAsia="DejaVuSans" w:cs="DejaVuSans"/>
        </w:rPr>
        <w:t>ę</w:t>
      </w:r>
      <w:r w:rsidRPr="00892F76">
        <w:rPr>
          <w:rFonts w:eastAsia="DejaVuSans" w:cs="DejaVuSans"/>
        </w:rPr>
        <w:t xml:space="preserve"> dydaktyczną nauczyciela, pedagoga szkolnego lub doradcy zawodowego. Element ten stwarzał szansę ekonomiczną dla opiekunów, którzy w ramach projektu otrzymywali stosownie do pełnionych obowiązków wynagrodzenie za pracę. </w:t>
      </w:r>
    </w:p>
    <w:p w14:paraId="05B6A95F" w14:textId="77777777" w:rsidR="008D703A" w:rsidRDefault="008D703A" w:rsidP="00DF64C7">
      <w:pPr>
        <w:jc w:val="left"/>
      </w:pPr>
      <w:r w:rsidRPr="007E0274">
        <w:t xml:space="preserve">Zasięg terytorialny projektu obejmował wszystkie szkoły gimnazjalne i ponadgimnazjalne, a po reformie edukacyjnej, wszystkie licea i technika w regionie. Wsparcie </w:t>
      </w:r>
      <w:r>
        <w:t>kierowane do młodzieży o szczególnych uzdolnieniach</w:t>
      </w:r>
      <w:r w:rsidRPr="007E0274">
        <w:t xml:space="preserve"> w zakresie</w:t>
      </w:r>
      <w:r>
        <w:t xml:space="preserve"> </w:t>
      </w:r>
      <w:r w:rsidRPr="007E0274">
        <w:t xml:space="preserve">przedmiotów matematycznych, przyrodniczych, informatycznych i języków obcych </w:t>
      </w:r>
      <w:r>
        <w:t xml:space="preserve">było działaniem </w:t>
      </w:r>
      <w:r w:rsidRPr="007E0274">
        <w:t>strategicznym</w:t>
      </w:r>
      <w:r>
        <w:t xml:space="preserve">. Projekt można uznać za perspektywiczny, który w konsekwencji </w:t>
      </w:r>
      <w:r w:rsidR="001149A8">
        <w:t>przyczynia się do budowania</w:t>
      </w:r>
      <w:r>
        <w:t xml:space="preserve"> potencjaln</w:t>
      </w:r>
      <w:r w:rsidR="001149A8">
        <w:t>ej</w:t>
      </w:r>
      <w:r>
        <w:t xml:space="preserve"> gospodark</w:t>
      </w:r>
      <w:r w:rsidR="001149A8">
        <w:t>i wiedzy województwie</w:t>
      </w:r>
      <w:r>
        <w:t xml:space="preserve"> śląski</w:t>
      </w:r>
      <w:r w:rsidR="001149A8">
        <w:t xml:space="preserve">m. Podejmowane działania, w dłuższej </w:t>
      </w:r>
      <w:r>
        <w:t>perspektywie czasu, mają za zadanie rozwinięcie gospodarki oraz regionalnego rynku pracy w oparciu o ludzi młodych</w:t>
      </w:r>
      <w:r w:rsidR="001149A8">
        <w:t>,</w:t>
      </w:r>
      <w:r>
        <w:t xml:space="preserve"> ze szczególnym uwzględnieniem predyspozycji do przedmiotów ścisłych oraz językowych.</w:t>
      </w:r>
    </w:p>
    <w:p w14:paraId="4B8C5DFA" w14:textId="77777777" w:rsidR="00EB4FFB" w:rsidRDefault="008D703A" w:rsidP="00DF64C7">
      <w:pPr>
        <w:jc w:val="left"/>
        <w:rPr>
          <w:rFonts w:eastAsia="DejaVuSans" w:cs="DejaVuSans"/>
        </w:rPr>
      </w:pPr>
      <w:r>
        <w:t xml:space="preserve">Realizacja pierwszej z edycji projektu pn. </w:t>
      </w:r>
      <w:r w:rsidRPr="007C31B7">
        <w:rPr>
          <w:rFonts w:eastAsia="DejaVuSans" w:cs="DejaVuSans"/>
          <w:i/>
        </w:rPr>
        <w:t>Śląskie. Inwestujemy w talent</w:t>
      </w:r>
      <w:r w:rsidR="00CC28D1">
        <w:rPr>
          <w:rFonts w:eastAsia="DejaVuSans" w:cs="DejaVuSans"/>
          <w:i/>
        </w:rPr>
        <w:t>y</w:t>
      </w:r>
      <w:r>
        <w:rPr>
          <w:rFonts w:eastAsia="DejaVuSans" w:cs="DejaVuSans"/>
        </w:rPr>
        <w:t xml:space="preserve"> przypadła na rok szkolny 2015/2016. Wsparcie stypendialne przeznaczone było </w:t>
      </w:r>
      <w:r w:rsidRPr="001149A8">
        <w:t>dla 500 uczniów i uczennic w regionie. Następne edycje projektu objęły pomocą kolejno: 62</w:t>
      </w:r>
      <w:r w:rsidR="001149A8" w:rsidRPr="001149A8">
        <w:t>1</w:t>
      </w:r>
      <w:r w:rsidRPr="001149A8">
        <w:t>, 628,</w:t>
      </w:r>
      <w:r>
        <w:rPr>
          <w:rFonts w:eastAsia="DejaVuSans" w:cs="DejaVuSans"/>
        </w:rPr>
        <w:t xml:space="preserve"> 634 oraz 625 uczniów i uczennic szkół średnich w województwie śląskim. </w:t>
      </w:r>
      <w:r w:rsidR="001149A8">
        <w:rPr>
          <w:rFonts w:eastAsia="DejaVuSans" w:cs="DejaVuSans"/>
        </w:rPr>
        <w:t>Piąta edycja</w:t>
      </w:r>
      <w:r>
        <w:rPr>
          <w:rFonts w:eastAsia="DejaVuSans" w:cs="DejaVuSans"/>
        </w:rPr>
        <w:t xml:space="preserve"> projektu jest realizowana do 31 grudnia 2020 roku, przypadając jednocześnie na rok szkolny 2019/2020. </w:t>
      </w:r>
    </w:p>
    <w:p w14:paraId="62FE3010" w14:textId="77777777" w:rsidR="008D703A" w:rsidRDefault="008D703A" w:rsidP="00DF64C7">
      <w:pPr>
        <w:jc w:val="left"/>
        <w:rPr>
          <w:rFonts w:eastAsia="DejaVuSans" w:cs="DejaVuSans"/>
        </w:rPr>
      </w:pPr>
      <w:r>
        <w:rPr>
          <w:rFonts w:eastAsia="DejaVuSans" w:cs="DejaVuSans"/>
        </w:rPr>
        <w:t xml:space="preserve">Każda z edycji wspierała młodzież z wielu placówek szkolnych na terenie całego województwa. Pierwsza edycja podmiotowo objęła 220 szkół, edycja druga 184 szkoły, edycja trzecia 212 szkół, edycja czwarta natomiast </w:t>
      </w:r>
      <w:r w:rsidR="00EB4FFB">
        <w:rPr>
          <w:rFonts w:eastAsia="DejaVuSans" w:cs="DejaVuSans"/>
        </w:rPr>
        <w:t>82</w:t>
      </w:r>
      <w:r w:rsidR="00367F85">
        <w:rPr>
          <w:rFonts w:eastAsia="DejaVuSans" w:cs="DejaVuSans"/>
        </w:rPr>
        <w:t xml:space="preserve"> </w:t>
      </w:r>
      <w:r>
        <w:rPr>
          <w:rFonts w:eastAsia="DejaVuSans" w:cs="DejaVuSans"/>
        </w:rPr>
        <w:t>placówki</w:t>
      </w:r>
      <w:r w:rsidR="00EB4FFB">
        <w:rPr>
          <w:rStyle w:val="Odwoanieprzypisudolnego"/>
          <w:rFonts w:eastAsia="DejaVuSans"/>
        </w:rPr>
        <w:footnoteReference w:id="121"/>
      </w:r>
      <w:r w:rsidR="00EB4FFB">
        <w:rPr>
          <w:rFonts w:eastAsia="DejaVuSans" w:cs="DejaVuSans"/>
        </w:rPr>
        <w:t xml:space="preserve">. </w:t>
      </w:r>
      <w:r>
        <w:rPr>
          <w:rFonts w:eastAsia="DejaVuSans" w:cs="DejaVuSans"/>
        </w:rPr>
        <w:t>Najwyższy koszt przeznaczony dla jednego uczestnika projektu odnotowano w edycji czwartej i wyniósł on 8 030,77 złotych na osobę.</w:t>
      </w:r>
    </w:p>
    <w:p w14:paraId="4C86B366" w14:textId="77777777" w:rsidR="008D703A" w:rsidRPr="00984BC7" w:rsidRDefault="008D703A" w:rsidP="00DF64C7">
      <w:pPr>
        <w:jc w:val="left"/>
        <w:rPr>
          <w:rFonts w:eastAsia="DejaVuSans" w:cs="DejaVuSans"/>
        </w:rPr>
      </w:pPr>
      <w:r w:rsidRPr="00984BC7">
        <w:t>Aby wsparcie zostało przyznane najbardziej uzdolnionym uczniom i uczennicom, każda z edycji projektu przyjęła tryb konkursowy. Wnioskujące osoby poza kryteriami obligatoryjnymi mog</w:t>
      </w:r>
      <w:r w:rsidR="00EB4FFB">
        <w:t>ły</w:t>
      </w:r>
      <w:r w:rsidRPr="00984BC7">
        <w:t xml:space="preserve"> również zwiększyć swoje szanse na uzyskanie wsparcia poprzez spełnienie kryteriów premiujących. Kryteria obligatoryjne dotyczyły ocen klasyfikacyjnych uzyskanych przez uczniów z przedmiotów: przyrodniczych, informatycznych, języków obcych, matematyki, a także maksymalny wynik punktowy z części matematycznej i języka obcego nowożytnego na sprawdzianie zewnętrznym lub egzaminie gimnazjalnym.</w:t>
      </w:r>
      <w:r w:rsidRPr="00984BC7">
        <w:rPr>
          <w:rFonts w:eastAsia="DejaVuSans" w:cs="DejaVuSans"/>
        </w:rPr>
        <w:t xml:space="preserve"> Kryteria premiujące stanowiły osiągnięcia w olimpiadach, konkursach lub turniejach.</w:t>
      </w:r>
    </w:p>
    <w:p w14:paraId="669D24DF" w14:textId="77777777" w:rsidR="008D703A" w:rsidRDefault="008D703A" w:rsidP="00DF64C7">
      <w:pPr>
        <w:jc w:val="left"/>
      </w:pPr>
      <w:r w:rsidRPr="00984BC7">
        <w:t>Ponadto, w ramach każdej z edycji projektu</w:t>
      </w:r>
      <w:r w:rsidR="00EB4FFB">
        <w:t>,</w:t>
      </w:r>
      <w:r w:rsidRPr="00984BC7">
        <w:t xml:space="preserve"> wystąpiły kryteria dodatkowo punktowane. Aby wyrównać szanse edukacyjne osób najczęściej dyskryminowanych, projekt zakładał przyznanie dodatkowych punktów we wniosku dla uczniów z niepełnosprawnościami. Wynika to z faktu, iż osoby z ograniczeniami sprawności muszą pokonać dodatkowe bariery. </w:t>
      </w:r>
      <w:r w:rsidR="00EB4FFB">
        <w:t>P</w:t>
      </w:r>
      <w:r w:rsidRPr="00984BC7">
        <w:t xml:space="preserve">rojekt zakładał </w:t>
      </w:r>
      <w:r w:rsidR="00EB4FFB">
        <w:t xml:space="preserve">również </w:t>
      </w:r>
      <w:r w:rsidRPr="00984BC7">
        <w:t>premiowanie uczniów</w:t>
      </w:r>
      <w:r>
        <w:t xml:space="preserve"> oraz uczennic z </w:t>
      </w:r>
      <w:r w:rsidRPr="00984BC7">
        <w:t>rodzin wielodzietnych. Jest to uzasadnione faktem, iż rodziny te posiadają bariery zwią</w:t>
      </w:r>
      <w:r>
        <w:t>zane z </w:t>
      </w:r>
      <w:r w:rsidRPr="00984BC7">
        <w:t>brakiem środków finansowych na wspieranie uzdolnień i pasji edukacyjnych swoich dzieci. Dodatkowo kryterium premiującym b</w:t>
      </w:r>
      <w:r w:rsidR="00EB4FFB">
        <w:t>yło</w:t>
      </w:r>
      <w:r w:rsidRPr="00984BC7">
        <w:t xml:space="preserve"> niepobieranie przez ucznia/uczennicę stypendium w ramach poprzednich edycji projektu</w:t>
      </w:r>
      <w:r>
        <w:t>.</w:t>
      </w:r>
    </w:p>
    <w:p w14:paraId="359C7087" w14:textId="77777777" w:rsidR="008D703A" w:rsidRDefault="008D703A" w:rsidP="00DF64C7">
      <w:pPr>
        <w:jc w:val="left"/>
        <w:rPr>
          <w:rFonts w:eastAsia="DejaVuSans" w:cs="DejaVuSans"/>
        </w:rPr>
      </w:pPr>
      <w:r w:rsidRPr="00013007">
        <w:t xml:space="preserve">Realizacja projektu jest wysoce uzasadniona sytuacją na rynku pracy w województwie śląskim. </w:t>
      </w:r>
      <w:r>
        <w:rPr>
          <w:rFonts w:eastAsia="DejaVuSans" w:cs="DejaVuSans"/>
        </w:rPr>
        <w:t xml:space="preserve">W obrębie </w:t>
      </w:r>
      <w:r w:rsidR="00987479">
        <w:rPr>
          <w:rFonts w:eastAsia="DejaVuSans" w:cs="DejaVuSans"/>
        </w:rPr>
        <w:t>regionu</w:t>
      </w:r>
      <w:r>
        <w:rPr>
          <w:rFonts w:eastAsia="DejaVuSans" w:cs="DejaVuSans"/>
        </w:rPr>
        <w:t xml:space="preserve"> zauważalna jest </w:t>
      </w:r>
      <w:r w:rsidRPr="00013007">
        <w:rPr>
          <w:rFonts w:eastAsia="DejaVuSans" w:cs="DejaVuSans"/>
        </w:rPr>
        <w:t xml:space="preserve">deficytowość na rynku pracy absolwentów kierunków </w:t>
      </w:r>
      <w:r w:rsidR="00EB4FFB" w:rsidRPr="00013007">
        <w:rPr>
          <w:rFonts w:eastAsia="DejaVuSans" w:cs="DejaVuSans"/>
        </w:rPr>
        <w:t>technicznych</w:t>
      </w:r>
      <w:r w:rsidR="00EB4FFB">
        <w:rPr>
          <w:rFonts w:eastAsia="DejaVuSans" w:cs="DejaVuSans"/>
        </w:rPr>
        <w:t xml:space="preserve">. </w:t>
      </w:r>
      <w:r>
        <w:rPr>
          <w:rFonts w:eastAsia="DejaVuSans" w:cs="DejaVuSans"/>
        </w:rPr>
        <w:t xml:space="preserve">Zgodnie </w:t>
      </w:r>
      <w:r w:rsidRPr="00013007">
        <w:rPr>
          <w:rFonts w:eastAsia="DejaVuSans" w:cs="DejaVuSans"/>
        </w:rPr>
        <w:t xml:space="preserve">z </w:t>
      </w:r>
      <w:r w:rsidRPr="00FF77A4">
        <w:rPr>
          <w:rFonts w:eastAsia="DejaVuSans" w:cs="DejaVuSans"/>
          <w:i/>
        </w:rPr>
        <w:t>Prognozą zatrudnienia w województwie śląskim do 2020 roku</w:t>
      </w:r>
      <w:r w:rsidRPr="00013007">
        <w:rPr>
          <w:rFonts w:eastAsia="DejaVuSans" w:cs="DejaVuSans"/>
        </w:rPr>
        <w:t xml:space="preserve"> przygotowaną przez Wojewódzki Urzą</w:t>
      </w:r>
      <w:r>
        <w:rPr>
          <w:rFonts w:eastAsia="DejaVuSans" w:cs="DejaVuSans"/>
        </w:rPr>
        <w:t>d Pracy w Katowicach</w:t>
      </w:r>
      <w:r w:rsidR="00FF77A4">
        <w:rPr>
          <w:rFonts w:eastAsia="DejaVuSans" w:cs="DejaVuSans"/>
        </w:rPr>
        <w:t>,</w:t>
      </w:r>
      <w:r>
        <w:rPr>
          <w:rFonts w:eastAsia="DejaVuSans" w:cs="DejaVuSans"/>
        </w:rPr>
        <w:t xml:space="preserve"> </w:t>
      </w:r>
      <w:r w:rsidRPr="00013007">
        <w:rPr>
          <w:rFonts w:eastAsia="DejaVuSans" w:cs="DejaVuSans"/>
        </w:rPr>
        <w:t xml:space="preserve">najwyższa dynamika wzrostu popytu (co najmniej 50%) na pracowników </w:t>
      </w:r>
      <w:r w:rsidR="00987479">
        <w:rPr>
          <w:rFonts w:eastAsia="DejaVuSans" w:cs="DejaVuSans"/>
        </w:rPr>
        <w:t>w regionie</w:t>
      </w:r>
      <w:r w:rsidRPr="00013007">
        <w:rPr>
          <w:rFonts w:eastAsia="DejaVuSans" w:cs="DejaVuSans"/>
        </w:rPr>
        <w:t xml:space="preserve"> będzie obejmować</w:t>
      </w:r>
      <w:r>
        <w:rPr>
          <w:rFonts w:eastAsia="DejaVuSans" w:cs="DejaVuSans"/>
        </w:rPr>
        <w:t xml:space="preserve"> przede </w:t>
      </w:r>
      <w:r w:rsidRPr="00013007">
        <w:rPr>
          <w:rFonts w:eastAsia="DejaVuSans" w:cs="DejaVuSans"/>
        </w:rPr>
        <w:t xml:space="preserve">wszystkim specjalistów w zakresie matematyki, fizyki, chemii, statystyki. </w:t>
      </w:r>
      <w:r>
        <w:rPr>
          <w:rFonts w:eastAsia="DejaVuSans" w:cs="DejaVuSans"/>
        </w:rPr>
        <w:t>Stanowi to argument w kwestii doboru przedmiotów, które weszły w skład pomocy stypend</w:t>
      </w:r>
      <w:r w:rsidR="00987479">
        <w:rPr>
          <w:rFonts w:eastAsia="DejaVuSans" w:cs="DejaVuSans"/>
        </w:rPr>
        <w:t>ialnej oferowanej w </w:t>
      </w:r>
      <w:r>
        <w:rPr>
          <w:rFonts w:eastAsia="DejaVuSans" w:cs="DejaVuSans"/>
        </w:rPr>
        <w:t>projekcie.</w:t>
      </w:r>
    </w:p>
    <w:p w14:paraId="4D95CC00" w14:textId="77777777" w:rsidR="008D703A" w:rsidRDefault="00CE38F3" w:rsidP="00DF64C7">
      <w:pPr>
        <w:jc w:val="left"/>
      </w:pPr>
      <w:r>
        <w:t>Przedstawiciele IZ oraz r</w:t>
      </w:r>
      <w:r w:rsidR="008D703A">
        <w:t>aporty ewaluacyjne sporządzone po trzech pierwszych etapach jednoznacznie wskazują na wysoki poziom wykorzystania środków stypendialnych na dalsze dokształcanie się stypendystów. Najczęściej wybieraną formą zajęć dodatkowych finansowanych dzięki uzyskanemu wsparciu były: kursy językowe, wycieczki edukacyjne/obozy językowe oraz korepetycje przedmiotowe. Niezależnie od wybranego obszaru wiedzy, na który stypendyści przeznaczali środki, młodzież w zdecydowanej większości</w:t>
      </w:r>
      <w:r w:rsidR="00367F85">
        <w:t xml:space="preserve"> </w:t>
      </w:r>
      <w:r w:rsidR="008D703A">
        <w:t>potwierdziła, że przyznane środki pozwoliły im na zdobycie nowych umiejętności, certyfikatów bądź też kwalifikacji. Wartością dodaną odby</w:t>
      </w:r>
      <w:r w:rsidR="00F350D7">
        <w:t>wanych kursów i szkoleń było w </w:t>
      </w:r>
      <w:r w:rsidR="008D703A">
        <w:t>zdecydowanej większości nabywanie kompetencji miękki</w:t>
      </w:r>
      <w:r w:rsidR="00F350D7">
        <w:t>ch przez stypendystów. Udział w </w:t>
      </w:r>
      <w:r w:rsidR="00987479">
        <w:t>p</w:t>
      </w:r>
      <w:r w:rsidR="008D703A">
        <w:t>rojekcie miał</w:t>
      </w:r>
      <w:r w:rsidR="00987479" w:rsidRPr="00987479">
        <w:t xml:space="preserve"> </w:t>
      </w:r>
      <w:r w:rsidR="00987479">
        <w:t xml:space="preserve">również </w:t>
      </w:r>
      <w:r w:rsidR="008D703A">
        <w:t xml:space="preserve">wpływ na wzrost umiejętności komunikacyjnych uczniów i uczennic. </w:t>
      </w:r>
    </w:p>
    <w:p w14:paraId="06BFF77E" w14:textId="77777777" w:rsidR="001A2BDA" w:rsidRDefault="00BF3948" w:rsidP="00DF64C7">
      <w:pPr>
        <w:jc w:val="left"/>
      </w:pPr>
      <w:r>
        <w:t>Raporty z ewaluacji projektu „Śląskie. Inwestujemy w talenty”</w:t>
      </w:r>
      <w:r w:rsidR="008D703A" w:rsidRPr="006026A4">
        <w:t xml:space="preserve"> wskazały również praktycznie stuprocentowe zadowoleni</w:t>
      </w:r>
      <w:r w:rsidR="008D703A">
        <w:t>e stypendystów z</w:t>
      </w:r>
      <w:r w:rsidR="00EB4FFB">
        <w:t> </w:t>
      </w:r>
      <w:r w:rsidR="008D703A">
        <w:t>u</w:t>
      </w:r>
      <w:r w:rsidR="008D703A" w:rsidRPr="006026A4">
        <w:t xml:space="preserve">czestnictwa w projekcie. Podobny wskaźnik uzyskały </w:t>
      </w:r>
      <w:r w:rsidR="00987479">
        <w:t>też</w:t>
      </w:r>
      <w:r w:rsidR="008D703A" w:rsidRPr="006026A4">
        <w:t xml:space="preserve"> pytania dotyczące pomocy</w:t>
      </w:r>
      <w:r w:rsidR="00987479">
        <w:t>,</w:t>
      </w:r>
      <w:r w:rsidR="008D703A" w:rsidRPr="006026A4">
        <w:t xml:space="preserve"> jaką uczniowie i uczennice otrzymywali od opiekunów dydaktycznych. Badania wykazały ponadto, że przeważająca większość stypendystów chciała ponownie ubiegać się</w:t>
      </w:r>
      <w:r w:rsidR="008D703A">
        <w:t xml:space="preserve"> o </w:t>
      </w:r>
      <w:r w:rsidR="00987479">
        <w:t>stypendium w </w:t>
      </w:r>
      <w:r w:rsidR="008D703A" w:rsidRPr="006026A4">
        <w:t xml:space="preserve">kolejnych edycjach projektu. </w:t>
      </w:r>
      <w:r w:rsidR="00CE38F3">
        <w:t xml:space="preserve">Ponadto, otrzymywane przez uczniów wsparcie stwarzało pole do podejmowania wyzwań edukacyjnych przez pozostałych uczniów i stało się zachętą do podnoszenia swoich wyników. </w:t>
      </w:r>
      <w:r w:rsidR="008D703A" w:rsidRPr="006026A4">
        <w:t>Osiągane w ramach każdej edycji cele projektu zdecydowanie przem</w:t>
      </w:r>
      <w:r w:rsidR="00987479">
        <w:t>awiają</w:t>
      </w:r>
      <w:r w:rsidR="008D703A" w:rsidRPr="006026A4">
        <w:t xml:space="preserve"> za</w:t>
      </w:r>
      <w:r w:rsidR="00987479">
        <w:t xml:space="preserve"> potrzebą</w:t>
      </w:r>
      <w:r w:rsidR="008D703A" w:rsidRPr="006026A4">
        <w:t xml:space="preserve"> kon</w:t>
      </w:r>
      <w:r w:rsidR="00F725C1">
        <w:t>tynuacją podejmowanych działań.</w:t>
      </w:r>
    </w:p>
    <w:p w14:paraId="0D8647EF" w14:textId="77777777" w:rsidR="001A2BDA" w:rsidRPr="007B5F7E" w:rsidRDefault="001A2BDA" w:rsidP="00DF64C7">
      <w:pPr>
        <w:jc w:val="left"/>
      </w:pPr>
      <w:r w:rsidRPr="007B5F7E">
        <w:t>Powyższe wnioski potwierdzone zostały również zrealizowanymi badaniami CAWI/CATI, przeprowadzonymi pośród nauczycieli oraz dyrektorów placówek. Zdaniem badanych, program stypendialny realizowany w ramach Działania 11.1.5 Efektywny rozwój dzieci i młodzieży w wysokim stopniu wpłynął na pogłębienie wiedzy w zakresie nauk matematyczno-przyrodniczych, językowych oraz informatycznych – osiągnięcia uczniów w tym zakresie zadeklarowało aż 82% respondentów. Wśród innych obserwowanych efektów zwrócono uwagę na rozwój osobisty uczniów oraz ich motywację do podejmowania dalszych działań, znaczną poprawę wyników w nauce, kształtowanie pozytywnych postaw społecznych, sukcesy w konkursach.</w:t>
      </w:r>
    </w:p>
    <w:p w14:paraId="73826746" w14:textId="77777777" w:rsidR="001A2BDA" w:rsidRPr="007B5F7E" w:rsidRDefault="001A2BDA" w:rsidP="00DF64C7">
      <w:pPr>
        <w:jc w:val="left"/>
      </w:pPr>
    </w:p>
    <w:p w14:paraId="6CC0E542" w14:textId="77777777" w:rsidR="001A2BDA" w:rsidRPr="007B5F7E" w:rsidRDefault="001A2BDA" w:rsidP="00DF64C7">
      <w:pPr>
        <w:pStyle w:val="Legenda"/>
        <w:spacing w:line="271" w:lineRule="auto"/>
        <w:jc w:val="left"/>
      </w:pPr>
      <w:r w:rsidRPr="007B5F7E">
        <w:t>Wykres</w:t>
      </w:r>
      <w:r w:rsidR="003350B7">
        <w:t xml:space="preserve"> 38</w:t>
      </w:r>
      <w:r w:rsidRPr="007B5F7E">
        <w:t>. Jakie można zaobserwować najczęstsze osiągnięcia uczniów otrzymujących stypendia w ramach projektu Śląskie. Inwestujemy w talenty?</w:t>
      </w:r>
    </w:p>
    <w:p w14:paraId="3F28067E" w14:textId="77777777" w:rsidR="001A2BDA" w:rsidRPr="007B5F7E" w:rsidRDefault="001A2BDA" w:rsidP="00DF64C7">
      <w:pPr>
        <w:jc w:val="left"/>
      </w:pPr>
      <w:r w:rsidRPr="007B5F7E">
        <w:rPr>
          <w:noProof/>
          <w:lang w:eastAsia="pl-PL"/>
        </w:rPr>
        <w:drawing>
          <wp:inline distT="0" distB="0" distL="0" distR="0" wp14:anchorId="1A2DF08E" wp14:editId="6F723028">
            <wp:extent cx="5762625" cy="1943100"/>
            <wp:effectExtent l="0" t="0" r="9525" b="0"/>
            <wp:docPr id="10" name="Wykres 10" descr="Wykres przedstawia procentowy rozkład odpowiedzi nauczycieli i dyrektorów wspartych placówek na pytanie: &quot;Jakie można zaobserwować najczęstsze osiągnięcia uczniów otrzymujących stypendia w ramach projektu Śląskie. Inwestujemy w talenty?&quot;. Rozkład odpowiedzi przedstawia się następująco: Rozwój umiejętności praktycznych 31,7%&#10;Podniesienie kompetencji kluczowych niezbędnych na rynku pracy 44,4%&#10;Pogłębienie wiedzy w zakresie nauk matematyczno-przyrodniczych, językowych, informatycznych 82,5%&#10;" title="Jakie można zaobserwować najczęstsze osiągnięcia uczniów otrzymujących stypendia w ramach projektu Śląskie. Inwestujemy w talenty?"/>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D8DF0CD" w14:textId="77777777" w:rsidR="001A2BDA" w:rsidRPr="007B5F7E" w:rsidRDefault="001A2BDA" w:rsidP="00DF64C7">
      <w:pPr>
        <w:pStyle w:val="podpisrdailustracji"/>
        <w:spacing w:line="271" w:lineRule="auto"/>
        <w:jc w:val="left"/>
      </w:pPr>
      <w:r w:rsidRPr="007B5F7E">
        <w:t>Źródło: opracowanie własne na podstawie badania CAWI/CATI z nauczycielami i dyrektorami wspartych placówek, n=63.</w:t>
      </w:r>
    </w:p>
    <w:p w14:paraId="495BF14B" w14:textId="77777777" w:rsidR="001A2BDA" w:rsidRPr="007B5F7E" w:rsidRDefault="001A2BDA" w:rsidP="00DF64C7">
      <w:pPr>
        <w:jc w:val="left"/>
      </w:pPr>
      <w:r w:rsidRPr="007B5F7E">
        <w:t>Wyniki zrealizowanego badania CAWI/CATI pozwoliły na identyfikację korzyści, jakie odnoszą stypendyści projektu Śląskie. Inwestujemy w talenty. Najczęściej obserwowanym efektem jest możliwość rozwijania własnych zainteresowań, choć, podobnie jak w przypadku osiągnięć uczniów uczestniczących w projekcie, wysoki odsetek badanych nauczycieli i dyrektorów za istotną korzyść dla stypendystów uznał fakt podniesienia kompetencji w zakresie nauk matematyczno-przyrodniczych, językowych i informatycznych. Dla ponad połowy badanych nie bez znaczenia dla stypendystów jest również pomoc finansowa.</w:t>
      </w:r>
    </w:p>
    <w:p w14:paraId="674497CB" w14:textId="77777777" w:rsidR="001A2BDA" w:rsidRPr="007B5F7E" w:rsidRDefault="001A2BDA" w:rsidP="00DF64C7">
      <w:pPr>
        <w:jc w:val="left"/>
      </w:pPr>
    </w:p>
    <w:p w14:paraId="4D8046DF" w14:textId="77777777" w:rsidR="001A2BDA" w:rsidRPr="007B5F7E" w:rsidRDefault="001A2BDA" w:rsidP="00DF64C7">
      <w:pPr>
        <w:pStyle w:val="Legenda"/>
        <w:spacing w:line="271" w:lineRule="auto"/>
        <w:jc w:val="left"/>
      </w:pPr>
      <w:r w:rsidRPr="007B5F7E">
        <w:t>Wykres</w:t>
      </w:r>
      <w:r w:rsidR="003350B7">
        <w:t xml:space="preserve"> 39</w:t>
      </w:r>
      <w:r w:rsidRPr="007B5F7E">
        <w:t>. Jakie projekt Śląskie. Inwestujemy w talenty przyniósł korzyści dla stypendystów?</w:t>
      </w:r>
    </w:p>
    <w:p w14:paraId="4D2BCA14" w14:textId="77777777" w:rsidR="001A2BDA" w:rsidRPr="007B5F7E" w:rsidRDefault="001A2BDA" w:rsidP="00DF64C7">
      <w:pPr>
        <w:jc w:val="left"/>
      </w:pPr>
      <w:r w:rsidRPr="007B5F7E">
        <w:rPr>
          <w:noProof/>
          <w:lang w:eastAsia="pl-PL"/>
        </w:rPr>
        <w:drawing>
          <wp:inline distT="0" distB="0" distL="0" distR="0" wp14:anchorId="0AAE64B2" wp14:editId="5F59C55F">
            <wp:extent cx="5762625" cy="3752850"/>
            <wp:effectExtent l="0" t="0" r="9525" b="0"/>
            <wp:docPr id="65" name="Wykres 65" descr="Wykres przedstawia procentowy rozkład odpowiedzi nauczycieli i dyrektorów wspartych placówek na pytanie: &quot;Jakie projekt Śląskie. Inwestujemy w talenty przyniósł korzyści dla stypendystów?&quot;. Rozkład odpowiedzi przedstawia się następująco:&#10;Możliwość zdobycia kompetencji kluczowych niezbędnych na rynku pracy 27,0%&#10;Wyróżnienie oraz prestiż 42,9%&#10;Indywidualna opieka nauczyciela 42,9%&#10;Dążenie do osiągnięcia wyznaczonych celów edukacyjnych 47,6%&#10;Możliwość otrzymania pomocy finansowej 54,0%&#10;Podniesie kompetencji w zakresie nauk matematyczno-przyrodniczych, językowych, informatycznych 65,1%&#10;Możliwość rozwoju zainteresowań 77,8%&#10;" title="Jakie projekt Śląskie. Inwestujemy w talenty przyniósł korzyści dla stypendyst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3F43EC7" w14:textId="77777777" w:rsidR="001A2BDA" w:rsidRPr="007B5F7E" w:rsidRDefault="001A2BDA" w:rsidP="00DF64C7">
      <w:pPr>
        <w:pStyle w:val="podpisrdailustracji"/>
        <w:spacing w:line="271" w:lineRule="auto"/>
        <w:jc w:val="left"/>
      </w:pPr>
      <w:r w:rsidRPr="007B5F7E">
        <w:t>Źródło: opracowanie własne na podstawie badania CAWI/CATI z nauczycielami i dyrektorami wspartych placówek, n=63.</w:t>
      </w:r>
    </w:p>
    <w:p w14:paraId="6C192624" w14:textId="77777777" w:rsidR="001A2BDA" w:rsidRPr="007B5F7E" w:rsidRDefault="001A2BDA" w:rsidP="00DF64C7">
      <w:pPr>
        <w:jc w:val="left"/>
      </w:pPr>
    </w:p>
    <w:p w14:paraId="1BD928B8" w14:textId="77777777" w:rsidR="001A2BDA" w:rsidRPr="007B5F7E" w:rsidRDefault="001A2BDA" w:rsidP="00DF64C7">
      <w:pPr>
        <w:jc w:val="left"/>
      </w:pPr>
      <w:r w:rsidRPr="007B5F7E">
        <w:t>Realizacja programu stypendialnego w ramach Działania 11.1.5 Efektywny rozwój dzieci i młodzieży miał również wpływ na pracę nauczycieli, co zbadane zostało w ramach przeprowadzonych badań CAWI/CATI. W wyniku realizacji projektu Śląskie. Inwestujemy w talenty nauczyciele są w większym stopniu zaangażowani w pracę na rzecz uczniów wyróżniających się zdolnościami, zdaniem połowy badanych efektem jest również wzrost kompetencji oraz wiedzy opiekunów dydaktycznych.</w:t>
      </w:r>
    </w:p>
    <w:p w14:paraId="74FBD536" w14:textId="77777777" w:rsidR="001A2BDA" w:rsidRPr="007B5F7E" w:rsidRDefault="001A2BDA" w:rsidP="00DF64C7">
      <w:pPr>
        <w:jc w:val="left"/>
      </w:pPr>
    </w:p>
    <w:p w14:paraId="7C2F658F" w14:textId="77777777" w:rsidR="001A2BDA" w:rsidRPr="007B5F7E" w:rsidRDefault="001A2BDA" w:rsidP="00DF64C7">
      <w:pPr>
        <w:pStyle w:val="Legenda"/>
        <w:spacing w:line="271" w:lineRule="auto"/>
        <w:jc w:val="left"/>
      </w:pPr>
      <w:r w:rsidRPr="007B5F7E">
        <w:t>Wykres</w:t>
      </w:r>
      <w:r w:rsidR="003350B7">
        <w:t xml:space="preserve"> 40</w:t>
      </w:r>
      <w:r w:rsidRPr="007B5F7E">
        <w:t xml:space="preserve">. Jaki wpływ na pracę nauczycieli (opiekunów dydaktycznych) miało uczestnictwo uczniów w projekcie?  </w:t>
      </w:r>
    </w:p>
    <w:p w14:paraId="41582359" w14:textId="77777777" w:rsidR="001A2BDA" w:rsidRPr="007B5F7E" w:rsidRDefault="001A2BDA" w:rsidP="00DF64C7">
      <w:pPr>
        <w:jc w:val="left"/>
      </w:pPr>
      <w:r w:rsidRPr="007B5F7E">
        <w:rPr>
          <w:noProof/>
          <w:lang w:eastAsia="pl-PL"/>
        </w:rPr>
        <w:drawing>
          <wp:inline distT="0" distB="0" distL="0" distR="0" wp14:anchorId="11F5BD02" wp14:editId="1B60B3FF">
            <wp:extent cx="5762625" cy="1885950"/>
            <wp:effectExtent l="0" t="0" r="9525" b="0"/>
            <wp:docPr id="66" name="Wykres 66" descr="Wykres przedstawia procentowy rozkład odpowiedzi nauczycieli i dyrektorów wspartych placówek na pytanie: &quot;Jaki wpływ na pracę nauczycieli (opiekunów dydaktycznych) miało uczestnictwo uczniów w projekcie?&quot;. Rozkład odpowiedzi przedstawia się następująco:&#10;Zmianę sposobu nauczania wobec uczniów, którzy nie uczestniczyli w projekcie 19,0%&#10;Podniesienie wiedzy i kompetencji nauczycieli (opiekunów dydaktycznych) 50,8%&#10;Zwiększenie zaangażowania w pracę na rzecz uczniów uzdolnionych 71,4%&#10;" title="Jaki wpływ na pracę nauczycieli (opiekunów dydaktycznych) miało uczestnictwo uczniów w projekcie?  "/>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D50E5AC" w14:textId="77777777" w:rsidR="001A2BDA" w:rsidRDefault="001A2BDA" w:rsidP="00DF64C7">
      <w:pPr>
        <w:pStyle w:val="podpisrdailustracji"/>
        <w:spacing w:line="271" w:lineRule="auto"/>
        <w:jc w:val="left"/>
      </w:pPr>
      <w:r w:rsidRPr="007B5F7E">
        <w:t>Źródło: opracowanie własne na podstawie badania CAWI/CATI z nauczycielami i dyrektorami wspartych placówek, n=63.</w:t>
      </w:r>
    </w:p>
    <w:p w14:paraId="5387D73E" w14:textId="77777777" w:rsidR="00E15146" w:rsidRDefault="00E15146" w:rsidP="00DF64C7">
      <w:pPr>
        <w:pStyle w:val="podpisrdailustracji"/>
        <w:spacing w:line="271" w:lineRule="auto"/>
        <w:jc w:val="left"/>
      </w:pPr>
    </w:p>
    <w:p w14:paraId="1D5944C2" w14:textId="77777777" w:rsidR="001A2BDA" w:rsidRDefault="00E15146" w:rsidP="00DF64C7">
      <w:pPr>
        <w:jc w:val="left"/>
      </w:pPr>
      <w:r w:rsidRPr="00E15146">
        <w:t>Badanie IDI z IZ/IP również pozwoliło potwierdzić, że każda z edycji projektu „Śląsk – inwestujemy w talenty” pozwoliła na dalsze podnoszenie kwalifikacji, umiejętności, i podejmowania nowych wyzwań edukacyjnych uczestnikom. Zdaniem badanych, projekt z jednej strony pozwala zwiększać potencjał edukacyjny szczególnie uzdolnionych uczniów, a z drugiej strony stanowi zachętę budowania postawy opierającej się na uczeniu przez całe życie.</w:t>
      </w:r>
      <w:r w:rsidR="00BF3948">
        <w:t xml:space="preserve"> Ponadto, jak zaznaczono we wcześniejszym fragmencie, otrzymywane przez uczniów wsparcie stwarzało pole do podejmowania wyzwań edukacyjnych przez pozostałych uczniów (dążących w ten sposób do otrzymania wsparcia w kolejnej edycji) i stało się zachętą do podnoszenia swoich wyników.</w:t>
      </w:r>
    </w:p>
    <w:p w14:paraId="04AF9B26" w14:textId="77777777" w:rsidR="00F725C1" w:rsidRDefault="00F725C1" w:rsidP="00DF64C7">
      <w:pPr>
        <w:jc w:val="left"/>
      </w:pPr>
    </w:p>
    <w:p w14:paraId="5FDFBE05" w14:textId="77777777" w:rsidR="00F725C1" w:rsidRPr="00CE38F3" w:rsidRDefault="00CE38F3" w:rsidP="00DF64C7">
      <w:pPr>
        <w:jc w:val="left"/>
        <w:rPr>
          <w:rStyle w:val="Odwoanieintensywne"/>
        </w:rPr>
      </w:pPr>
      <w:r w:rsidRPr="00CE38F3">
        <w:rPr>
          <w:rStyle w:val="Odwoanieintensywne"/>
        </w:rPr>
        <w:t>Podsumowanie</w:t>
      </w:r>
    </w:p>
    <w:p w14:paraId="2589AF05" w14:textId="28359301" w:rsidR="00F725C1" w:rsidRPr="006026A4" w:rsidRDefault="005B2F42" w:rsidP="00DF64C7">
      <w:pPr>
        <w:jc w:val="left"/>
      </w:pPr>
      <w:r>
        <w:t>P</w:t>
      </w:r>
      <w:r w:rsidRPr="0022227A">
        <w:t xml:space="preserve">rogram stypendialny realizowany w ramach Działania 11.1.5 Efektywny rozwój dzieci i młodzieży </w:t>
      </w:r>
      <w:r>
        <w:t xml:space="preserve">w wysokim stopniu wpłynął na podniesienie </w:t>
      </w:r>
      <w:r w:rsidRPr="0022227A">
        <w:t>jakości kształcenia w zakresie przedmiotów matematyczno-przyrodniczych i technicznych</w:t>
      </w:r>
      <w:r>
        <w:t xml:space="preserve">, czego powodem był szeroki zakres terytorialny projektu - </w:t>
      </w:r>
      <w:r w:rsidRPr="0022227A">
        <w:t xml:space="preserve">obejmował </w:t>
      </w:r>
      <w:r>
        <w:t xml:space="preserve">on </w:t>
      </w:r>
      <w:r w:rsidRPr="0022227A">
        <w:t>wszystkie szkoły gimnazjalne i ponadgimnazjalne, a po reformie edukacyjnej, wszystkie licea i technika w regionie</w:t>
      </w:r>
      <w:r>
        <w:t>, oraz odpowiednie przygotowanie wsparcia poparte diagnozą potrzeb - r</w:t>
      </w:r>
      <w:r w:rsidRPr="0022227A">
        <w:t>ealizacja projektu jest wysoce uzasadniona sytuacją na rynku pracy w województwie śląskim</w:t>
      </w:r>
      <w:r>
        <w:t>, w</w:t>
      </w:r>
      <w:r w:rsidRPr="0022227A">
        <w:t xml:space="preserve"> obrębie regionu zauważalna jest deficytowość na rynku pracy absolwentów kierunków technicznych</w:t>
      </w:r>
      <w:r>
        <w:t>.</w:t>
      </w:r>
      <w:r w:rsidRPr="0022227A">
        <w:t xml:space="preserve"> </w:t>
      </w:r>
      <w:r>
        <w:t xml:space="preserve">Projekt cechuje się również możliwością dalszego oddziaływania w </w:t>
      </w:r>
      <w:r w:rsidR="006E5410">
        <w:t xml:space="preserve">dłuższej </w:t>
      </w:r>
      <w:r w:rsidR="00233BF6">
        <w:t xml:space="preserve">perspektywie czasowej. </w:t>
      </w:r>
    </w:p>
    <w:p w14:paraId="2E0C0731" w14:textId="77777777" w:rsidR="00A464CB" w:rsidRDefault="00A464CB" w:rsidP="00DF64C7">
      <w:pPr>
        <w:pStyle w:val="Nagwek3"/>
        <w:spacing w:line="271" w:lineRule="auto"/>
        <w:ind w:left="426"/>
        <w:jc w:val="left"/>
      </w:pPr>
      <w:bookmarkStart w:id="129" w:name="_Toc24466847"/>
      <w:bookmarkStart w:id="130" w:name="_Toc25664310"/>
      <w:bookmarkStart w:id="131" w:name="_Toc26526292"/>
      <w:bookmarkStart w:id="132" w:name="_Toc38035023"/>
      <w:r w:rsidRPr="00610089">
        <w:t>Jakie można wskazać dobre praktyki dotyczące realizacji projektów</w:t>
      </w:r>
      <w:r>
        <w:t xml:space="preserve"> w </w:t>
      </w:r>
      <w:r w:rsidRPr="00610089">
        <w:t>ramach OP XI</w:t>
      </w:r>
      <w:r>
        <w:t xml:space="preserve"> i </w:t>
      </w:r>
      <w:r w:rsidRPr="00610089">
        <w:t>XII, których stosowanie przyczyni się do skuteczniejszego osiągania celów priorytetów inwestycyjnych?</w:t>
      </w:r>
      <w:bookmarkEnd w:id="129"/>
      <w:bookmarkEnd w:id="130"/>
      <w:bookmarkEnd w:id="131"/>
      <w:bookmarkEnd w:id="132"/>
    </w:p>
    <w:p w14:paraId="1E7CBB5E" w14:textId="77777777" w:rsidR="00A00392" w:rsidRPr="008D183C" w:rsidRDefault="008D183C" w:rsidP="00DF64C7">
      <w:pPr>
        <w:jc w:val="left"/>
        <w:rPr>
          <w:b/>
        </w:rPr>
      </w:pPr>
      <w:r w:rsidRPr="008D183C">
        <w:t xml:space="preserve">Dobrą praktyką można nazwać działanie, </w:t>
      </w:r>
      <w:r w:rsidRPr="008D183C">
        <w:rPr>
          <w:rStyle w:val="Pogrubienie"/>
          <w:b w:val="0"/>
        </w:rPr>
        <w:t>które przyniosło konkretne, pozytywne rezultaty, zawiera w sobie pewien potencjał innowacji, jest trwałe i powtarzalne, możliwe do zastosowania w podobnych warunkach w innym miejscu,</w:t>
      </w:r>
      <w:r w:rsidRPr="008D183C">
        <w:rPr>
          <w:b/>
        </w:rPr>
        <w:t xml:space="preserve"> </w:t>
      </w:r>
      <w:r>
        <w:rPr>
          <w:rStyle w:val="Pogrubienie"/>
          <w:b w:val="0"/>
        </w:rPr>
        <w:t>lub przez inne podmioty.</w:t>
      </w:r>
      <w:r>
        <w:rPr>
          <w:b/>
        </w:rPr>
        <w:t xml:space="preserve"> </w:t>
      </w:r>
      <w:r w:rsidR="003429FB">
        <w:t>W </w:t>
      </w:r>
      <w:r>
        <w:t xml:space="preserve">zakresie realizacji działań dotyczących edukacji wyróżnić można szereg dobrych praktyk. Zostały one wskazane m.in. w </w:t>
      </w:r>
      <w:r w:rsidRPr="00281C1E">
        <w:rPr>
          <w:i/>
        </w:rPr>
        <w:t>Banku Dobrych Praktyk Ośrodka Rozwoju Edukacji</w:t>
      </w:r>
      <w:r>
        <w:t xml:space="preserve"> oraz stronach internetowych kuratoriów oświaty</w:t>
      </w:r>
      <w:r w:rsidR="00F24192">
        <w:rPr>
          <w:rStyle w:val="Odwoanieprzypisudolnego"/>
        </w:rPr>
        <w:footnoteReference w:id="122"/>
      </w:r>
      <w:r>
        <w:t>:</w:t>
      </w:r>
    </w:p>
    <w:p w14:paraId="322CD373" w14:textId="77777777" w:rsidR="008D183C" w:rsidRDefault="008D183C" w:rsidP="00DF64C7">
      <w:pPr>
        <w:pStyle w:val="Akapitzlist"/>
        <w:numPr>
          <w:ilvl w:val="0"/>
          <w:numId w:val="27"/>
        </w:numPr>
        <w:jc w:val="left"/>
      </w:pPr>
      <w:r>
        <w:t>Nawiązywanie współpracy z otoczeniem, m.in. z placówkami psychologicznymi, ośrodkami kultury</w:t>
      </w:r>
      <w:r w:rsidR="003429FB">
        <w:t>;</w:t>
      </w:r>
    </w:p>
    <w:p w14:paraId="7CB8B57F" w14:textId="77777777" w:rsidR="008D183C" w:rsidRDefault="008D183C" w:rsidP="00DF64C7">
      <w:pPr>
        <w:pStyle w:val="Akapitzlist"/>
        <w:numPr>
          <w:ilvl w:val="0"/>
          <w:numId w:val="27"/>
        </w:numPr>
        <w:jc w:val="left"/>
      </w:pPr>
      <w:r>
        <w:t>Nawiązywanie współpracy z lokalnymi przedsiębiorcami</w:t>
      </w:r>
      <w:r w:rsidR="00ED5A6F">
        <w:t xml:space="preserve"> (w tym szczególnie tworzenie klas patronackich)</w:t>
      </w:r>
      <w:r w:rsidR="003429FB">
        <w:t>;</w:t>
      </w:r>
    </w:p>
    <w:p w14:paraId="5517B75B" w14:textId="77777777" w:rsidR="00ED5A6F" w:rsidRDefault="00ED5A6F" w:rsidP="00DF64C7">
      <w:pPr>
        <w:pStyle w:val="Akapitzlist"/>
        <w:numPr>
          <w:ilvl w:val="0"/>
          <w:numId w:val="27"/>
        </w:numPr>
        <w:jc w:val="left"/>
      </w:pPr>
      <w:r>
        <w:t>Nawiązywanie współpracy międzynarodowych</w:t>
      </w:r>
      <w:r w:rsidR="003429FB">
        <w:t>;</w:t>
      </w:r>
    </w:p>
    <w:p w14:paraId="09E1FF65" w14:textId="77777777" w:rsidR="008D183C" w:rsidRDefault="008D183C" w:rsidP="00DF64C7">
      <w:pPr>
        <w:pStyle w:val="Akapitzlist"/>
        <w:numPr>
          <w:ilvl w:val="0"/>
          <w:numId w:val="27"/>
        </w:numPr>
        <w:jc w:val="left"/>
      </w:pPr>
      <w:r>
        <w:t>Aktywizowanie rodziców i angażowanie ich w proces nauki i terapii dzieci i młodzieży</w:t>
      </w:r>
      <w:r w:rsidR="003429FB">
        <w:t>;</w:t>
      </w:r>
    </w:p>
    <w:p w14:paraId="3E0F774B" w14:textId="77777777" w:rsidR="008D183C" w:rsidRDefault="008D183C" w:rsidP="00DF64C7">
      <w:pPr>
        <w:pStyle w:val="Akapitzlist"/>
        <w:numPr>
          <w:ilvl w:val="0"/>
          <w:numId w:val="27"/>
        </w:numPr>
        <w:jc w:val="left"/>
      </w:pPr>
      <w:r>
        <w:t>Szczególne wspieranie uczniów ze specjalnymi potrzebami edukacyjnymi</w:t>
      </w:r>
      <w:r w:rsidR="003429FB">
        <w:t>;</w:t>
      </w:r>
    </w:p>
    <w:p w14:paraId="72605B86" w14:textId="77777777" w:rsidR="008D183C" w:rsidRDefault="008D183C" w:rsidP="00DF64C7">
      <w:pPr>
        <w:pStyle w:val="Akapitzlist"/>
        <w:numPr>
          <w:ilvl w:val="0"/>
          <w:numId w:val="27"/>
        </w:numPr>
        <w:jc w:val="left"/>
      </w:pPr>
      <w:r>
        <w:t>Tworzenie indywidualnych programów edukacyjno-terapeutycznych dla dzieci</w:t>
      </w:r>
      <w:r w:rsidR="00367F85">
        <w:t xml:space="preserve"> </w:t>
      </w:r>
      <w:r w:rsidR="00F350D7">
        <w:t>z </w:t>
      </w:r>
      <w:r>
        <w:t>niepełnosprawnością sprzężoną w edukacji przedszkolnej</w:t>
      </w:r>
      <w:r w:rsidR="003429FB">
        <w:t>;</w:t>
      </w:r>
    </w:p>
    <w:p w14:paraId="75A4175E" w14:textId="77777777" w:rsidR="008D183C" w:rsidRDefault="008D183C" w:rsidP="00DF64C7">
      <w:pPr>
        <w:pStyle w:val="Akapitzlist"/>
        <w:numPr>
          <w:ilvl w:val="0"/>
          <w:numId w:val="27"/>
        </w:numPr>
        <w:jc w:val="left"/>
      </w:pPr>
      <w:r>
        <w:t>Odkrywanie i promowanie uczniów zdolnych</w:t>
      </w:r>
      <w:r w:rsidR="003429FB">
        <w:t>;</w:t>
      </w:r>
    </w:p>
    <w:p w14:paraId="33215C5F" w14:textId="77777777" w:rsidR="008D183C" w:rsidRDefault="008D183C" w:rsidP="00DF64C7">
      <w:pPr>
        <w:pStyle w:val="Akapitzlist"/>
        <w:numPr>
          <w:ilvl w:val="0"/>
          <w:numId w:val="27"/>
        </w:numPr>
        <w:jc w:val="left"/>
      </w:pPr>
      <w:r>
        <w:t>Wychowywanie trudnych dzieci i młodzieży przez sport i zajęcia ruchowe</w:t>
      </w:r>
      <w:r w:rsidR="003429FB">
        <w:t>;</w:t>
      </w:r>
    </w:p>
    <w:p w14:paraId="21E17FA8" w14:textId="77777777" w:rsidR="008D183C" w:rsidRDefault="008D183C" w:rsidP="00DF64C7">
      <w:pPr>
        <w:pStyle w:val="Akapitzlist"/>
        <w:numPr>
          <w:ilvl w:val="0"/>
          <w:numId w:val="27"/>
        </w:numPr>
        <w:jc w:val="left"/>
      </w:pPr>
      <w:r>
        <w:t>Programy nauczania poprzez zabawę</w:t>
      </w:r>
      <w:r w:rsidR="003429FB">
        <w:t>;</w:t>
      </w:r>
    </w:p>
    <w:p w14:paraId="62EB0D05" w14:textId="77777777" w:rsidR="008D183C" w:rsidRPr="00F24192" w:rsidRDefault="008D183C" w:rsidP="00DF64C7">
      <w:pPr>
        <w:pStyle w:val="Akapitzlist"/>
        <w:numPr>
          <w:ilvl w:val="0"/>
          <w:numId w:val="27"/>
        </w:numPr>
        <w:jc w:val="left"/>
      </w:pPr>
      <w:r w:rsidRPr="00F24192">
        <w:t>Stosowanie nowoczesnych form aktywizacji (np. wycieczki, metoda eksperymentu)</w:t>
      </w:r>
      <w:r w:rsidR="003429FB">
        <w:t>;</w:t>
      </w:r>
    </w:p>
    <w:p w14:paraId="6E5F7379" w14:textId="77777777" w:rsidR="008D183C" w:rsidRPr="00F24192" w:rsidRDefault="008D183C" w:rsidP="00DF64C7">
      <w:pPr>
        <w:pStyle w:val="Akapitzlist"/>
        <w:numPr>
          <w:ilvl w:val="0"/>
          <w:numId w:val="27"/>
        </w:numPr>
        <w:jc w:val="left"/>
      </w:pPr>
      <w:r w:rsidRPr="00F24192">
        <w:t>Organizacja doradztwa zawodowego d</w:t>
      </w:r>
      <w:r w:rsidR="003429FB">
        <w:t>la uczniów szkół podstawowych i </w:t>
      </w:r>
      <w:r w:rsidRPr="00F24192">
        <w:t>gimnazjalnych</w:t>
      </w:r>
      <w:r w:rsidR="003429FB">
        <w:t>;</w:t>
      </w:r>
    </w:p>
    <w:p w14:paraId="5EDDD00F" w14:textId="77777777" w:rsidR="008D183C" w:rsidRPr="00F24192" w:rsidRDefault="008D183C" w:rsidP="00DF64C7">
      <w:pPr>
        <w:pStyle w:val="Akapitzlist"/>
        <w:numPr>
          <w:ilvl w:val="0"/>
          <w:numId w:val="27"/>
        </w:numPr>
        <w:jc w:val="left"/>
      </w:pPr>
      <w:r w:rsidRPr="00F24192">
        <w:t>Wzmacnianie kompetencji kluczowych, w tym szczególnie kompetencji w zakresie ICT</w:t>
      </w:r>
      <w:r w:rsidR="003429FB">
        <w:t>;</w:t>
      </w:r>
    </w:p>
    <w:p w14:paraId="7E83A6E3" w14:textId="77777777" w:rsidR="008D183C" w:rsidRPr="00F24192" w:rsidRDefault="00F24192" w:rsidP="00DF64C7">
      <w:pPr>
        <w:pStyle w:val="Akapitzlist"/>
        <w:numPr>
          <w:ilvl w:val="0"/>
          <w:numId w:val="27"/>
        </w:numPr>
        <w:jc w:val="left"/>
      </w:pPr>
      <w:r w:rsidRPr="00F24192">
        <w:t>Wizyty studyjne w zakładach pracy, które pozwalają uczniom poznać praktyczn</w:t>
      </w:r>
      <w:r w:rsidR="00281C1E">
        <w:t>ą</w:t>
      </w:r>
      <w:r w:rsidRPr="00F24192">
        <w:t xml:space="preserve"> stronę zawodu i wspierają młodzież w planowani</w:t>
      </w:r>
      <w:r w:rsidR="003429FB">
        <w:t>u dalszej ścieżki edukacyjnej i rozwoju zawodowego;</w:t>
      </w:r>
    </w:p>
    <w:p w14:paraId="1BA651B2" w14:textId="77777777" w:rsidR="00F24192" w:rsidRDefault="00F24192" w:rsidP="00DF64C7">
      <w:pPr>
        <w:pStyle w:val="Akapitzlist"/>
        <w:numPr>
          <w:ilvl w:val="0"/>
          <w:numId w:val="27"/>
        </w:numPr>
        <w:jc w:val="left"/>
      </w:pPr>
      <w:r>
        <w:t>Powstawanie platform e-learningowych dla uczniów</w:t>
      </w:r>
      <w:r w:rsidR="003429FB">
        <w:t>;</w:t>
      </w:r>
    </w:p>
    <w:p w14:paraId="5698DD9F" w14:textId="77777777" w:rsidR="00F24192" w:rsidRDefault="00F24192" w:rsidP="00DF64C7">
      <w:pPr>
        <w:pStyle w:val="Akapitzlist"/>
        <w:numPr>
          <w:ilvl w:val="0"/>
          <w:numId w:val="27"/>
        </w:numPr>
        <w:jc w:val="left"/>
      </w:pPr>
      <w:r>
        <w:t>Wspieranie w rozwijaniu kompetencji proinnowacyjnych u dzieci i młodzieży</w:t>
      </w:r>
      <w:r w:rsidR="003429FB">
        <w:t>;</w:t>
      </w:r>
    </w:p>
    <w:p w14:paraId="417B134C" w14:textId="77777777" w:rsidR="00841EB2" w:rsidRDefault="00841EB2" w:rsidP="00DF64C7">
      <w:pPr>
        <w:pStyle w:val="Akapitzlist"/>
        <w:numPr>
          <w:ilvl w:val="0"/>
          <w:numId w:val="27"/>
        </w:numPr>
        <w:spacing w:after="240"/>
        <w:jc w:val="left"/>
      </w:pPr>
      <w:r>
        <w:t>Stworzenie bezpłatnego katalogu</w:t>
      </w:r>
      <w:r w:rsidR="00ED5A6F">
        <w:t xml:space="preserve"> pomocy dydaktycznych dla nauczycieli (scenariusze lekcji, filmy, materiały, instrukcje)</w:t>
      </w:r>
      <w:r w:rsidR="003429FB">
        <w:t>.</w:t>
      </w:r>
    </w:p>
    <w:p w14:paraId="29A03216" w14:textId="77777777" w:rsidR="00114EBB" w:rsidRDefault="00114EBB" w:rsidP="00DF64C7">
      <w:pPr>
        <w:jc w:val="left"/>
      </w:pPr>
      <w:r>
        <w:t xml:space="preserve">W ramach Poddziałań 11.1.1-11.1.3 zrealizowano szereg wspomnianych wyżej dobrych praktyk. W ramach wielu projektów dzieci ze specjalnymi potrzebami zostały objęte kompleksowym wsparciem z zakresu zajęć: </w:t>
      </w:r>
      <w:r w:rsidRPr="008A0845">
        <w:t>korekcyjno-kompensacyjnych, logopedycznych, socjoterapeutycznych oraz o charakterze terapeutycznym, a także sty</w:t>
      </w:r>
      <w:r>
        <w:t>mulujących rozwój psychoruchowy</w:t>
      </w:r>
      <w:r w:rsidRPr="008A0845">
        <w:t xml:space="preserve"> i rozwijających ko</w:t>
      </w:r>
      <w:r>
        <w:t xml:space="preserve">mpetencje społeczno-emocjonalne. Ponadto, część projektów zakłada tworzenie indywidualnych planów wspomagania dzieci z dysfunkcjami, poprzez uwzględnianie ich indywidualnych potrzeb i możliwości rozwojowych, edukacyjnych oraz psychofizycznych. Kolejną dobrą praktyką wymienioną w ramach </w:t>
      </w:r>
      <w:r w:rsidRPr="00281C1E">
        <w:rPr>
          <w:i/>
        </w:rPr>
        <w:t>Banku Dobrych Praktyk ORE</w:t>
      </w:r>
      <w:r>
        <w:t xml:space="preserve"> jest aktywizacja rodziców dzieci i młodzieży. </w:t>
      </w:r>
      <w:r w:rsidR="003429FB">
        <w:t>Kilka projektów realizowanych w </w:t>
      </w:r>
      <w:r>
        <w:t>ramach Poddziałań 11.1.1-11.1.3 oprócz wsparcia dzie</w:t>
      </w:r>
      <w:r w:rsidR="003429FB">
        <w:t>ci, gwarantuje także wsparcie i </w:t>
      </w:r>
      <w:r>
        <w:t>aktywizację rodziców (w tym szczególnie rodziców dzieci o specjalnych potrzebach), co pozwala na spójne wsparcie dzieci zarówno w placówkach edukacyjno-wychowawczych, jak i w domach</w:t>
      </w:r>
      <w:r w:rsidR="002E77B0">
        <w:rPr>
          <w:rStyle w:val="Odwoanieprzypisudolnego"/>
        </w:rPr>
        <w:footnoteReference w:id="123"/>
      </w:r>
      <w:r>
        <w:t>.</w:t>
      </w:r>
    </w:p>
    <w:p w14:paraId="01AE49EA" w14:textId="77777777" w:rsidR="00301D60" w:rsidRDefault="00301D60" w:rsidP="00DF64C7">
      <w:pPr>
        <w:jc w:val="left"/>
      </w:pPr>
      <w:r>
        <w:t>W ramach Poddziałania 11.1.4 wielokrotnie zastosowano dobrą praktykę w zakresie wprowadzania form nauczania atrakcyjnych dla uczniów, m.in. metod eksperymentu, wyjazdów edukacyjnych, pracy w grupach, czy dyskusji. Oprócz coraz bardziej popularnych zajęć z zakresu TIK, dobrą praktyką jest także kształcenie w zakresie innych kompetencji kluczowych, które są bardzo przydatne w całym procesie uczenia się oraz w późniejszym życiu dorosłym (m.in. przedsiębiorczość, umiejętność uczenia się, kreatywność, komunikatywność)</w:t>
      </w:r>
      <w:r w:rsidR="002E77B0">
        <w:rPr>
          <w:rStyle w:val="Odwoanieprzypisudolnego"/>
        </w:rPr>
        <w:footnoteReference w:id="124"/>
      </w:r>
      <w:r>
        <w:t>.</w:t>
      </w:r>
    </w:p>
    <w:p w14:paraId="16565A45" w14:textId="77777777" w:rsidR="00301D60" w:rsidRDefault="00301D60" w:rsidP="00DF64C7">
      <w:pPr>
        <w:jc w:val="left"/>
      </w:pPr>
      <w:r>
        <w:t>Wszystkie projekty realizowane w ramach Poddziałania 11.1.5 wpisują się w dobrą praktykę, jaką jest odkrywanie i promowanie uczniów zdolnych. Projekty mają na celu wsparcie finansowe (poprzez stypendium) dzieci i młodzieży posiadających szczególne zdolności. Oprócz tego uczniowie objęci są także wsparciem opiekunów i pedagogów</w:t>
      </w:r>
      <w:r w:rsidR="002E77B0">
        <w:rPr>
          <w:rStyle w:val="Odwoanieprzypisudolnego"/>
        </w:rPr>
        <w:footnoteReference w:id="125"/>
      </w:r>
      <w:r>
        <w:t>.</w:t>
      </w:r>
    </w:p>
    <w:p w14:paraId="09D1CEC1" w14:textId="77777777" w:rsidR="009F13F8" w:rsidRDefault="00301D60" w:rsidP="00DF64C7">
      <w:pPr>
        <w:jc w:val="left"/>
      </w:pPr>
      <w:r>
        <w:t xml:space="preserve">Najczęściej podejmowaną i jedną z najbardziej cennych dobrą praktyką </w:t>
      </w:r>
      <w:r w:rsidR="00281C1E">
        <w:t xml:space="preserve">w ramach Działania 11.2 </w:t>
      </w:r>
      <w:r>
        <w:t>jest po</w:t>
      </w:r>
      <w:r w:rsidR="00281C1E">
        <w:t>de</w:t>
      </w:r>
      <w:r>
        <w:t xml:space="preserve">jmowanie współpracy szkół (w szczególności szkół zawodowych) </w:t>
      </w:r>
      <w:r w:rsidR="00F350D7">
        <w:t>z </w:t>
      </w:r>
      <w:r w:rsidR="003429FB">
        <w:t>otoczeniem, w tym zwłaszcza z </w:t>
      </w:r>
      <w:r>
        <w:t>lokalnymi przedsiębiorcami, którzy na bieżąco wskazywać będą zapotrzebowanie na pracowników w ramach różnych zawodów, dostarczać będą aktualnej wiedzy oraz, co szczególnie ważne w przypadku szkół zawodowych i branżowych, pozwolą uczniom na praktyczną naukę zawodu na nowoczesnych sprzętach i maszynach. Taka współpraca pozwala na kształcenie pracowników, którzy po wyjściu ze szkoły gotowi są na podjęcie pracy bez przechodzenia dodatkowego szkolenia</w:t>
      </w:r>
      <w:r w:rsidR="003514DD">
        <w:rPr>
          <w:rStyle w:val="Odwoanieprzypisudolnego"/>
        </w:rPr>
        <w:footnoteReference w:id="126"/>
      </w:r>
      <w:r>
        <w:t>.</w:t>
      </w:r>
    </w:p>
    <w:p w14:paraId="50F589BE" w14:textId="77777777" w:rsidR="00863951" w:rsidRDefault="009E294C" w:rsidP="00DF64C7">
      <w:pPr>
        <w:jc w:val="left"/>
      </w:pPr>
      <w:r>
        <w:t>W ramach OP XII dobrą praktyką</w:t>
      </w:r>
      <w:r w:rsidR="007553D2">
        <w:t>, która nie została sklasyfikowana w ramach wyżej wymienionych źródeł,</w:t>
      </w:r>
      <w:r>
        <w:t xml:space="preserve"> jest dostosowyw</w:t>
      </w:r>
      <w:r w:rsidR="003429FB">
        <w:t>anie budynków do potrzeb osób z </w:t>
      </w:r>
      <w:r>
        <w:t>niepełnosprawnościami oraz zakup sprzętów i specjalistycznych pomocy naukowych pozwalających prowadzić zajęcia z dziećmi i młodzieżą wymagającymi indywidualnego podejścia w procesie edukacji.</w:t>
      </w:r>
      <w:r w:rsidR="007F7D54">
        <w:t xml:space="preserve"> Ponadto, realizując zasadę zrównoważonego rozwoju, dobrą praktyką </w:t>
      </w:r>
      <w:r w:rsidR="00D77CBE">
        <w:t xml:space="preserve">podczas budowy nowych i modernizacji funkcjonujących placówek oświaty jest wykorzystywanie odnawialnych źródeł energii oraz podnoszenie efektywności energetycznej. </w:t>
      </w:r>
      <w:r w:rsidR="007553D2">
        <w:t>W swoich projektach beneficjenci decydowali się najczęściej na montaż</w:t>
      </w:r>
      <w:r w:rsidR="00D77CBE">
        <w:t xml:space="preserve"> systemu fotowoltaicznego</w:t>
      </w:r>
      <w:r w:rsidR="0014158E">
        <w:t xml:space="preserve"> </w:t>
      </w:r>
      <w:r w:rsidR="007553D2">
        <w:t>oraz termomodernizację budynku</w:t>
      </w:r>
      <w:r w:rsidR="003514DD">
        <w:rPr>
          <w:rStyle w:val="Odwoanieprzypisudolnego"/>
        </w:rPr>
        <w:footnoteReference w:id="127"/>
      </w:r>
      <w:r w:rsidR="007553D2">
        <w:t>.</w:t>
      </w:r>
    </w:p>
    <w:p w14:paraId="76B230BC" w14:textId="77777777" w:rsidR="006462B9" w:rsidRDefault="00C7087B" w:rsidP="00DF64C7">
      <w:pPr>
        <w:jc w:val="left"/>
      </w:pPr>
      <w:r w:rsidRPr="005A5DD6">
        <w:t xml:space="preserve">W ramach wszystkich realizowanych projektów </w:t>
      </w:r>
      <w:r w:rsidR="00281F43" w:rsidRPr="005A5DD6">
        <w:t>dobrą</w:t>
      </w:r>
      <w:r w:rsidRPr="005A5DD6">
        <w:t xml:space="preserve"> prakty</w:t>
      </w:r>
      <w:r w:rsidR="00281F43" w:rsidRPr="005A5DD6">
        <w:t>ką</w:t>
      </w:r>
      <w:r w:rsidRPr="005A5DD6">
        <w:t xml:space="preserve"> jest także realizacja projektów partnerskich.</w:t>
      </w:r>
      <w:r w:rsidR="00E243B6" w:rsidRPr="005A5DD6">
        <w:t xml:space="preserve"> </w:t>
      </w:r>
      <w:r w:rsidR="00E243B6" w:rsidRPr="005A5DD6">
        <w:rPr>
          <w:rFonts w:eastAsiaTheme="minorHAnsi"/>
        </w:rPr>
        <w:t>Realizacja tego samego projektu przy współpracy kilku podmiotów pozwala osiągnąć takie same korzyści, przy jednoczesnym generowaniu mniejszych kosztów.</w:t>
      </w:r>
    </w:p>
    <w:p w14:paraId="2D04A006" w14:textId="77777777" w:rsidR="0067755A" w:rsidRDefault="000C0E23" w:rsidP="00DF64C7">
      <w:pPr>
        <w:jc w:val="left"/>
      </w:pPr>
      <w:r>
        <w:t>Oprócz dobrych praktyk realizowanych w ramach projektów, w celu zwiększenia efektywności i przyspieszenia realizacji programów dobre praktyki wdrażane są także przez Instytucję Zarządzającą. W 2015 roku IZ przygotowała plan realizacji RPO WSL 2014-2020 na okres 2016-2018, obejmujący: nabór wniosków, przewidywaną kontraktację i płatności. Dobra praktyką jest także prowadzenie miesięcznego moni</w:t>
      </w:r>
      <w:r w:rsidR="003429FB">
        <w:t>toringu realizacji wskaźników z </w:t>
      </w:r>
      <w:r>
        <w:t>ram wykonania</w:t>
      </w:r>
      <w:r>
        <w:rPr>
          <w:rStyle w:val="Odwoanieprzypisudolnego"/>
        </w:rPr>
        <w:footnoteReference w:id="128"/>
      </w:r>
      <w:r>
        <w:t>.</w:t>
      </w:r>
    </w:p>
    <w:p w14:paraId="257BC63F" w14:textId="77777777" w:rsidR="003E3C96" w:rsidRDefault="003E3C96" w:rsidP="00DF64C7">
      <w:pPr>
        <w:jc w:val="left"/>
      </w:pPr>
      <w:r w:rsidRPr="008112C5">
        <w:t>Wszystkie wymienione wyżej dobre praktyki przyczyniają się do skuteczniejszego osiągania celów priorytetów inwestycyjnych poprzez zapewnienie trwałości i kompleksowości prowadzonych działań.</w:t>
      </w:r>
    </w:p>
    <w:p w14:paraId="18711DFB" w14:textId="77777777" w:rsidR="00820C4C" w:rsidRPr="00CF0606" w:rsidRDefault="00C86137" w:rsidP="00DF64C7">
      <w:pPr>
        <w:jc w:val="left"/>
      </w:pPr>
      <w:r>
        <w:t>Zaledwie 4</w:t>
      </w:r>
      <w:r w:rsidR="002E77B0">
        <w:t>,3</w:t>
      </w:r>
      <w:r>
        <w:t>% beneficjentów wsparcia w ramach XI oraz XII zdeklarowało, że w trakcie realizacji projektu wypracowali innowacyjne rozwiązanie, nie</w:t>
      </w:r>
      <w:r w:rsidR="007E5219">
        <w:t xml:space="preserve">spotykane w innych projektach, </w:t>
      </w:r>
      <w:r>
        <w:t xml:space="preserve">wpływające na zwiększenie sprawności realizowanych przedsięwzięć. </w:t>
      </w:r>
      <w:r w:rsidRPr="002663C6">
        <w:t xml:space="preserve">Do </w:t>
      </w:r>
      <w:r w:rsidRPr="00AC4902">
        <w:t xml:space="preserve">dobrych praktyk </w:t>
      </w:r>
      <w:r w:rsidR="007E5219">
        <w:t>zaliczono</w:t>
      </w:r>
      <w:r w:rsidRPr="00AC4902">
        <w:t>:</w:t>
      </w:r>
    </w:p>
    <w:p w14:paraId="4697D769" w14:textId="77777777" w:rsidR="00B923B2" w:rsidRDefault="000B3744" w:rsidP="00DF64C7">
      <w:pPr>
        <w:pStyle w:val="Akapitzlist"/>
        <w:numPr>
          <w:ilvl w:val="0"/>
          <w:numId w:val="38"/>
        </w:numPr>
        <w:jc w:val="left"/>
      </w:pPr>
      <w:r>
        <w:t>autorskie programy nauczania;</w:t>
      </w:r>
    </w:p>
    <w:p w14:paraId="4A2FBDF2" w14:textId="77777777" w:rsidR="00B923B2" w:rsidRDefault="00B923B2" w:rsidP="00DF64C7">
      <w:pPr>
        <w:pStyle w:val="Akapitzlist"/>
        <w:numPr>
          <w:ilvl w:val="0"/>
          <w:numId w:val="38"/>
        </w:numPr>
        <w:jc w:val="left"/>
      </w:pPr>
      <w:r>
        <w:t xml:space="preserve">wykorzystanie </w:t>
      </w:r>
      <w:r w:rsidR="000B3744">
        <w:t xml:space="preserve">nowoczesnych metod kształcenia, w tym </w:t>
      </w:r>
      <w:r>
        <w:t xml:space="preserve">zajęć w laboratoriach, metod eksperymentu, </w:t>
      </w:r>
      <w:r w:rsidR="000B3744">
        <w:t xml:space="preserve">gier edukacyjnych czy gromadzenia danych „w chmurze”, </w:t>
      </w:r>
      <w:r w:rsidR="00EC1856">
        <w:t>które</w:t>
      </w:r>
      <w:r>
        <w:t xml:space="preserve"> wpłynęły na uatrakcyjnie</w:t>
      </w:r>
      <w:r w:rsidR="000B3744">
        <w:t>nie procesu edukacyjnego;</w:t>
      </w:r>
    </w:p>
    <w:p w14:paraId="2496CED9" w14:textId="77777777" w:rsidR="00EB342E" w:rsidRDefault="00B923B2" w:rsidP="00DF64C7">
      <w:pPr>
        <w:pStyle w:val="Akapitzlist"/>
        <w:numPr>
          <w:ilvl w:val="0"/>
          <w:numId w:val="38"/>
        </w:numPr>
        <w:jc w:val="left"/>
      </w:pPr>
      <w:r>
        <w:t>zastosowanie elementów muzykoterap</w:t>
      </w:r>
      <w:r w:rsidR="000B3744">
        <w:t>ii podczas organizowanych zajęć;</w:t>
      </w:r>
    </w:p>
    <w:p w14:paraId="488A1DD1" w14:textId="77777777" w:rsidR="00985EC0" w:rsidRDefault="00985EC0" w:rsidP="00DF64C7">
      <w:pPr>
        <w:pStyle w:val="Akapitzlist"/>
        <w:numPr>
          <w:ilvl w:val="0"/>
          <w:numId w:val="38"/>
        </w:numPr>
        <w:jc w:val="left"/>
      </w:pPr>
      <w:r>
        <w:t xml:space="preserve">poszerzenie zakresu specjalistycznych zajęć terapeutycznych </w:t>
      </w:r>
      <w:r w:rsidRPr="00DA4B3E">
        <w:rPr>
          <w:rFonts w:cs="Arial"/>
        </w:rPr>
        <w:t xml:space="preserve">z wykorzystaniem doskonalenia opartego na formach wsparcia z projektu oraz indywidualne dokształcanie nauczycieli </w:t>
      </w:r>
      <w:r>
        <w:rPr>
          <w:rFonts w:cs="Arial"/>
        </w:rPr>
        <w:t xml:space="preserve">– </w:t>
      </w:r>
      <w:r w:rsidRPr="00DA4B3E">
        <w:rPr>
          <w:rFonts w:cs="Arial"/>
        </w:rPr>
        <w:t>specjalistów</w:t>
      </w:r>
      <w:r>
        <w:rPr>
          <w:rFonts w:cs="Arial"/>
        </w:rPr>
        <w:t>;</w:t>
      </w:r>
    </w:p>
    <w:p w14:paraId="75A6C399" w14:textId="77777777" w:rsidR="00B923B2" w:rsidRDefault="00B923B2" w:rsidP="00DF64C7">
      <w:pPr>
        <w:pStyle w:val="Akapitzlist"/>
        <w:numPr>
          <w:ilvl w:val="0"/>
          <w:numId w:val="38"/>
        </w:numPr>
        <w:jc w:val="left"/>
      </w:pPr>
      <w:r>
        <w:t>wykorzystanie technologii informac</w:t>
      </w:r>
      <w:r w:rsidR="002663C6">
        <w:t>yjno-komunikacyjnych w edukacji.</w:t>
      </w:r>
    </w:p>
    <w:p w14:paraId="19AABB45" w14:textId="77777777" w:rsidR="00985EC0" w:rsidRDefault="00985EC0" w:rsidP="00DF64C7">
      <w:pPr>
        <w:spacing w:after="240"/>
        <w:contextualSpacing/>
        <w:jc w:val="left"/>
      </w:pPr>
      <w:r>
        <w:t xml:space="preserve">Eksperci biorący udział w panelu wskazali, iż za najważniejsze, mające największy wpływ na edukację, dobre praktyki należy uznać indywidualne doszkalanie pedagogów (w tym szczególnie w zakresie wspierania wczesnego rozwoju dzieci) oraz stosowanie nowoczesnych metod nauki i terapii dla dzieci mniej uzdolnionych oraz dzieci ze specjalnymi potrzebami. </w:t>
      </w:r>
      <w:r w:rsidRPr="002C74DF">
        <w:t xml:space="preserve">Wzrasta bowiem liczba dzieci z różnego rodzaju zaburzeniami (np. spektrum autyzmu, zaburzenia samokontroli), </w:t>
      </w:r>
      <w:r>
        <w:t xml:space="preserve">istnieją także </w:t>
      </w:r>
      <w:r w:rsidRPr="002C74DF">
        <w:t xml:space="preserve">lepsze narzędzia i techniki diagnostyczne pozwalają </w:t>
      </w:r>
      <w:r>
        <w:t>zdiagnozować</w:t>
      </w:r>
      <w:r w:rsidRPr="002C74DF">
        <w:t xml:space="preserve"> zaburzenia już we wczesnej fazie rozwoju dziecka. </w:t>
      </w:r>
      <w:r>
        <w:t>B</w:t>
      </w:r>
      <w:r w:rsidRPr="002C74DF">
        <w:t>ardzo duża liczba rodziców ma trudności z dostępem do d</w:t>
      </w:r>
      <w:r>
        <w:t>iagnozy i terapii swoich dzieci, stąd s</w:t>
      </w:r>
      <w:r w:rsidRPr="002C74DF">
        <w:t>zkoła i przedszkole to miejsca, w których dziecko może zostać</w:t>
      </w:r>
      <w:r>
        <w:t xml:space="preserve"> objęte specjalistyczną opieką.</w:t>
      </w:r>
    </w:p>
    <w:p w14:paraId="45DF151E" w14:textId="77777777" w:rsidR="003C06EE" w:rsidRDefault="003C06EE" w:rsidP="00DF64C7">
      <w:pPr>
        <w:spacing w:after="240"/>
        <w:contextualSpacing/>
        <w:jc w:val="left"/>
      </w:pPr>
    </w:p>
    <w:p w14:paraId="1A39EB94" w14:textId="77777777" w:rsidR="00820C4C" w:rsidRPr="00CF0606" w:rsidRDefault="00EF3318" w:rsidP="00DF64C7">
      <w:pPr>
        <w:spacing w:before="240"/>
        <w:jc w:val="left"/>
      </w:pPr>
      <w:r>
        <w:t>Beneficjenci, którzy zdeklarowali wypracowanie dobrych praktyk, w zdecydowanej większości wskazywali, że był to ich autorski pomysł (80</w:t>
      </w:r>
      <w:r w:rsidR="000B3744">
        <w:t>,0</w:t>
      </w:r>
      <w:r>
        <w:t>%). Dodatkowo beneficjenci analizowali bazy dobrych praktyk (30</w:t>
      </w:r>
      <w:r w:rsidR="000B3744">
        <w:t xml:space="preserve">,0%) oraz to, </w:t>
      </w:r>
      <w:r>
        <w:t>w jaki sposób inne podmioty realizują projekty (20</w:t>
      </w:r>
      <w:r w:rsidR="000B3744">
        <w:t xml:space="preserve">,0%), rzadziej zaś </w:t>
      </w:r>
      <w:r>
        <w:t>konsultowali się z pracownikami instytucji, która organizowała konkurs (10</w:t>
      </w:r>
      <w:r w:rsidR="000B3744">
        <w:t>,0</w:t>
      </w:r>
      <w:r>
        <w:t>%).</w:t>
      </w:r>
    </w:p>
    <w:p w14:paraId="3B0F51C6" w14:textId="77777777" w:rsidR="00EB342E" w:rsidRDefault="00EB342E" w:rsidP="00DF64C7">
      <w:pPr>
        <w:pStyle w:val="Legenda"/>
        <w:spacing w:line="271" w:lineRule="auto"/>
        <w:jc w:val="left"/>
      </w:pPr>
      <w:bookmarkStart w:id="133" w:name="_Toc33459813"/>
      <w:r>
        <w:t>Wykres</w:t>
      </w:r>
      <w:r w:rsidR="00D22B94">
        <w:t xml:space="preserve"> </w:t>
      </w:r>
      <w:r w:rsidR="003350B7">
        <w:t>41</w:t>
      </w:r>
      <w:r w:rsidR="00D22B94">
        <w:t xml:space="preserve">. </w:t>
      </w:r>
      <w:r w:rsidRPr="0056575C">
        <w:t>Skąd pozyskali Państwo wiedzę na temat takiego rozwiązania/takich rozwiązań?</w:t>
      </w:r>
      <w:bookmarkEnd w:id="133"/>
    </w:p>
    <w:p w14:paraId="55C0FDEF" w14:textId="77777777" w:rsidR="00EB342E" w:rsidRDefault="000B3744" w:rsidP="00DF64C7">
      <w:pPr>
        <w:jc w:val="left"/>
      </w:pPr>
      <w:r>
        <w:rPr>
          <w:noProof/>
          <w:lang w:eastAsia="pl-PL"/>
        </w:rPr>
        <w:drawing>
          <wp:inline distT="0" distB="0" distL="0" distR="0" wp14:anchorId="67E5EEF0" wp14:editId="7B0C5AF4">
            <wp:extent cx="5759450" cy="2009775"/>
            <wp:effectExtent l="0" t="0" r="12700" b="9525"/>
            <wp:docPr id="18" name="Wykres 18" descr="Wykres przedstawia procentowy rozkład odpowiedzi beneficjentów na pytanie: &quot;Skąd pozyskali Państwo wiedzę na temat takiego rozwiązania/takich rozwiązań?&quot;. Najwięcej wskazań dotyczyło takich odpowiedzi jak: był to nasz oimysł - 80% i analizowaliśmy bazy dobrych praktyk - 30%.&#10;" title="Skąd pozyskali Państwo wiedzę na temat takiego rozwiązania/takich rozwiązań?"/>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7DA8DF7" w14:textId="77777777" w:rsidR="00E73C33" w:rsidRDefault="00E73C33" w:rsidP="00DF64C7">
      <w:pPr>
        <w:pStyle w:val="podpisrdailustracji"/>
        <w:spacing w:line="271" w:lineRule="auto"/>
        <w:jc w:val="left"/>
      </w:pPr>
      <w:r w:rsidRPr="00E73C33">
        <w:t>Źródło: opracowanie własne na podstawie badania C</w:t>
      </w:r>
      <w:r>
        <w:t>AWI/CATI z beneficjentami, n=20</w:t>
      </w:r>
      <w:r w:rsidRPr="00E73C33">
        <w:t>.</w:t>
      </w:r>
    </w:p>
    <w:p w14:paraId="46853C42" w14:textId="77777777" w:rsidR="00AB65C6" w:rsidRDefault="00AB65C6" w:rsidP="00DF64C7">
      <w:pPr>
        <w:jc w:val="left"/>
      </w:pPr>
      <w:r>
        <w:t>Wypracowanie innowacyjnych rozwiązań wskaza</w:t>
      </w:r>
      <w:r w:rsidR="009F22A6">
        <w:t>ło także 20,6% przedstawicieli placówe</w:t>
      </w:r>
      <w:r>
        <w:t>k</w:t>
      </w:r>
      <w:r w:rsidR="009F22A6">
        <w:t xml:space="preserve"> edukacyjnych</w:t>
      </w:r>
      <w:r>
        <w:t xml:space="preserve">. </w:t>
      </w:r>
      <w:r w:rsidR="009F22A6">
        <w:t>Dobre praktyki były wykorzystywane w podobnym stopniu we wszystkich subregionach województwa śląskiego.</w:t>
      </w:r>
    </w:p>
    <w:p w14:paraId="00658FAA" w14:textId="77777777" w:rsidR="009F22A6" w:rsidRDefault="009F22A6" w:rsidP="00DF64C7">
      <w:pPr>
        <w:pStyle w:val="Legenda"/>
        <w:spacing w:line="271" w:lineRule="auto"/>
        <w:jc w:val="left"/>
      </w:pPr>
      <w:bookmarkStart w:id="134" w:name="_Toc33459814"/>
      <w:r>
        <w:t>Wykres</w:t>
      </w:r>
      <w:r w:rsidR="00D22B94">
        <w:t xml:space="preserve"> </w:t>
      </w:r>
      <w:r w:rsidR="003350B7">
        <w:t>42</w:t>
      </w:r>
      <w:r w:rsidR="00D22B94">
        <w:t xml:space="preserve">. </w:t>
      </w:r>
      <w:r w:rsidRPr="00114064">
        <w:t>Czy w trakcie korzystania ze wsparcia w ramach projektu wypracowali Państwo jakieś innowacyjne rozwiązania, wpływające na sprawność realizowanych przedsięwzięć?</w:t>
      </w:r>
      <w:r w:rsidR="0091034B">
        <w:t xml:space="preserve"> – odpowiedzi „tak” w </w:t>
      </w:r>
      <w:r>
        <w:t>podziale na subregiony</w:t>
      </w:r>
      <w:bookmarkEnd w:id="134"/>
    </w:p>
    <w:p w14:paraId="53451E82" w14:textId="77777777" w:rsidR="009F22A6" w:rsidRDefault="009F22A6" w:rsidP="00DF64C7">
      <w:pPr>
        <w:jc w:val="left"/>
      </w:pPr>
      <w:r>
        <w:rPr>
          <w:noProof/>
          <w:lang w:eastAsia="pl-PL"/>
        </w:rPr>
        <w:drawing>
          <wp:inline distT="0" distB="0" distL="0" distR="0" wp14:anchorId="240A46D1" wp14:editId="394B8349">
            <wp:extent cx="5753100" cy="1952625"/>
            <wp:effectExtent l="0" t="0" r="19050" b="9525"/>
            <wp:docPr id="25" name="Wykres 25" descr="Wykres przedstawia procentowy rozkład odpowiedzi nauczycieli i dyrektorów wspartych placówek na pytanie: &quot;Czy w trakcie korzystania ze wsparcia w ramach projektu wypracowali Państwo jakieś innowacyjne rozwiązania, wpływające na sprawność realizowanych przedsięwzięć?&quot;. Odpowiedzi przedstawiono na wykresie kołowym. Rozkład odpowiedzi przedstawiał się następująco: centralny 20,0%, północny 20,4%, południowy 18,7%, zachodni 21,5%." title="Czy w trakcie korzystania ze wsparcia w ramach projektu wypracowali Państwo jakieś innowacyjne rozwiązania, wpływające na sprawność realizowanych przedsięwzięć? – odpowiedzi „tak” w podziale na subregiony"/>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DB05272" w14:textId="77777777" w:rsidR="009F22A6" w:rsidRDefault="009F22A6" w:rsidP="00DF64C7">
      <w:pPr>
        <w:pStyle w:val="podpisrdailustracji"/>
        <w:spacing w:line="271" w:lineRule="auto"/>
        <w:jc w:val="left"/>
      </w:pPr>
      <w:r w:rsidRPr="00E73C33">
        <w:t>Źródło: opracowanie własne na podstawie badania C</w:t>
      </w:r>
      <w:r>
        <w:t xml:space="preserve">AWI/CATI z </w:t>
      </w:r>
      <w:r w:rsidR="00494789">
        <w:t>nauczycielami i dyrektorami wspartych placówek</w:t>
      </w:r>
      <w:r>
        <w:t>, n=</w:t>
      </w:r>
      <w:r w:rsidR="00494789">
        <w:t>679</w:t>
      </w:r>
      <w:r w:rsidRPr="00E73C33">
        <w:t>.</w:t>
      </w:r>
    </w:p>
    <w:p w14:paraId="1057B2E3" w14:textId="77777777" w:rsidR="006D2B8B" w:rsidRDefault="006D2B8B" w:rsidP="00DF64C7">
      <w:pPr>
        <w:jc w:val="left"/>
      </w:pPr>
      <w:r>
        <w:t>Opiekunowie projektów wskazali, że dobre praktyki były uwzględniane w ramach</w:t>
      </w:r>
      <w:r w:rsidR="00CE050E">
        <w:t xml:space="preserve"> działań realizowanych w ramach</w:t>
      </w:r>
      <w:r>
        <w:t xml:space="preserve"> ścieżki konkursowej. W ramach ścieżki pozakonkursowej za innowacyjne uznane może być jedynie zakupione wyposażenie, m.in. wyposażenie Planetarium – specyficzne urządzenia i sprzęty, które pozwalają na przeprowadzanie doświadczeń.</w:t>
      </w:r>
      <w:r w:rsidR="00D224D9">
        <w:t xml:space="preserve"> Eksperci zgromadzeni na wywiadzie grupowym dodali, że w przypadku konieczności spełniania określonych kryteriów i wpisywania się w założenia dokumentów programowych, realizacja innowacyjnych rozwiązań nie jest łatwa.</w:t>
      </w:r>
    </w:p>
    <w:p w14:paraId="0F766F48" w14:textId="77777777" w:rsidR="006D2B8B" w:rsidRDefault="006D2B8B" w:rsidP="00DF64C7">
      <w:pPr>
        <w:jc w:val="left"/>
      </w:pPr>
    </w:p>
    <w:p w14:paraId="4D97D534" w14:textId="77777777" w:rsidR="007B6935" w:rsidRDefault="007B6935" w:rsidP="00DF64C7">
      <w:pPr>
        <w:jc w:val="left"/>
        <w:rPr>
          <w:rStyle w:val="Odwoanieintensywne"/>
        </w:rPr>
      </w:pPr>
    </w:p>
    <w:p w14:paraId="54DB00A2" w14:textId="77777777" w:rsidR="006D2B8B" w:rsidRPr="006D2B8B" w:rsidRDefault="006D2B8B" w:rsidP="00DF64C7">
      <w:pPr>
        <w:jc w:val="left"/>
        <w:rPr>
          <w:rStyle w:val="Odwoanieintensywne"/>
        </w:rPr>
      </w:pPr>
      <w:r w:rsidRPr="006D2B8B">
        <w:rPr>
          <w:rStyle w:val="Odwoanieintensywne"/>
        </w:rPr>
        <w:t>Podsumowanie</w:t>
      </w:r>
    </w:p>
    <w:p w14:paraId="70B43166" w14:textId="77777777" w:rsidR="006D2B8B" w:rsidRDefault="005B2F42" w:rsidP="00DF64C7">
      <w:pPr>
        <w:jc w:val="left"/>
      </w:pPr>
      <w:r>
        <w:t xml:space="preserve">Analiza realizowanych projektów w ramach OP XI i OP XII pozwoliła na identyfikację szeregu dobrych praktyk, z czego część sprecyzowana została w </w:t>
      </w:r>
      <w:r w:rsidRPr="008D7413">
        <w:t xml:space="preserve">Banku Dobrych Praktyk Ośrodka Rozwoju Edukacji oraz </w:t>
      </w:r>
      <w:r>
        <w:t xml:space="preserve">na </w:t>
      </w:r>
      <w:r w:rsidRPr="008D7413">
        <w:t>stronach internetowych kuratoriów oświaty</w:t>
      </w:r>
      <w:r>
        <w:t>. Ponadto, wykazano osiągnięcie takich rezultatów, jak objęcie</w:t>
      </w:r>
      <w:r w:rsidRPr="00BD343F">
        <w:t xml:space="preserve"> </w:t>
      </w:r>
      <w:r w:rsidRPr="00A22DC3">
        <w:t>dzieci ze specjalnymi</w:t>
      </w:r>
      <w:r>
        <w:t xml:space="preserve"> potrzebami </w:t>
      </w:r>
      <w:r w:rsidR="00877C17">
        <w:t xml:space="preserve">edukacyjnymi </w:t>
      </w:r>
      <w:r w:rsidRPr="00BD343F">
        <w:t>komplek</w:t>
      </w:r>
      <w:r>
        <w:t>sowym wsparciem z zakresu zajęć</w:t>
      </w:r>
      <w:r w:rsidRPr="00BD343F">
        <w:t xml:space="preserve"> korekcyjno-kompensacyjnych, logopedycznych, socjoterapeutycznych oraz o charakterze terapeutycznym, a także stymulujących rozwój psychoruchowy i rozwijających kompetencje społeczno-emocjonalne</w:t>
      </w:r>
      <w:r>
        <w:t xml:space="preserve">. Uwagę zwrócić również należy na fakt, iż często decydowano się na tworzenie indywidualnych planów </w:t>
      </w:r>
      <w:r w:rsidRPr="00BD343F">
        <w:t>wspomagania dzieci z dysfunkcjami, poprzez uwzględnianie ich indywidualnych potrzeb i możliwości rozwojowych, edukacyjnych oraz psychofizycznych</w:t>
      </w:r>
      <w:r>
        <w:t xml:space="preserve">. Za często realizowaną dobrą praktykę uznać należy również </w:t>
      </w:r>
      <w:r w:rsidRPr="00BD343F">
        <w:t>wprowadzani</w:t>
      </w:r>
      <w:r>
        <w:t>e nowoczesnych</w:t>
      </w:r>
      <w:r w:rsidRPr="00BD343F">
        <w:t xml:space="preserve"> form nauczania atrakcyjnych dla uczniów</w:t>
      </w:r>
      <w:r>
        <w:t>. W ramach OP XII najczęściej identyfikowaną dobra praktyką był</w:t>
      </w:r>
      <w:r w:rsidR="00877C17">
        <w:t xml:space="preserve"> </w:t>
      </w:r>
      <w:r w:rsidRPr="00BD343F">
        <w:t>zakup sprzętów i specjalistycznych pomocy naukowych pozwalających prowadzić zajęcia z dziećmi i młodzieżą wymagającymi indywidualnego podejścia w procesie edukacji</w:t>
      </w:r>
      <w:r w:rsidR="00806E3D">
        <w:t>.</w:t>
      </w:r>
    </w:p>
    <w:p w14:paraId="37CA228A" w14:textId="77777777" w:rsidR="00D22B94" w:rsidRDefault="00D22B94" w:rsidP="00DF64C7">
      <w:pPr>
        <w:jc w:val="left"/>
      </w:pPr>
    </w:p>
    <w:p w14:paraId="609BE425" w14:textId="12EA9E34" w:rsidR="00A464CB" w:rsidRPr="00A464CB" w:rsidRDefault="006F67BB" w:rsidP="006F67BB">
      <w:pPr>
        <w:pStyle w:val="Nagwek2"/>
        <w:numPr>
          <w:ilvl w:val="0"/>
          <w:numId w:val="0"/>
        </w:numPr>
        <w:ind w:left="708"/>
        <w:jc w:val="left"/>
      </w:pPr>
      <w:bookmarkStart w:id="135" w:name="_Toc38035024"/>
      <w:r>
        <w:t xml:space="preserve">6.3. </w:t>
      </w:r>
      <w:r w:rsidR="00A464CB" w:rsidRPr="00047560">
        <w:t>OBSZAR I</w:t>
      </w:r>
      <w:r w:rsidR="00A464CB">
        <w:t xml:space="preserve">II. Ocena możliwości osiągnięcia założonych w Programie celów </w:t>
      </w:r>
      <w:r>
        <w:t xml:space="preserve">     </w:t>
      </w:r>
      <w:r w:rsidR="00A464CB">
        <w:t>OP XI i XII</w:t>
      </w:r>
      <w:bookmarkEnd w:id="135"/>
    </w:p>
    <w:p w14:paraId="578C3B61" w14:textId="77777777" w:rsidR="00A464CB" w:rsidRPr="00454C4A" w:rsidRDefault="00A464CB" w:rsidP="00DF64C7">
      <w:pPr>
        <w:pStyle w:val="Nagwek3"/>
        <w:numPr>
          <w:ilvl w:val="0"/>
          <w:numId w:val="1"/>
        </w:numPr>
        <w:spacing w:line="271" w:lineRule="auto"/>
        <w:ind w:left="426"/>
        <w:jc w:val="left"/>
        <w:rPr>
          <w:rFonts w:eastAsia="Arial"/>
        </w:rPr>
      </w:pPr>
      <w:bookmarkStart w:id="136" w:name="_Toc24466849"/>
      <w:bookmarkStart w:id="137" w:name="_Toc25664312"/>
      <w:bookmarkStart w:id="138" w:name="_Toc26526294"/>
      <w:bookmarkStart w:id="139" w:name="_Toc38035025"/>
      <w:r w:rsidRPr="00454C4A">
        <w:rPr>
          <w:rFonts w:eastAsia="Arial"/>
        </w:rPr>
        <w:t>Czy określone na początku okresu programowania cele priorytetów inwestycyjnych zachowały swą adekwatność w stosunku do obecnej sytuacji społeczno-gospodarczej?</w:t>
      </w:r>
      <w:bookmarkEnd w:id="136"/>
      <w:bookmarkEnd w:id="137"/>
      <w:bookmarkEnd w:id="138"/>
      <w:bookmarkEnd w:id="139"/>
    </w:p>
    <w:p w14:paraId="4DA34358" w14:textId="77777777" w:rsidR="002F1F17" w:rsidRDefault="002F1F17" w:rsidP="00DF64C7">
      <w:pPr>
        <w:jc w:val="left"/>
      </w:pPr>
      <w:r>
        <w:t>Analiza danych statystycznych wykazała, że od 2015 roku widać znaczny przyrost liczby placówek przedszkolnych na terenie województwa śląskiego. Do roku 2018 powstało 1 199 tego typu podmiotów.</w:t>
      </w:r>
    </w:p>
    <w:p w14:paraId="0B5B5FB0" w14:textId="77777777" w:rsidR="002F1F17" w:rsidRDefault="002F1F17" w:rsidP="00DF64C7">
      <w:pPr>
        <w:pStyle w:val="Legenda"/>
        <w:spacing w:line="271" w:lineRule="auto"/>
        <w:jc w:val="left"/>
      </w:pPr>
      <w:r>
        <w:t xml:space="preserve">Wykres </w:t>
      </w:r>
      <w:r w:rsidR="003350B7">
        <w:rPr>
          <w:noProof/>
        </w:rPr>
        <w:t>43</w:t>
      </w:r>
      <w:r w:rsidR="00D22B94">
        <w:rPr>
          <w:noProof/>
        </w:rPr>
        <w:t xml:space="preserve">. </w:t>
      </w:r>
      <w:r>
        <w:t xml:space="preserve">Liczba przedszkoli i placówek przedszkolnych w województwie śląskim </w:t>
      </w:r>
    </w:p>
    <w:p w14:paraId="4B7298D0" w14:textId="77777777" w:rsidR="002F1F17" w:rsidRDefault="002F1F17" w:rsidP="00DF64C7">
      <w:pPr>
        <w:jc w:val="left"/>
      </w:pPr>
      <w:r>
        <w:rPr>
          <w:noProof/>
          <w:lang w:eastAsia="pl-PL"/>
        </w:rPr>
        <w:drawing>
          <wp:inline distT="0" distB="0" distL="0" distR="0" wp14:anchorId="20F86CAD" wp14:editId="756DE490">
            <wp:extent cx="5759450" cy="1666875"/>
            <wp:effectExtent l="0" t="0" r="12700" b="9525"/>
            <wp:docPr id="33" name="Wykres 33" descr="Wykres przedstawia liczbę przedszkoli i placówek przedszkolnych w województwie śląskim w latach 2014-2018. Na wykresie słupkowym widać tendecje rosnącą. W 2014  r. liczba ta wyniosla 6847 placówek a w 2018 r. 7740 placówek." title="Liczba przedszkoli i placówek przedszkolnych w województwie śląskim "/>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65D2E0C" w14:textId="77777777" w:rsidR="002F1F17" w:rsidRDefault="002F1F17" w:rsidP="00DF64C7">
      <w:pPr>
        <w:pStyle w:val="podpisrdailustracji"/>
        <w:spacing w:line="271" w:lineRule="auto"/>
        <w:jc w:val="left"/>
      </w:pPr>
      <w:r>
        <w:t xml:space="preserve">Źródło: Opracowanie własne </w:t>
      </w:r>
      <w:r w:rsidRPr="00BA7EB1">
        <w:t xml:space="preserve">EU-Consult Sp. z o.o. </w:t>
      </w:r>
      <w:r>
        <w:t>na podstawie BDL, GUS.</w:t>
      </w:r>
    </w:p>
    <w:p w14:paraId="3FBC249A" w14:textId="77777777" w:rsidR="002F1F17" w:rsidRDefault="002F1F17" w:rsidP="00DF64C7">
      <w:pPr>
        <w:jc w:val="left"/>
      </w:pPr>
      <w:r>
        <w:t>Rosnąca liczba placówek przedszkolnych w województwie śląskim przełożyła się na wyższy odsetek dzieci, które do nich uczęszczają. Województwo śląskie posiada drugi najwyższy</w:t>
      </w:r>
      <w:r w:rsidRPr="002E24CF">
        <w:t xml:space="preserve"> </w:t>
      </w:r>
      <w:r>
        <w:t>w kraju, po woj. mazowieckim i opolskim, odsetek dzieci w wieku 3-5 lat objętych wychowaniem przedszkolnym.</w:t>
      </w:r>
    </w:p>
    <w:p w14:paraId="2FD50229" w14:textId="376F541B" w:rsidR="002F1F17" w:rsidRDefault="002F1F17" w:rsidP="00DF64C7">
      <w:pPr>
        <w:pStyle w:val="Legenda"/>
        <w:spacing w:line="271" w:lineRule="auto"/>
        <w:jc w:val="left"/>
      </w:pPr>
      <w:r>
        <w:t xml:space="preserve">Mapa </w:t>
      </w:r>
      <w:r>
        <w:rPr>
          <w:noProof/>
        </w:rPr>
        <w:fldChar w:fldCharType="begin"/>
      </w:r>
      <w:r>
        <w:rPr>
          <w:noProof/>
        </w:rPr>
        <w:instrText xml:space="preserve"> SEQ Mapa \* ARABIC </w:instrText>
      </w:r>
      <w:r>
        <w:rPr>
          <w:noProof/>
        </w:rPr>
        <w:fldChar w:fldCharType="separate"/>
      </w:r>
      <w:r w:rsidR="00A8147E">
        <w:rPr>
          <w:noProof/>
        </w:rPr>
        <w:t>1</w:t>
      </w:r>
      <w:r>
        <w:rPr>
          <w:noProof/>
        </w:rPr>
        <w:fldChar w:fldCharType="end"/>
      </w:r>
      <w:r>
        <w:t xml:space="preserve">. </w:t>
      </w:r>
      <w:r w:rsidRPr="00AA2ABE">
        <w:t>Dzieci w wieku 3-5 lat w placówkach wychowania przedszkolnego według województw w roku szkolnym 2018/19</w:t>
      </w:r>
    </w:p>
    <w:p w14:paraId="19C0AD0C" w14:textId="77777777" w:rsidR="002F1F17" w:rsidRDefault="002F1F17" w:rsidP="00DF64C7">
      <w:pPr>
        <w:jc w:val="left"/>
      </w:pPr>
      <w:r>
        <w:rPr>
          <w:noProof/>
          <w:lang w:eastAsia="pl-PL"/>
        </w:rPr>
        <w:drawing>
          <wp:inline distT="0" distB="0" distL="0" distR="0" wp14:anchorId="13E65F9A" wp14:editId="07EE5105">
            <wp:extent cx="5760720" cy="2753583"/>
            <wp:effectExtent l="0" t="0" r="0" b="8890"/>
            <wp:docPr id="37" name="Obraz 37" descr="Mapa przedstawia procentowe udział dzieci w wieku 3-5 lat uczęszczaających do placówek wychowania przedszkolnego według województw w roku szkolnym 2018/19 w oólnej liczbie dzieci w tym wieku w poszczególnych województwach Polski." title="Dzieci w wieku 3-5 lat w placówkach wychowania przedszkolnego według województw w roku szkolnym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2753583"/>
                    </a:xfrm>
                    <a:prstGeom prst="rect">
                      <a:avLst/>
                    </a:prstGeom>
                  </pic:spPr>
                </pic:pic>
              </a:graphicData>
            </a:graphic>
          </wp:inline>
        </w:drawing>
      </w:r>
    </w:p>
    <w:p w14:paraId="0FBB6A26" w14:textId="77777777" w:rsidR="002F1F17" w:rsidRPr="00CD2AEC" w:rsidRDefault="002F1F17" w:rsidP="00DF64C7">
      <w:pPr>
        <w:pStyle w:val="podpisrdailustracji"/>
        <w:spacing w:line="271" w:lineRule="auto"/>
        <w:jc w:val="left"/>
      </w:pPr>
      <w:r w:rsidRPr="00CD2AEC">
        <w:t>Źródło: Oświata i wychowanie</w:t>
      </w:r>
      <w:r>
        <w:t xml:space="preserve"> </w:t>
      </w:r>
      <w:r w:rsidRPr="00CD2AEC">
        <w:t>w roku szkolnym 2018/2019, GUS, Warszawa, Gdańsk 2019</w:t>
      </w:r>
      <w:r>
        <w:t>.</w:t>
      </w:r>
    </w:p>
    <w:p w14:paraId="23E3DD8B" w14:textId="77777777" w:rsidR="002F1F17" w:rsidRDefault="002F1F17" w:rsidP="00DF64C7">
      <w:pPr>
        <w:jc w:val="left"/>
      </w:pPr>
      <w:r>
        <w:t>Między rokiem 2014 a 2018 odnotowano w regionie spadek liczby dzieci w wieku od 3-5 lat z 141 037 do 127 077 osób. Jednocześnie wychowaniem przedszkolnym objętych było w tych latach odpowiednio 117 951 i 113 097 dzieci. Oznacza to wzrost odsetka 3-5 latków korzystających z edukacji przedszkolnej z 83,6% do 89%. Na terenach miejskich wskaźnik ten wyniósł w 2018 roku 91%, z kolei na terenie wsi – 83,1%.</w:t>
      </w:r>
    </w:p>
    <w:p w14:paraId="77B6D7A3" w14:textId="77777777" w:rsidR="002F1F17" w:rsidRDefault="002F1F17" w:rsidP="00DF64C7">
      <w:pPr>
        <w:jc w:val="left"/>
      </w:pPr>
      <w:r>
        <w:t>W latach 2017-2018 zaobserwowano również wzrost liczby szkół podstawowych w województwie śląskim, co wiązało się jednak w głównej mierze z reformą edukacji z roku 2017, której głównym założeniem była likwidacja szkół gimnazjalnych oraz wydłużenie edukacji na poziomie podstawowym z 6 do 8 lat. W związku z powyższym pomiędzy rokiem 2016 a 2018 w województwie śląskim powstało 178 nowych placówek. Wzrostowi liczby szkół towarzyszyło zwiększenie liczby uczniów (od roku 2016 do 2018 przybyło 746 633 uczniów), a także pedagogów w szkołach podstawowych, z 181 6047 w roku 2014 do 261 4095 w roku 2018.</w:t>
      </w:r>
    </w:p>
    <w:p w14:paraId="3C7B869F" w14:textId="77777777" w:rsidR="002F1F17" w:rsidRDefault="002F1F17" w:rsidP="00DF64C7">
      <w:pPr>
        <w:jc w:val="left"/>
      </w:pPr>
      <w:r>
        <w:t>Od roku 2014 zauważalny jest wyraźny spadek liczby uczniów szkół ponadgimnazjalnych i policealnych. W okresie do roku 2018 w tego typu placówkach uczy się o 31 594 uczniów mniej, co również wynika ze zmian, jakie zaszły w polskim systemie edukacji.</w:t>
      </w:r>
    </w:p>
    <w:p w14:paraId="69E845B8" w14:textId="77777777" w:rsidR="002F1F17" w:rsidRDefault="002F1F17" w:rsidP="00DF64C7">
      <w:pPr>
        <w:jc w:val="left"/>
      </w:pPr>
      <w:r>
        <w:t>Spadek liczby szkół oraz uczniów tychże podmiotów w województwie śląskim, odnotowano także w przypadku liceów ogólnokształcących. W analizowanym okresie (lata 2014-2018) liczba szkół spadła z 2 813 do 2 413 (o 14,2%). Liczba uczniów zaś z 76 416 do 63 916. Tendencja spadkowa jest charakterystyczna dla wszystkich województw kraju. Dla Polski w analogicznym okresie odnotowano zmniejszenie liczby LO o 13%.</w:t>
      </w:r>
    </w:p>
    <w:p w14:paraId="0EC79A62" w14:textId="77777777" w:rsidR="002F1F17" w:rsidRDefault="002F1F17" w:rsidP="00DF64C7">
      <w:pPr>
        <w:jc w:val="left"/>
      </w:pPr>
      <w:r>
        <w:t>We wszystkich województwach kraju w latach 2014-2018 można zaobserwować konsekwentny spadek liczby uczniów szkół zawodowych i branżowych. W roku 2018 liczba uczniów tego typu szkół w województwie śląskim wynosiła 16 243 osoby, co (pomimo spadku o 26,3% w stosunku do roku 2014) uplanowało je na trzecim miejscu w kraju.</w:t>
      </w:r>
    </w:p>
    <w:p w14:paraId="1A7A62B8" w14:textId="77777777" w:rsidR="002F1F17" w:rsidRDefault="002F1F17" w:rsidP="00DF64C7">
      <w:pPr>
        <w:jc w:val="left"/>
      </w:pPr>
      <w:r>
        <w:t xml:space="preserve">Pod względem zdawalności matur województwo śląskie zaliczyło kilkuprocentowy wzrost w latach 2014-2016 po czym do roku 2018 pozostawało na poziomie oscylującym wokół 79%. Wyniki te kształtowały się w sposób mocno zbliżony do tendencji dla całej Polski. </w:t>
      </w:r>
    </w:p>
    <w:p w14:paraId="6429DA66" w14:textId="77777777" w:rsidR="002F1F17" w:rsidRDefault="002F1F17" w:rsidP="00DF64C7">
      <w:pPr>
        <w:pStyle w:val="Legenda"/>
        <w:spacing w:line="271" w:lineRule="auto"/>
        <w:jc w:val="left"/>
      </w:pPr>
      <w:r>
        <w:t xml:space="preserve">Wykres </w:t>
      </w:r>
      <w:r w:rsidR="003350B7">
        <w:rPr>
          <w:noProof/>
        </w:rPr>
        <w:t>44</w:t>
      </w:r>
      <w:r w:rsidR="00D22B94">
        <w:rPr>
          <w:noProof/>
        </w:rPr>
        <w:t xml:space="preserve">. </w:t>
      </w:r>
      <w:r>
        <w:t>Odsetek osób, które zdały egzamin maturalny w latach 2014-2018</w:t>
      </w:r>
    </w:p>
    <w:p w14:paraId="34AC65AE" w14:textId="77777777" w:rsidR="002F1F17" w:rsidRDefault="002F1F17" w:rsidP="00DF64C7">
      <w:pPr>
        <w:jc w:val="left"/>
      </w:pPr>
      <w:r>
        <w:rPr>
          <w:noProof/>
          <w:lang w:eastAsia="pl-PL"/>
        </w:rPr>
        <w:drawing>
          <wp:inline distT="0" distB="0" distL="0" distR="0" wp14:anchorId="5CA6D786" wp14:editId="07A71E0E">
            <wp:extent cx="5759450" cy="1990725"/>
            <wp:effectExtent l="0" t="0" r="12700" b="9525"/>
            <wp:docPr id="50" name="Wykres 50" descr="Wykres przedstawia odsetek osób, które zdały egzamin maturalny w latach 2014-2018 w ujęciu krajowym oraz w woj. śląskim.  Odsetek osób, które zdały egzamin maturalny jest niższy niż dane dla Polski, jednak widać wyraźną tendecję wzrostową." title="Odsetek osób, które zdały egzamin maturalny w latach 2014-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4C589E5" w14:textId="77777777" w:rsidR="002F1F17" w:rsidRDefault="002F1F17" w:rsidP="00DF64C7">
      <w:pPr>
        <w:pStyle w:val="podpisrdailustracji"/>
        <w:spacing w:line="271" w:lineRule="auto"/>
        <w:jc w:val="left"/>
      </w:pPr>
      <w:r w:rsidRPr="00B47FA6">
        <w:t>Źródło: Okręgowa Komisja Egzaminacyjna w Jaworznie</w:t>
      </w:r>
      <w:r>
        <w:t xml:space="preserve">, </w:t>
      </w:r>
      <w:r w:rsidRPr="00B47FA6">
        <w:t>Sprawozdanie ogólne z egzaminu maturalnego 2019</w:t>
      </w:r>
      <w:r>
        <w:t>.</w:t>
      </w:r>
    </w:p>
    <w:p w14:paraId="3947ED2F" w14:textId="77777777" w:rsidR="002F1F17" w:rsidRDefault="002F1F17" w:rsidP="00DF64C7">
      <w:pPr>
        <w:jc w:val="left"/>
      </w:pPr>
      <w:r>
        <w:t>Zdawalność egzaminu maturalnego była wyższa w liceach ogólnokształcących i wyniosła 85,6% natomiast w technikach osiągnęła 70,7%. Zauważyć można wyraźną różnicę w zdawalności matury w szkołach publicznych i niepublicznych. Wynika ona z tego, że znaczny odsetek szkół niepublicznych stanowią uzupełniające szkoły dla dorosłych, które statystycznie uzyskują niższe wyniki. W przypadku szkół publicznych zdawalność wynosiła 82%, z kolei w szkołach niepublicznych było to 55,9%</w:t>
      </w:r>
      <w:r>
        <w:rPr>
          <w:rStyle w:val="Odwoanieprzypisudolnego"/>
        </w:rPr>
        <w:footnoteReference w:id="129"/>
      </w:r>
      <w:r>
        <w:t>.</w:t>
      </w:r>
    </w:p>
    <w:p w14:paraId="1762F97F" w14:textId="77777777" w:rsidR="002F1F17" w:rsidRDefault="002F1F17" w:rsidP="00DF64C7">
      <w:pPr>
        <w:jc w:val="left"/>
      </w:pPr>
      <w:r>
        <w:t>Dokonując analizy egzaminów zawodowych można zauważyć, że największy odsetek zdawalności odnotowano w przypadku kwalifikacyjnych kursów zawodowych, w których wyniki z części pisemnej i praktycznej wyniosły po około 94%. Dobre wyniki uzyskano także na egzaminach z eksternistycznych kursów zawodowych, gdzie uzyskano odpowiednio około 89% i 94%. Najsłabsze rezultaty uzyskali absolwenci uzyskując około 55% i 40%.</w:t>
      </w:r>
    </w:p>
    <w:p w14:paraId="4B0A334F" w14:textId="77777777" w:rsidR="002F1F17" w:rsidRDefault="002F1F17" w:rsidP="00DF64C7">
      <w:pPr>
        <w:pStyle w:val="Legenda"/>
        <w:spacing w:line="271" w:lineRule="auto"/>
        <w:jc w:val="left"/>
      </w:pPr>
      <w:r>
        <w:t>Tabela</w:t>
      </w:r>
      <w:r w:rsidR="00842E62">
        <w:t xml:space="preserve"> 35</w:t>
      </w:r>
      <w:r>
        <w:t xml:space="preserve">. </w:t>
      </w:r>
      <w:r w:rsidRPr="003E7A12">
        <w:t>Zdawalność egzaminu potwierdzającego kwalifikacje w zawodzie w 2019 roku</w:t>
      </w:r>
    </w:p>
    <w:tbl>
      <w:tblPr>
        <w:tblStyle w:val="redniasiatka3akcent6"/>
        <w:tblW w:w="9072" w:type="dxa"/>
        <w:tblLook w:val="04A0" w:firstRow="1" w:lastRow="0" w:firstColumn="1" w:lastColumn="0" w:noHBand="0" w:noVBand="1"/>
        <w:tblCaption w:val="Zdawalność egzaminu potwierdzającego kwalifikacje w zawodzie w 2019 roku"/>
        <w:tblDescription w:val="Tabela przedstawia dane dotyczące zdawalności egzaminu potwierdzającego kwalifikacje w zawodzie w 2019 roku w woj. śląskim w części pisemnej oraz praktycznej."/>
      </w:tblPr>
      <w:tblGrid>
        <w:gridCol w:w="3993"/>
        <w:gridCol w:w="2313"/>
        <w:gridCol w:w="2766"/>
      </w:tblGrid>
      <w:tr w:rsidR="002F1F17" w:rsidRPr="001F3C14" w14:paraId="05F37329" w14:textId="77777777" w:rsidTr="007475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7" w:type="dxa"/>
            <w:vAlign w:val="center"/>
          </w:tcPr>
          <w:p w14:paraId="615F440D" w14:textId="77777777" w:rsidR="002F1F17" w:rsidRPr="001F3C14" w:rsidRDefault="002F1F17" w:rsidP="00DF64C7">
            <w:pPr>
              <w:jc w:val="left"/>
              <w:rPr>
                <w:sz w:val="20"/>
              </w:rPr>
            </w:pPr>
          </w:p>
        </w:tc>
        <w:tc>
          <w:tcPr>
            <w:tcW w:w="2374" w:type="dxa"/>
            <w:vAlign w:val="center"/>
          </w:tcPr>
          <w:p w14:paraId="1EC28536" w14:textId="77777777" w:rsidR="002F1F17" w:rsidRPr="001F3C14" w:rsidRDefault="002F1F17" w:rsidP="00DF64C7">
            <w:pPr>
              <w:jc w:val="left"/>
              <w:cnfStyle w:val="100000000000" w:firstRow="1" w:lastRow="0" w:firstColumn="0" w:lastColumn="0" w:oddVBand="0" w:evenVBand="0" w:oddHBand="0" w:evenHBand="0" w:firstRowFirstColumn="0" w:firstRowLastColumn="0" w:lastRowFirstColumn="0" w:lastRowLastColumn="0"/>
              <w:rPr>
                <w:sz w:val="20"/>
              </w:rPr>
            </w:pPr>
            <w:r w:rsidRPr="001F3C14">
              <w:rPr>
                <w:sz w:val="20"/>
              </w:rPr>
              <w:t>Część pisemna</w:t>
            </w:r>
          </w:p>
        </w:tc>
        <w:tc>
          <w:tcPr>
            <w:tcW w:w="2837" w:type="dxa"/>
            <w:vAlign w:val="center"/>
          </w:tcPr>
          <w:p w14:paraId="277D1DF8" w14:textId="77777777" w:rsidR="002F1F17" w:rsidRPr="001F3C14" w:rsidRDefault="002F1F17" w:rsidP="00DF64C7">
            <w:pPr>
              <w:jc w:val="left"/>
              <w:cnfStyle w:val="100000000000" w:firstRow="1" w:lastRow="0" w:firstColumn="0" w:lastColumn="0" w:oddVBand="0" w:evenVBand="0" w:oddHBand="0" w:evenHBand="0" w:firstRowFirstColumn="0" w:firstRowLastColumn="0" w:lastRowFirstColumn="0" w:lastRowLastColumn="0"/>
              <w:rPr>
                <w:sz w:val="20"/>
              </w:rPr>
            </w:pPr>
            <w:r w:rsidRPr="001F3C14">
              <w:rPr>
                <w:sz w:val="20"/>
              </w:rPr>
              <w:t>Część praktyczna</w:t>
            </w:r>
          </w:p>
        </w:tc>
      </w:tr>
      <w:tr w:rsidR="002F1F17" w:rsidRPr="001F3C14" w14:paraId="0F1D1FE3" w14:textId="77777777" w:rsidTr="00747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center"/>
          </w:tcPr>
          <w:p w14:paraId="6795AAFB" w14:textId="77777777" w:rsidR="002F1F17" w:rsidRPr="001F3C14" w:rsidRDefault="002F1F17" w:rsidP="00DF64C7">
            <w:pPr>
              <w:jc w:val="left"/>
              <w:rPr>
                <w:sz w:val="20"/>
              </w:rPr>
            </w:pPr>
            <w:r w:rsidRPr="001F3C14">
              <w:rPr>
                <w:sz w:val="20"/>
              </w:rPr>
              <w:t>Technika, szkoły policealne, zasadnicze szkoły zawodowe/branżowe</w:t>
            </w:r>
          </w:p>
        </w:tc>
        <w:tc>
          <w:tcPr>
            <w:tcW w:w="2374" w:type="dxa"/>
            <w:vAlign w:val="center"/>
          </w:tcPr>
          <w:p w14:paraId="73CD5D23" w14:textId="77777777" w:rsidR="002F1F17" w:rsidRPr="001F3C14" w:rsidRDefault="002F1F17" w:rsidP="003E5E36">
            <w:pPr>
              <w:jc w:val="right"/>
              <w:cnfStyle w:val="000000100000" w:firstRow="0" w:lastRow="0" w:firstColumn="0" w:lastColumn="0" w:oddVBand="0" w:evenVBand="0" w:oddHBand="1" w:evenHBand="0" w:firstRowFirstColumn="0" w:firstRowLastColumn="0" w:lastRowFirstColumn="0" w:lastRowLastColumn="0"/>
              <w:rPr>
                <w:sz w:val="20"/>
              </w:rPr>
            </w:pPr>
            <w:r w:rsidRPr="001F3C14">
              <w:rPr>
                <w:sz w:val="20"/>
              </w:rPr>
              <w:t>85,78%</w:t>
            </w:r>
          </w:p>
        </w:tc>
        <w:tc>
          <w:tcPr>
            <w:tcW w:w="2837" w:type="dxa"/>
            <w:vAlign w:val="center"/>
          </w:tcPr>
          <w:p w14:paraId="287AEE85" w14:textId="77777777" w:rsidR="002F1F17" w:rsidRPr="001F3C14" w:rsidRDefault="002F1F17" w:rsidP="003E5E36">
            <w:pPr>
              <w:jc w:val="right"/>
              <w:cnfStyle w:val="000000100000" w:firstRow="0" w:lastRow="0" w:firstColumn="0" w:lastColumn="0" w:oddVBand="0" w:evenVBand="0" w:oddHBand="1" w:evenHBand="0" w:firstRowFirstColumn="0" w:firstRowLastColumn="0" w:lastRowFirstColumn="0" w:lastRowLastColumn="0"/>
              <w:rPr>
                <w:sz w:val="20"/>
              </w:rPr>
            </w:pPr>
            <w:r w:rsidRPr="001F3C14">
              <w:rPr>
                <w:sz w:val="20"/>
              </w:rPr>
              <w:t>77,78%</w:t>
            </w:r>
          </w:p>
        </w:tc>
      </w:tr>
      <w:tr w:rsidR="002F1F17" w:rsidRPr="001F3C14" w14:paraId="5E652439" w14:textId="77777777" w:rsidTr="00747518">
        <w:tc>
          <w:tcPr>
            <w:cnfStyle w:val="001000000000" w:firstRow="0" w:lastRow="0" w:firstColumn="1" w:lastColumn="0" w:oddVBand="0" w:evenVBand="0" w:oddHBand="0" w:evenHBand="0" w:firstRowFirstColumn="0" w:firstRowLastColumn="0" w:lastRowFirstColumn="0" w:lastRowLastColumn="0"/>
            <w:tcW w:w="4077" w:type="dxa"/>
            <w:vAlign w:val="center"/>
          </w:tcPr>
          <w:p w14:paraId="6B5D0A73" w14:textId="77777777" w:rsidR="002F1F17" w:rsidRPr="001F3C14" w:rsidRDefault="002F1F17" w:rsidP="00DF64C7">
            <w:pPr>
              <w:jc w:val="left"/>
              <w:rPr>
                <w:sz w:val="20"/>
              </w:rPr>
            </w:pPr>
            <w:r w:rsidRPr="001F3C14">
              <w:rPr>
                <w:sz w:val="20"/>
              </w:rPr>
              <w:t>Kwalifikacyjny kurs zawodowy</w:t>
            </w:r>
          </w:p>
        </w:tc>
        <w:tc>
          <w:tcPr>
            <w:tcW w:w="2374" w:type="dxa"/>
            <w:vAlign w:val="center"/>
          </w:tcPr>
          <w:p w14:paraId="6B66C673" w14:textId="77777777" w:rsidR="002F1F17" w:rsidRPr="001F3C14" w:rsidRDefault="002F1F17" w:rsidP="003E5E36">
            <w:pPr>
              <w:jc w:val="right"/>
              <w:cnfStyle w:val="000000000000" w:firstRow="0" w:lastRow="0" w:firstColumn="0" w:lastColumn="0" w:oddVBand="0" w:evenVBand="0" w:oddHBand="0" w:evenHBand="0" w:firstRowFirstColumn="0" w:firstRowLastColumn="0" w:lastRowFirstColumn="0" w:lastRowLastColumn="0"/>
              <w:rPr>
                <w:sz w:val="20"/>
              </w:rPr>
            </w:pPr>
            <w:r w:rsidRPr="001F3C14">
              <w:rPr>
                <w:sz w:val="20"/>
              </w:rPr>
              <w:t>93,94%</w:t>
            </w:r>
          </w:p>
        </w:tc>
        <w:tc>
          <w:tcPr>
            <w:tcW w:w="2837" w:type="dxa"/>
            <w:vAlign w:val="center"/>
          </w:tcPr>
          <w:p w14:paraId="60D82089" w14:textId="77777777" w:rsidR="002F1F17" w:rsidRPr="001F3C14" w:rsidRDefault="002F1F17" w:rsidP="003E5E36">
            <w:pPr>
              <w:jc w:val="right"/>
              <w:cnfStyle w:val="000000000000" w:firstRow="0" w:lastRow="0" w:firstColumn="0" w:lastColumn="0" w:oddVBand="0" w:evenVBand="0" w:oddHBand="0" w:evenHBand="0" w:firstRowFirstColumn="0" w:firstRowLastColumn="0" w:lastRowFirstColumn="0" w:lastRowLastColumn="0"/>
              <w:rPr>
                <w:sz w:val="20"/>
              </w:rPr>
            </w:pPr>
            <w:r w:rsidRPr="001F3C14">
              <w:rPr>
                <w:sz w:val="20"/>
              </w:rPr>
              <w:t>94,59%</w:t>
            </w:r>
          </w:p>
        </w:tc>
      </w:tr>
      <w:tr w:rsidR="002F1F17" w:rsidRPr="001F3C14" w14:paraId="6C350F88" w14:textId="77777777" w:rsidTr="00747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center"/>
          </w:tcPr>
          <w:p w14:paraId="692B9398" w14:textId="77777777" w:rsidR="002F1F17" w:rsidRPr="001F3C14" w:rsidRDefault="002F1F17" w:rsidP="00DF64C7">
            <w:pPr>
              <w:jc w:val="left"/>
              <w:rPr>
                <w:sz w:val="20"/>
              </w:rPr>
            </w:pPr>
            <w:r w:rsidRPr="001F3C14">
              <w:rPr>
                <w:sz w:val="20"/>
              </w:rPr>
              <w:t>Eksternistyczny kurs zawodowy</w:t>
            </w:r>
          </w:p>
        </w:tc>
        <w:tc>
          <w:tcPr>
            <w:tcW w:w="2374" w:type="dxa"/>
            <w:vAlign w:val="center"/>
          </w:tcPr>
          <w:p w14:paraId="47CA15D8" w14:textId="77777777" w:rsidR="002F1F17" w:rsidRPr="001F3C14" w:rsidRDefault="002F1F17" w:rsidP="003E5E36">
            <w:pPr>
              <w:jc w:val="right"/>
              <w:cnfStyle w:val="000000100000" w:firstRow="0" w:lastRow="0" w:firstColumn="0" w:lastColumn="0" w:oddVBand="0" w:evenVBand="0" w:oddHBand="1" w:evenHBand="0" w:firstRowFirstColumn="0" w:firstRowLastColumn="0" w:lastRowFirstColumn="0" w:lastRowLastColumn="0"/>
              <w:rPr>
                <w:sz w:val="20"/>
              </w:rPr>
            </w:pPr>
            <w:r w:rsidRPr="001F3C14">
              <w:rPr>
                <w:sz w:val="20"/>
              </w:rPr>
              <w:t>89,04%</w:t>
            </w:r>
          </w:p>
        </w:tc>
        <w:tc>
          <w:tcPr>
            <w:tcW w:w="2837" w:type="dxa"/>
            <w:vAlign w:val="center"/>
          </w:tcPr>
          <w:p w14:paraId="2EB4E154" w14:textId="77777777" w:rsidR="002F1F17" w:rsidRPr="001F3C14" w:rsidRDefault="002F1F17" w:rsidP="003E5E36">
            <w:pPr>
              <w:jc w:val="right"/>
              <w:cnfStyle w:val="000000100000" w:firstRow="0" w:lastRow="0" w:firstColumn="0" w:lastColumn="0" w:oddVBand="0" w:evenVBand="0" w:oddHBand="1" w:evenHBand="0" w:firstRowFirstColumn="0" w:firstRowLastColumn="0" w:lastRowFirstColumn="0" w:lastRowLastColumn="0"/>
              <w:rPr>
                <w:sz w:val="20"/>
              </w:rPr>
            </w:pPr>
            <w:r w:rsidRPr="001F3C14">
              <w:rPr>
                <w:sz w:val="20"/>
              </w:rPr>
              <w:t>93,85%</w:t>
            </w:r>
          </w:p>
        </w:tc>
      </w:tr>
      <w:tr w:rsidR="002F1F17" w:rsidRPr="001F3C14" w14:paraId="6FCF1E21" w14:textId="77777777" w:rsidTr="00747518">
        <w:tc>
          <w:tcPr>
            <w:cnfStyle w:val="001000000000" w:firstRow="0" w:lastRow="0" w:firstColumn="1" w:lastColumn="0" w:oddVBand="0" w:evenVBand="0" w:oddHBand="0" w:evenHBand="0" w:firstRowFirstColumn="0" w:firstRowLastColumn="0" w:lastRowFirstColumn="0" w:lastRowLastColumn="0"/>
            <w:tcW w:w="4077" w:type="dxa"/>
            <w:vAlign w:val="center"/>
          </w:tcPr>
          <w:p w14:paraId="4AA1C134" w14:textId="77777777" w:rsidR="002F1F17" w:rsidRPr="001F3C14" w:rsidRDefault="002F1F17" w:rsidP="00DF64C7">
            <w:pPr>
              <w:jc w:val="left"/>
              <w:rPr>
                <w:sz w:val="20"/>
              </w:rPr>
            </w:pPr>
            <w:r w:rsidRPr="001F3C14">
              <w:rPr>
                <w:sz w:val="20"/>
              </w:rPr>
              <w:t>Absolwenci</w:t>
            </w:r>
          </w:p>
        </w:tc>
        <w:tc>
          <w:tcPr>
            <w:tcW w:w="2374" w:type="dxa"/>
            <w:vAlign w:val="center"/>
          </w:tcPr>
          <w:p w14:paraId="3A7DB7D7" w14:textId="77777777" w:rsidR="002F1F17" w:rsidRPr="001F3C14" w:rsidRDefault="002F1F17" w:rsidP="003E5E36">
            <w:pPr>
              <w:jc w:val="right"/>
              <w:cnfStyle w:val="000000000000" w:firstRow="0" w:lastRow="0" w:firstColumn="0" w:lastColumn="0" w:oddVBand="0" w:evenVBand="0" w:oddHBand="0" w:evenHBand="0" w:firstRowFirstColumn="0" w:firstRowLastColumn="0" w:lastRowFirstColumn="0" w:lastRowLastColumn="0"/>
              <w:rPr>
                <w:sz w:val="20"/>
              </w:rPr>
            </w:pPr>
            <w:r w:rsidRPr="001F3C14">
              <w:rPr>
                <w:sz w:val="20"/>
              </w:rPr>
              <w:t>55,42%</w:t>
            </w:r>
          </w:p>
        </w:tc>
        <w:tc>
          <w:tcPr>
            <w:tcW w:w="2837" w:type="dxa"/>
            <w:vAlign w:val="center"/>
          </w:tcPr>
          <w:p w14:paraId="040285AE" w14:textId="77777777" w:rsidR="002F1F17" w:rsidRPr="001F3C14" w:rsidRDefault="002F1F17" w:rsidP="003E5E36">
            <w:pPr>
              <w:jc w:val="right"/>
              <w:cnfStyle w:val="000000000000" w:firstRow="0" w:lastRow="0" w:firstColumn="0" w:lastColumn="0" w:oddVBand="0" w:evenVBand="0" w:oddHBand="0" w:evenHBand="0" w:firstRowFirstColumn="0" w:firstRowLastColumn="0" w:lastRowFirstColumn="0" w:lastRowLastColumn="0"/>
              <w:rPr>
                <w:sz w:val="20"/>
              </w:rPr>
            </w:pPr>
            <w:r w:rsidRPr="001F3C14">
              <w:rPr>
                <w:sz w:val="20"/>
              </w:rPr>
              <w:t>39,92%</w:t>
            </w:r>
          </w:p>
        </w:tc>
      </w:tr>
    </w:tbl>
    <w:p w14:paraId="77C3C17C" w14:textId="77777777" w:rsidR="002F1F17" w:rsidRDefault="002F1F17" w:rsidP="00DF64C7">
      <w:pPr>
        <w:pStyle w:val="podpisrdailustracji"/>
        <w:spacing w:line="271" w:lineRule="auto"/>
        <w:jc w:val="left"/>
      </w:pPr>
      <w:r>
        <w:t>Źródło: Okręgowa Komisja Egzaminacyjna w Jaworznie.</w:t>
      </w:r>
    </w:p>
    <w:p w14:paraId="2BE2A8A9" w14:textId="54B6BA4C" w:rsidR="004A0B2D" w:rsidRDefault="004A0B2D" w:rsidP="00DF64C7">
      <w:pPr>
        <w:spacing w:after="240"/>
        <w:jc w:val="left"/>
      </w:pPr>
      <w:r>
        <w:t>Współcześnie zarówno w województwie śląskim</w:t>
      </w:r>
      <w:r w:rsidR="009A07ED">
        <w:t>,</w:t>
      </w:r>
      <w:r>
        <w:t xml:space="preserve"> jak i w całym kraju wzrasta zatrudnialność absolwentów kształcenia i szkolenia zawodowego, jednakże nauka oparta na pracy wciąż jest ograniczona, co stanowi największy problem związany z kształceniem i szkoleniem zawodowym. Warto zwrócić uwagę, że w przypadku uczniów początkowego kształcenia i szkolenia zawodowego wyłącznie 15% studentów było zapisanych do programów obejmujących kształcenie w szkole i oparte na pracy. Odpowiedź na zidentyfikowane problemy stanowi zmiana Prawa oświatowego z listopada 2018 r., które stanowi zwiększenie subwencji oświatowej na uczniów pracujących w pożądanych zawodach</w:t>
      </w:r>
      <w:r>
        <w:rPr>
          <w:rStyle w:val="Odwoanieprzypisudolnego"/>
        </w:rPr>
        <w:footnoteReference w:id="130"/>
      </w:r>
      <w:r>
        <w:t>. Z tego względu należy w sposób stały oraz n</w:t>
      </w:r>
      <w:r w:rsidRPr="00A727DB">
        <w:t>owoczesn</w:t>
      </w:r>
      <w:r>
        <w:t xml:space="preserve">y </w:t>
      </w:r>
      <w:r w:rsidRPr="00A727DB">
        <w:t>dopasow</w:t>
      </w:r>
      <w:r>
        <w:t>ywać</w:t>
      </w:r>
      <w:r w:rsidRPr="00A727DB">
        <w:t xml:space="preserve"> do potrzeb rynku </w:t>
      </w:r>
      <w:r>
        <w:t>zatrudnienia</w:t>
      </w:r>
      <w:r w:rsidRPr="00A727DB">
        <w:t xml:space="preserve"> wykształcenie zawodowe, jako kluczowy element dynamicznego rozwoju społeczno-gospodarczego województwa śląskiego</w:t>
      </w:r>
      <w:r>
        <w:t>.</w:t>
      </w:r>
    </w:p>
    <w:p w14:paraId="316D238D" w14:textId="77777777" w:rsidR="00136634" w:rsidRDefault="00136634" w:rsidP="00DF64C7">
      <w:pPr>
        <w:spacing w:after="240"/>
        <w:jc w:val="left"/>
      </w:pPr>
      <w:r>
        <w:t>Jednym z celów wsparcia kierowanego z RPO WSL 2014-2020 jest wzrost dostępu do wysokiej jakości kształcenia ogólnokształcącego. Wpływ wsparcia zaobserwować można głównie za pośrednictwem przedstawionych powyżej wyników matur. Analizując z kolei kształtowanie się w ostatnich latach liczby liceów na terenie woj. śląskiego zaobserwować można ciągły spadek (od 2014 r.). Analogicznie, spadek obserwuje się również w przypadku liczby uczniów tego typu szkół. Warto jednak mieć na uwadze, że fakt ten wynika bezpośrednio z niekorzystnej sytuacji demograficznej (spadające liczby ludności, warunkującej coraz niższe liczebności ludności w młodszych grupach wiekowych). Aby uzasadnić ten wniosek w poniższej tabeli zestawiono również dane dot. liczby ludności w przedziale wiekowym odpowiadającym uczniom liceów. Jak można zaobserwować, spadek liczby liceów (i ich uczniów) jest wprost proporcjonalny do spadku liczby ludności w tychże kategoriach wiekowych.</w:t>
      </w:r>
    </w:p>
    <w:p w14:paraId="42F9AEFD" w14:textId="77777777" w:rsidR="00046FF8" w:rsidRDefault="00046FF8" w:rsidP="00DF64C7">
      <w:pPr>
        <w:pStyle w:val="Legenda"/>
        <w:spacing w:line="271" w:lineRule="auto"/>
        <w:jc w:val="left"/>
      </w:pPr>
      <w:r>
        <w:t>Tabela</w:t>
      </w:r>
      <w:r w:rsidR="00842E62">
        <w:t xml:space="preserve"> 36</w:t>
      </w:r>
      <w:r>
        <w:t xml:space="preserve">. Liczba uczniów i liceów z terenu woj. śląskiego w latach 2014-2018 </w:t>
      </w:r>
    </w:p>
    <w:tbl>
      <w:tblPr>
        <w:tblStyle w:val="Tabelasiatki5ciemnaakcent61"/>
        <w:tblW w:w="5000" w:type="pct"/>
        <w:tblLayout w:type="fixed"/>
        <w:tblLook w:val="04A0" w:firstRow="1" w:lastRow="0" w:firstColumn="1" w:lastColumn="0" w:noHBand="0" w:noVBand="1"/>
        <w:tblCaption w:val="Liczba uczniów i liceów z terenu woj. śląskiego w latach 2014-2018 "/>
        <w:tblDescription w:val="Liczba liceów:&#10;2014 r. - 435 &#10;2015 r. - 434 &#10;2016 r. - 424 &#10;2017 r. - 410 &#10;2018 r. - 380&#10;Liczba uczniów liceów&#10;2014 r. - 76 416&#10;2015 r. - 72 878&#10;2016 r. - 69 365&#10;2017 r. - 66 264&#10;2018 r. - 63 916&#10;Liczba osób w wieku odpowiadającym wieku uczniów liceów&#10;2014 r. - 133 180&#10;2015 r. - 127 847&#10;2016 r. - 124 512&#10;2017 r. - 121 736&#10;2018 r. - 118 862"/>
      </w:tblPr>
      <w:tblGrid>
        <w:gridCol w:w="3539"/>
        <w:gridCol w:w="1104"/>
        <w:gridCol w:w="1104"/>
        <w:gridCol w:w="1104"/>
        <w:gridCol w:w="1104"/>
        <w:gridCol w:w="1105"/>
      </w:tblGrid>
      <w:tr w:rsidR="00046FF8" w:rsidRPr="00046FF8" w14:paraId="78DEE6BD" w14:textId="77777777" w:rsidTr="003E5E36">
        <w:trPr>
          <w:cnfStyle w:val="100000000000" w:firstRow="1" w:lastRow="0" w:firstColumn="0" w:lastColumn="0" w:oddVBand="0" w:evenVBand="0" w:oddHBand="0" w:evenHBand="0" w:firstRowFirstColumn="0" w:firstRowLastColumn="0" w:lastRowFirstColumn="0" w:lastRowLastColumn="0"/>
          <w:trHeight w:val="376"/>
          <w:tblHeader/>
        </w:trPr>
        <w:tc>
          <w:tcPr>
            <w:cnfStyle w:val="001000000000" w:firstRow="0" w:lastRow="0" w:firstColumn="1" w:lastColumn="0" w:oddVBand="0" w:evenVBand="0" w:oddHBand="0" w:evenHBand="0" w:firstRowFirstColumn="0" w:firstRowLastColumn="0" w:lastRowFirstColumn="0" w:lastRowLastColumn="0"/>
            <w:tcW w:w="1953" w:type="pct"/>
            <w:noWrap/>
            <w:vAlign w:val="center"/>
            <w:hideMark/>
          </w:tcPr>
          <w:p w14:paraId="7FBB06C8" w14:textId="77777777" w:rsidR="00046FF8" w:rsidRPr="00046FF8" w:rsidRDefault="00046FF8" w:rsidP="00DF64C7">
            <w:pPr>
              <w:jc w:val="left"/>
              <w:rPr>
                <w:rFonts w:ascii="Times New Roman" w:eastAsia="Times New Roman" w:hAnsi="Times New Roman" w:cs="Times New Roman"/>
                <w:b w:val="0"/>
                <w:bCs w:val="0"/>
                <w:sz w:val="24"/>
                <w:szCs w:val="24"/>
                <w:lang w:eastAsia="pl-PL"/>
              </w:rPr>
            </w:pPr>
          </w:p>
        </w:tc>
        <w:tc>
          <w:tcPr>
            <w:tcW w:w="609" w:type="pct"/>
            <w:vAlign w:val="center"/>
            <w:hideMark/>
          </w:tcPr>
          <w:p w14:paraId="450035EB" w14:textId="77777777" w:rsidR="00046FF8" w:rsidRPr="0036452C" w:rsidRDefault="00046FF8"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36452C">
              <w:rPr>
                <w:rFonts w:ascii="Calibri" w:eastAsia="Times New Roman" w:hAnsi="Calibri" w:cs="Calibri"/>
                <w:lang w:eastAsia="pl-PL"/>
              </w:rPr>
              <w:t>2014</w:t>
            </w:r>
          </w:p>
        </w:tc>
        <w:tc>
          <w:tcPr>
            <w:tcW w:w="609" w:type="pct"/>
            <w:vAlign w:val="center"/>
            <w:hideMark/>
          </w:tcPr>
          <w:p w14:paraId="34215D9A" w14:textId="77777777" w:rsidR="00046FF8" w:rsidRPr="0036452C" w:rsidRDefault="00046FF8"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36452C">
              <w:rPr>
                <w:rFonts w:ascii="Calibri" w:eastAsia="Times New Roman" w:hAnsi="Calibri" w:cs="Calibri"/>
                <w:lang w:eastAsia="pl-PL"/>
              </w:rPr>
              <w:t>2015</w:t>
            </w:r>
          </w:p>
        </w:tc>
        <w:tc>
          <w:tcPr>
            <w:tcW w:w="609" w:type="pct"/>
            <w:vAlign w:val="center"/>
            <w:hideMark/>
          </w:tcPr>
          <w:p w14:paraId="7F109FA1" w14:textId="77777777" w:rsidR="00046FF8" w:rsidRPr="0036452C" w:rsidRDefault="00046FF8"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36452C">
              <w:rPr>
                <w:rFonts w:ascii="Calibri" w:eastAsia="Times New Roman" w:hAnsi="Calibri" w:cs="Calibri"/>
                <w:lang w:eastAsia="pl-PL"/>
              </w:rPr>
              <w:t>2016</w:t>
            </w:r>
          </w:p>
        </w:tc>
        <w:tc>
          <w:tcPr>
            <w:tcW w:w="609" w:type="pct"/>
            <w:vAlign w:val="center"/>
            <w:hideMark/>
          </w:tcPr>
          <w:p w14:paraId="3BC8D6A7" w14:textId="77777777" w:rsidR="00046FF8" w:rsidRPr="0036452C" w:rsidRDefault="00046FF8"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36452C">
              <w:rPr>
                <w:rFonts w:ascii="Calibri" w:eastAsia="Times New Roman" w:hAnsi="Calibri" w:cs="Calibri"/>
                <w:lang w:eastAsia="pl-PL"/>
              </w:rPr>
              <w:t>2017</w:t>
            </w:r>
          </w:p>
        </w:tc>
        <w:tc>
          <w:tcPr>
            <w:tcW w:w="610" w:type="pct"/>
            <w:vAlign w:val="center"/>
            <w:hideMark/>
          </w:tcPr>
          <w:p w14:paraId="22DFA58D" w14:textId="77777777" w:rsidR="00046FF8" w:rsidRPr="0036452C" w:rsidRDefault="00046FF8"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36452C">
              <w:rPr>
                <w:rFonts w:ascii="Calibri" w:eastAsia="Times New Roman" w:hAnsi="Calibri" w:cs="Calibri"/>
                <w:lang w:eastAsia="pl-PL"/>
              </w:rPr>
              <w:t>2018</w:t>
            </w:r>
          </w:p>
        </w:tc>
      </w:tr>
      <w:tr w:rsidR="00046FF8" w:rsidRPr="00046FF8" w14:paraId="1E1FC829" w14:textId="77777777" w:rsidTr="007B5F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3" w:type="pct"/>
            <w:noWrap/>
            <w:vAlign w:val="center"/>
            <w:hideMark/>
          </w:tcPr>
          <w:p w14:paraId="1A46DCAB" w14:textId="77777777" w:rsidR="00046FF8" w:rsidRPr="00046FF8" w:rsidRDefault="00046FF8" w:rsidP="00DF64C7">
            <w:pPr>
              <w:jc w:val="left"/>
              <w:rPr>
                <w:rFonts w:ascii="Calibri" w:eastAsia="Times New Roman" w:hAnsi="Calibri" w:cs="Calibri"/>
                <w:b w:val="0"/>
                <w:bCs w:val="0"/>
                <w:lang w:eastAsia="pl-PL"/>
              </w:rPr>
            </w:pPr>
            <w:r w:rsidRPr="00046FF8">
              <w:rPr>
                <w:rFonts w:ascii="Calibri" w:eastAsia="Times New Roman" w:hAnsi="Calibri" w:cs="Calibri"/>
                <w:lang w:eastAsia="pl-PL"/>
              </w:rPr>
              <w:t>Liczba liceów</w:t>
            </w:r>
          </w:p>
        </w:tc>
        <w:tc>
          <w:tcPr>
            <w:tcW w:w="609" w:type="pct"/>
            <w:noWrap/>
            <w:vAlign w:val="center"/>
            <w:hideMark/>
          </w:tcPr>
          <w:p w14:paraId="2B8C5747" w14:textId="77777777" w:rsidR="00046FF8" w:rsidRPr="00046FF8" w:rsidRDefault="00046F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435</w:t>
            </w:r>
          </w:p>
        </w:tc>
        <w:tc>
          <w:tcPr>
            <w:tcW w:w="609" w:type="pct"/>
            <w:noWrap/>
            <w:vAlign w:val="center"/>
            <w:hideMark/>
          </w:tcPr>
          <w:p w14:paraId="41FCF963" w14:textId="77777777" w:rsidR="00046FF8" w:rsidRPr="00046FF8" w:rsidRDefault="00046F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434</w:t>
            </w:r>
          </w:p>
        </w:tc>
        <w:tc>
          <w:tcPr>
            <w:tcW w:w="609" w:type="pct"/>
            <w:noWrap/>
            <w:vAlign w:val="center"/>
            <w:hideMark/>
          </w:tcPr>
          <w:p w14:paraId="20F82674" w14:textId="77777777" w:rsidR="00046FF8" w:rsidRPr="00046FF8" w:rsidRDefault="00046F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424</w:t>
            </w:r>
          </w:p>
        </w:tc>
        <w:tc>
          <w:tcPr>
            <w:tcW w:w="609" w:type="pct"/>
            <w:noWrap/>
            <w:vAlign w:val="center"/>
            <w:hideMark/>
          </w:tcPr>
          <w:p w14:paraId="6AE801A9" w14:textId="77777777" w:rsidR="00046FF8" w:rsidRPr="00046FF8" w:rsidRDefault="00046F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410</w:t>
            </w:r>
          </w:p>
        </w:tc>
        <w:tc>
          <w:tcPr>
            <w:tcW w:w="610" w:type="pct"/>
            <w:noWrap/>
            <w:vAlign w:val="center"/>
            <w:hideMark/>
          </w:tcPr>
          <w:p w14:paraId="6194A235" w14:textId="77777777" w:rsidR="00046FF8" w:rsidRPr="00046FF8" w:rsidRDefault="00046F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380</w:t>
            </w:r>
          </w:p>
        </w:tc>
      </w:tr>
      <w:tr w:rsidR="00046FF8" w:rsidRPr="00046FF8" w14:paraId="33234BE4" w14:textId="77777777" w:rsidTr="007B5F7E">
        <w:trPr>
          <w:trHeight w:val="288"/>
        </w:trPr>
        <w:tc>
          <w:tcPr>
            <w:cnfStyle w:val="001000000000" w:firstRow="0" w:lastRow="0" w:firstColumn="1" w:lastColumn="0" w:oddVBand="0" w:evenVBand="0" w:oddHBand="0" w:evenHBand="0" w:firstRowFirstColumn="0" w:firstRowLastColumn="0" w:lastRowFirstColumn="0" w:lastRowLastColumn="0"/>
            <w:tcW w:w="1953" w:type="pct"/>
            <w:noWrap/>
            <w:vAlign w:val="center"/>
            <w:hideMark/>
          </w:tcPr>
          <w:p w14:paraId="444E9EDE" w14:textId="77777777" w:rsidR="00046FF8" w:rsidRPr="00046FF8" w:rsidRDefault="00046FF8" w:rsidP="00DF64C7">
            <w:pPr>
              <w:jc w:val="left"/>
              <w:rPr>
                <w:rFonts w:ascii="Calibri" w:eastAsia="Times New Roman" w:hAnsi="Calibri" w:cs="Calibri"/>
                <w:b w:val="0"/>
                <w:bCs w:val="0"/>
                <w:lang w:eastAsia="pl-PL"/>
              </w:rPr>
            </w:pPr>
            <w:r w:rsidRPr="00046FF8">
              <w:rPr>
                <w:rFonts w:ascii="Calibri" w:eastAsia="Times New Roman" w:hAnsi="Calibri" w:cs="Calibri"/>
                <w:lang w:eastAsia="pl-PL"/>
              </w:rPr>
              <w:t>Liczba uczniów liceów</w:t>
            </w:r>
          </w:p>
        </w:tc>
        <w:tc>
          <w:tcPr>
            <w:tcW w:w="609" w:type="pct"/>
            <w:noWrap/>
            <w:vAlign w:val="center"/>
            <w:hideMark/>
          </w:tcPr>
          <w:p w14:paraId="1731798D" w14:textId="77777777" w:rsidR="00046FF8" w:rsidRPr="00046FF8" w:rsidRDefault="00046FF8"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76 416</w:t>
            </w:r>
          </w:p>
        </w:tc>
        <w:tc>
          <w:tcPr>
            <w:tcW w:w="609" w:type="pct"/>
            <w:noWrap/>
            <w:vAlign w:val="center"/>
            <w:hideMark/>
          </w:tcPr>
          <w:p w14:paraId="6010D3F6" w14:textId="77777777" w:rsidR="00046FF8" w:rsidRPr="00046FF8" w:rsidRDefault="00046FF8"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72 878</w:t>
            </w:r>
          </w:p>
        </w:tc>
        <w:tc>
          <w:tcPr>
            <w:tcW w:w="609" w:type="pct"/>
            <w:noWrap/>
            <w:vAlign w:val="center"/>
            <w:hideMark/>
          </w:tcPr>
          <w:p w14:paraId="00A077FC" w14:textId="77777777" w:rsidR="00046FF8" w:rsidRPr="00046FF8" w:rsidRDefault="00046FF8"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69 365</w:t>
            </w:r>
          </w:p>
        </w:tc>
        <w:tc>
          <w:tcPr>
            <w:tcW w:w="609" w:type="pct"/>
            <w:noWrap/>
            <w:vAlign w:val="center"/>
            <w:hideMark/>
          </w:tcPr>
          <w:p w14:paraId="2727BC71" w14:textId="77777777" w:rsidR="00046FF8" w:rsidRPr="00046FF8" w:rsidRDefault="00046FF8"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66 264</w:t>
            </w:r>
          </w:p>
        </w:tc>
        <w:tc>
          <w:tcPr>
            <w:tcW w:w="610" w:type="pct"/>
            <w:noWrap/>
            <w:vAlign w:val="center"/>
            <w:hideMark/>
          </w:tcPr>
          <w:p w14:paraId="3A74EFE1" w14:textId="77777777" w:rsidR="00046FF8" w:rsidRPr="00046FF8" w:rsidRDefault="00046FF8"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63 916</w:t>
            </w:r>
          </w:p>
        </w:tc>
      </w:tr>
      <w:tr w:rsidR="00046FF8" w:rsidRPr="00046FF8" w14:paraId="624A7EAD" w14:textId="77777777" w:rsidTr="007B5F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3" w:type="pct"/>
            <w:noWrap/>
            <w:vAlign w:val="center"/>
            <w:hideMark/>
          </w:tcPr>
          <w:p w14:paraId="6C232E03" w14:textId="77777777" w:rsidR="00046FF8" w:rsidRPr="00046FF8" w:rsidRDefault="00046FF8" w:rsidP="00DF64C7">
            <w:pPr>
              <w:jc w:val="left"/>
              <w:rPr>
                <w:rFonts w:ascii="Calibri" w:eastAsia="Times New Roman" w:hAnsi="Calibri" w:cs="Calibri"/>
                <w:b w:val="0"/>
                <w:bCs w:val="0"/>
                <w:lang w:eastAsia="pl-PL"/>
              </w:rPr>
            </w:pPr>
            <w:r w:rsidRPr="00046FF8">
              <w:rPr>
                <w:rFonts w:ascii="Calibri" w:eastAsia="Times New Roman" w:hAnsi="Calibri" w:cs="Calibri"/>
                <w:lang w:eastAsia="pl-PL"/>
              </w:rPr>
              <w:t>Liczba osób w wieku odpowiadającym wieku uczniów liceów</w:t>
            </w:r>
          </w:p>
        </w:tc>
        <w:tc>
          <w:tcPr>
            <w:tcW w:w="609" w:type="pct"/>
            <w:noWrap/>
            <w:vAlign w:val="center"/>
            <w:hideMark/>
          </w:tcPr>
          <w:p w14:paraId="1CA90E2C" w14:textId="77777777" w:rsidR="00046FF8" w:rsidRPr="00046FF8" w:rsidRDefault="00046F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133 180</w:t>
            </w:r>
          </w:p>
        </w:tc>
        <w:tc>
          <w:tcPr>
            <w:tcW w:w="609" w:type="pct"/>
            <w:noWrap/>
            <w:vAlign w:val="center"/>
            <w:hideMark/>
          </w:tcPr>
          <w:p w14:paraId="1C9162D0" w14:textId="77777777" w:rsidR="00046FF8" w:rsidRPr="00046FF8" w:rsidRDefault="00046F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127 847</w:t>
            </w:r>
          </w:p>
        </w:tc>
        <w:tc>
          <w:tcPr>
            <w:tcW w:w="609" w:type="pct"/>
            <w:noWrap/>
            <w:vAlign w:val="center"/>
            <w:hideMark/>
          </w:tcPr>
          <w:p w14:paraId="10887B37" w14:textId="77777777" w:rsidR="00046FF8" w:rsidRPr="00046FF8" w:rsidRDefault="00046F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124 512</w:t>
            </w:r>
          </w:p>
        </w:tc>
        <w:tc>
          <w:tcPr>
            <w:tcW w:w="609" w:type="pct"/>
            <w:noWrap/>
            <w:vAlign w:val="center"/>
            <w:hideMark/>
          </w:tcPr>
          <w:p w14:paraId="5EEBA28D" w14:textId="77777777" w:rsidR="00046FF8" w:rsidRPr="00046FF8" w:rsidRDefault="00046F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121 736</w:t>
            </w:r>
          </w:p>
        </w:tc>
        <w:tc>
          <w:tcPr>
            <w:tcW w:w="610" w:type="pct"/>
            <w:noWrap/>
            <w:vAlign w:val="center"/>
            <w:hideMark/>
          </w:tcPr>
          <w:p w14:paraId="10C7F68F" w14:textId="77777777" w:rsidR="00046FF8" w:rsidRPr="00046FF8" w:rsidRDefault="00046F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sz w:val="18"/>
                <w:szCs w:val="18"/>
                <w:lang w:eastAsia="pl-PL"/>
              </w:rPr>
            </w:pPr>
            <w:r w:rsidRPr="00046FF8">
              <w:rPr>
                <w:rFonts w:ascii="Calibri" w:eastAsia="Times New Roman" w:hAnsi="Calibri" w:cs="Calibri"/>
                <w:lang w:eastAsia="pl-PL"/>
              </w:rPr>
              <w:t>118 862</w:t>
            </w:r>
          </w:p>
        </w:tc>
      </w:tr>
    </w:tbl>
    <w:p w14:paraId="5EEA8B90" w14:textId="77777777" w:rsidR="00046FF8" w:rsidRPr="007B5F7E" w:rsidRDefault="00046FF8" w:rsidP="00DF64C7">
      <w:pPr>
        <w:spacing w:after="240"/>
        <w:jc w:val="left"/>
        <w:rPr>
          <w:sz w:val="18"/>
        </w:rPr>
      </w:pPr>
      <w:r w:rsidRPr="007B5F7E">
        <w:rPr>
          <w:sz w:val="18"/>
        </w:rPr>
        <w:t>Źródło: Opracowanie własne na podstawie danych BDL/GUS.</w:t>
      </w:r>
    </w:p>
    <w:p w14:paraId="66F8EF8C" w14:textId="77777777" w:rsidR="002F1F17" w:rsidRDefault="007F4C93" w:rsidP="00DF64C7">
      <w:pPr>
        <w:spacing w:after="240"/>
        <w:jc w:val="left"/>
      </w:pPr>
      <w:r>
        <w:t xml:space="preserve">Można więc mówić o występowaniu </w:t>
      </w:r>
      <w:r w:rsidR="00046FF8" w:rsidRPr="00046FF8">
        <w:t>pozytywn</w:t>
      </w:r>
      <w:r>
        <w:t>ych</w:t>
      </w:r>
      <w:r w:rsidR="00046FF8" w:rsidRPr="00046FF8">
        <w:t xml:space="preserve"> zjawisk dotycząc</w:t>
      </w:r>
      <w:r>
        <w:t>ych</w:t>
      </w:r>
      <w:r w:rsidR="00046FF8" w:rsidRPr="00046FF8">
        <w:t xml:space="preserve"> sfery edukacji</w:t>
      </w:r>
      <w:r>
        <w:t>, zaobserwowanych w przedstawionych powyżej danych z zakresu statystyki publicznej</w:t>
      </w:r>
      <w:r w:rsidR="00046FF8" w:rsidRPr="00046FF8">
        <w:t xml:space="preserve"> (w tym poprawiające się wyniki matur, przyrost liczby placówek przedszkolnych czy wzrost odsetka 3-5 latków korzystających z edukacji przedszkolnej</w:t>
      </w:r>
      <w:r w:rsidR="00046FF8">
        <w:t>)</w:t>
      </w:r>
      <w:r>
        <w:t>.</w:t>
      </w:r>
      <w:r w:rsidR="00046FF8" w:rsidRPr="00046FF8">
        <w:t xml:space="preserve"> </w:t>
      </w:r>
      <w:r>
        <w:t>Biorąc pod uwagę</w:t>
      </w:r>
      <w:r w:rsidR="00046FF8" w:rsidRPr="00046FF8">
        <w:t xml:space="preserve"> </w:t>
      </w:r>
      <w:r w:rsidR="007115CC">
        <w:t>zakre</w:t>
      </w:r>
      <w:r>
        <w:t>s wsparcia skierowanego z RPO WSL 2014-2020, w tym skorelowania typów realizowanych projektów</w:t>
      </w:r>
      <w:r w:rsidR="00046FF8" w:rsidRPr="00046FF8">
        <w:t xml:space="preserve"> z możliwością wzrostu w zakresie powyższych wskaźników</w:t>
      </w:r>
      <w:r>
        <w:t>, można upatrywać się wpływu tegoż wsparcia na ich kształtowanie się</w:t>
      </w:r>
      <w:r w:rsidR="00046FF8" w:rsidRPr="00046FF8">
        <w:t>.</w:t>
      </w:r>
      <w:r>
        <w:t xml:space="preserve"> Niemniej ze względu na dużą </w:t>
      </w:r>
      <w:r w:rsidR="00CC70D2">
        <w:t>liczbę</w:t>
      </w:r>
      <w:r>
        <w:t xml:space="preserve"> czynników (wewnętrznych i zewnętrznych), które jednocześnie mogły na te wskaźniki oddziaływać, trudno oszacować faktyczny wpływ Programu w tym zakresie.</w:t>
      </w:r>
    </w:p>
    <w:p w14:paraId="770ABEB3" w14:textId="77777777" w:rsidR="00C813EC" w:rsidRDefault="002F1F17" w:rsidP="00DF64C7">
      <w:pPr>
        <w:jc w:val="left"/>
      </w:pPr>
      <w:r>
        <w:t>Powyższa a</w:t>
      </w:r>
      <w:r w:rsidR="00C813EC" w:rsidRPr="00C813EC">
        <w:t>naliza</w:t>
      </w:r>
      <w:r>
        <w:t>,</w:t>
      </w:r>
      <w:r w:rsidR="00C813EC" w:rsidRPr="00C813EC">
        <w:t xml:space="preserve"> przeprowadzona na potrzeby niniejszego pytania badawcz</w:t>
      </w:r>
      <w:r>
        <w:t>ego</w:t>
      </w:r>
      <w:r w:rsidR="00C813EC" w:rsidRPr="00C813EC">
        <w:t xml:space="preserve"> potwierdziła, że</w:t>
      </w:r>
      <w:r w:rsidR="00C813EC">
        <w:t xml:space="preserve"> wdrażane działania okazały się skuteczne, tzn. przyczyniły się do poprawy sytuacji w województwie śląskim w odniesieniu do</w:t>
      </w:r>
      <w:r w:rsidR="00367F85">
        <w:t xml:space="preserve"> </w:t>
      </w:r>
      <w:r w:rsidR="00C813EC">
        <w:t xml:space="preserve">wyzwań określonych w diagnozie RPO WSL 2014-2020 w roku 2013. Mimo wyraźnego polepszenia się sytuacji w obrębie szeroko rozumianej edukacji w regionie, wciąż dostrzegalne są obszary, które wymagają dalszego wsparcia. Dlatego uznać należy, iż cele priorytetów inwestycyjnych zachowały częściową adekwatność w stosunku do obecnej sytuacji społeczno-gospodarczej w województwie śląskim. Wniosek ten dotyczy m.in. widocznej dysproporcji w dostępie do edukacji przedszkolnej na terenach miejskich i wiejskich w regionie (pomimo przyjęcia założenia, iż część mieszkańców terenów wiejskich korzysta z przedszkoli usytuowanych w miastach, z uwagi na miejsce swojego zatrudnienia). Konieczne jest również dalsze inwestowanie w podnoszenie jakości edukacji na poziomie ogólnym i zawodowym. Ze względu na specyfikę systemu kształcenia, zmiany w jego zakresie zachodzą powoli i na ostateczne efekty realizowanych działań należy czekać przez długi okres czasu. Z tego względu zmiany tego rodzaju nie zawsze (i nie od razu) są widoczne w wynikach osiąganych przez uczniów, tym bardziej, że wpływ na nie miało i wciąż ma, wiele czynników, m.in. reforma systemu edukacji, zmiana formy przeprowadzania egzaminów, zmiana podstawy programowej. Dlatego też należy podejmować kolejne działania nakierowane na stałe podnoszenie jakości oferty edukacyjnej w województwie. </w:t>
      </w:r>
    </w:p>
    <w:p w14:paraId="7242C7FE" w14:textId="77777777" w:rsidR="0088335B" w:rsidRDefault="00C813EC" w:rsidP="00DF64C7">
      <w:pPr>
        <w:jc w:val="left"/>
      </w:pPr>
      <w:r>
        <w:t>Ważne jest także stałe wspieranie szkół i placówek kształcenia zawodowego w zakresie dostosowywania edukacji do aktualnych potrzeb rynku pracy, z uwagi na płynność zmian zachodzących na tymże rynku. Ponadto, biorąc pod uwagę wskaźniki dotyczące wdrażanych projektów należy zauważyć, że największym polem do działania, w ramach OP XI i XII, jest wsparcie skierowane do osób dorosłych, szczególnie najstarszej grupy wiekowej, które wciąż na relatywnie niskim poziomie wykazują aktywność w zakresie kształcenia i szkolenia. Zgodnie z danymi GUS, mimo systematycznego wzrostu od roku 2013, liczba zatrudnionych osób w przedziale od 50 do 64 lat jest stosunkowo niska i w roku 2018 wyniosła 40,3% (wzrost o 18,2% w stosunku do roku 2013 – 34,1% zatrudnionych w tym przedziale wiekowym). W przypadku osób w wieku 20-64 w województwie liczba pracujących wzrosła z 62,3% w roku 2013 do 69,4% w roku 2018 (w przypadku mężczyzn wzrost analogicznie z 69,2% do 75,6%, kobiet – 55,3% do 63,1%). Podnoszenie kwalifikacji oraz przekwalifikowanie, w kontekście zmian zachodzących na rynku zatrudnienia (szczególnie rynku dynamicznego, do którego można zaliczyć rynek w województwie śląskim), jest istotne z punktu widzenia możliwości zdobycia i utrzymania pracy. Z tego względu większa aktywność osób dorosłych w kontekście szkolenia i kształcenia jest szczególnie ważna.</w:t>
      </w:r>
    </w:p>
    <w:p w14:paraId="06FF5BEE" w14:textId="77777777" w:rsidR="00C5611F" w:rsidRDefault="007D593F" w:rsidP="00DF64C7">
      <w:pPr>
        <w:jc w:val="left"/>
      </w:pPr>
      <w:r>
        <w:t>P</w:t>
      </w:r>
      <w:r w:rsidR="0010361D">
        <w:t>rzedstawiciele IZ oraz IP potwierdzili aktualność cel</w:t>
      </w:r>
      <w:r w:rsidR="00DC26C0">
        <w:t>ów priorytetów inwestycyjnych w </w:t>
      </w:r>
      <w:r w:rsidR="0010361D">
        <w:t>stosunku do obecnej sytuacji społeczno-gospodarczej. Aktualność ta, zdaniem badanych, wynika z odpowiednio określonych celów (na etapie programowania obecnej perspektywy) oraz ich uniwersalnego charakteru i szerokiej skali potrzeb. Podkreślano przy tym, że szczególną aktualnością cechuje się potrzeba wsparcia sektora zawodowego</w:t>
      </w:r>
      <w:r>
        <w:t>, które wciąż wymaga wsparcia w zakresie infrastrukturalnym oraz ciągłego dostosowywania do zmieniającego się rynku pracy. Wskazali także na fakt, iż udało się osiągnąć założone wskaźniki dotyczące edukacji przedszkolnej</w:t>
      </w:r>
      <w:r w:rsidR="00C5611F">
        <w:t>, dzięki czemu cel dotyczący upowszechnienia tego typu edukacji został osiągnięty. Należy jednak zauważyć, że o ile udało się stworzyć pożądaną liczbę miejsc przedszkolnych, o tyle realizacja działań miękkich, polegających na wsparciu dzieci, w tym szczególnie dzieci ze specjalnymi potrzebami, wciąż pozostaje aktualna.</w:t>
      </w:r>
    </w:p>
    <w:p w14:paraId="0D76684B" w14:textId="77777777" w:rsidR="000D15B1" w:rsidRDefault="00265CB0" w:rsidP="00DF64C7">
      <w:pPr>
        <w:jc w:val="left"/>
      </w:pPr>
      <w:r>
        <w:t>Podczas wywiadu grupowego przedstawiciele IZ oraz IP wskazali natomiast, że pomimo wsparcia szkolnictwa ogólnego w ramach Poddział</w:t>
      </w:r>
      <w:r w:rsidR="00C9086E">
        <w:t>ania 11.1.4, obszar ten został nieco zaniedbany. Z uwagi na coraz większy deficyt zawodów takich jak lekarze, pielęgniarki czy informatycy, większe wsparcie powinno być kierowane do szkó</w:t>
      </w:r>
      <w:r w:rsidR="00002481">
        <w:t>ł</w:t>
      </w:r>
      <w:r w:rsidR="00DC26C0">
        <w:t xml:space="preserve"> ogólnokształcących, z </w:t>
      </w:r>
      <w:r w:rsidR="00C9086E">
        <w:t xml:space="preserve">których </w:t>
      </w:r>
      <w:r w:rsidR="00B00C6A">
        <w:t>stosunkowo często wywodzą się</w:t>
      </w:r>
      <w:r w:rsidR="00C9086E">
        <w:t xml:space="preserve"> przedstawiciele tych zawodów. </w:t>
      </w:r>
      <w:r w:rsidR="00002481">
        <w:t>Wsparcie t</w:t>
      </w:r>
      <w:r w:rsidR="00B00C6A">
        <w:t>o</w:t>
      </w:r>
      <w:r w:rsidR="00002481">
        <w:t xml:space="preserve"> powinno zostać wdrożone także w ramach działań infrastrukturalnych (doposażenie pracowni matematyczno-fizycznych, chemicznych). </w:t>
      </w:r>
      <w:r w:rsidR="00C9086E">
        <w:t>Jest to pewne wskazanie na planowanie wsparcia w ramach przyszłej perspektywy finansowej.</w:t>
      </w:r>
      <w:r w:rsidR="006B35A1">
        <w:t xml:space="preserve"> Dodatkowo, istnieje potrzeba, by w ramach działań RPO, oprócz edukacji ogólnej i zawodowej, wspierać także kształcenie wyższe, które stanowi kontynuację ścieżki edukacyjnej i powinno być odpowiedzią na inteligentne specjalizacje regionu.</w:t>
      </w:r>
    </w:p>
    <w:p w14:paraId="128BCCE1" w14:textId="77777777" w:rsidR="001C3C58" w:rsidRDefault="001C3C58" w:rsidP="00DF64C7">
      <w:pPr>
        <w:jc w:val="left"/>
      </w:pPr>
      <w:r w:rsidRPr="009A07ED">
        <w:t>Szczególnie trudna w ocenie jest aktualność celu „</w:t>
      </w:r>
      <w:r w:rsidRPr="009A07ED">
        <w:rPr>
          <w:rFonts w:cs="Arial"/>
        </w:rPr>
        <w:t xml:space="preserve">Uzyskiwanie kwalifikacji lub zdobywanie i poprawa kompetencji w zakresie umiejętności cyfrowych i języków obcych dorosłych mieszkańców województwa śląskiego, w szczególności osób starszych oraz osób o niskich kwalifikacjach”. Przeprowadzone badania dowiodły, że z jednej strony realizacja założonych wartości docelowych wskaźników postępuje stosunkowo powoli, a z drugiej występują problemy w rekrutacji uczestników. </w:t>
      </w:r>
      <w:r w:rsidRPr="009A07ED">
        <w:t>Problemy ze znalezieniem odpowiedniej liczby osób chętnych do udziału w szkoleniach mogłyby wskazywać na brak zasadności realizacji tego typu działań i, tym samym, faktycznego zapotrzebowania w tym zakresie. Należy jednak zwrócić uwagę, że wpływ na tę sytuacje może mieć postępowanie samych beneficjentów, którzy często dążyli do realizacji szkoleń w formule grupowej (wbrew zamysłowi regulaminu konkursu), co wiązało się z koniecznością stosunkowo długiego czasu oczekiwania uczestników na zebranie grupy wymaganej do rozpoczęcia szkoleń – co może mieć jednocześnie wpływ na spadek zainteresowania wzięciem w nich udziału. W związku z powyższym rekomendowane byłoby wprowadzenie zmian w zakresie wsparcia (w przypadku jego kontynuowania w przyszłej perspektywie finansowej), mających na celu ograniczenie stosowania szkoleń grupowych i (wynikających z tego) negatywnych zjawisk. Prawdopodobnie (biorąc pod uwagę wciąż występujące zainteresowanie potencjalnych uczestników) zmiany te wpłynęłyby na sprawniejszą realizację zakładanych wskaźników i, tym samym, powodzenie tego typu</w:t>
      </w:r>
      <w:r>
        <w:t xml:space="preserve"> działań.</w:t>
      </w:r>
    </w:p>
    <w:p w14:paraId="183FA018" w14:textId="77777777" w:rsidR="00C95B79" w:rsidRPr="009A07ED" w:rsidRDefault="00C95B79" w:rsidP="00DF64C7">
      <w:pPr>
        <w:pStyle w:val="Tekstpodstawowy"/>
        <w:suppressAutoHyphens/>
        <w:spacing w:after="0" w:line="276" w:lineRule="auto"/>
        <w:jc w:val="left"/>
        <w:rPr>
          <w:rFonts w:cs="Arial"/>
        </w:rPr>
      </w:pPr>
      <w:r w:rsidRPr="009A07ED">
        <w:t xml:space="preserve">O zachowaniu adekwatności w stosunku do obecnej sytuacji społeczno-gospodarczej można mówić również w przypadku takich celów, jak </w:t>
      </w:r>
      <w:r w:rsidR="00F06121" w:rsidRPr="009A07ED">
        <w:t>„</w:t>
      </w:r>
      <w:r w:rsidRPr="009A07ED">
        <w:rPr>
          <w:rFonts w:cs="Arial"/>
        </w:rPr>
        <w:t>Wzrost zatrudnienia wśród absolwentów szkół i placówek kształcenia zawodowego poprzez poprawę efektywności realizowanego wsparcia</w:t>
      </w:r>
      <w:r w:rsidR="00F06121" w:rsidRPr="009A07ED">
        <w:rPr>
          <w:rFonts w:cs="Arial"/>
        </w:rPr>
        <w:t>”</w:t>
      </w:r>
      <w:r w:rsidRPr="009A07ED">
        <w:rPr>
          <w:rFonts w:cs="Arial"/>
        </w:rPr>
        <w:t xml:space="preserve"> oraz </w:t>
      </w:r>
      <w:r w:rsidR="00F06121" w:rsidRPr="009A07ED">
        <w:rPr>
          <w:rFonts w:cs="Arial"/>
        </w:rPr>
        <w:t>„</w:t>
      </w:r>
      <w:r w:rsidRPr="009A07ED">
        <w:rPr>
          <w:rFonts w:cs="Arial"/>
        </w:rPr>
        <w:t>Zwiększone kompetencje uczniów szkół kształcących w zawodach</w:t>
      </w:r>
      <w:r w:rsidR="00F06121" w:rsidRPr="009A07ED">
        <w:rPr>
          <w:rFonts w:cs="Arial"/>
        </w:rPr>
        <w:t>”</w:t>
      </w:r>
      <w:r w:rsidRPr="009A07ED">
        <w:rPr>
          <w:rFonts w:cs="Arial"/>
        </w:rPr>
        <w:t xml:space="preserve">. </w:t>
      </w:r>
      <w:r w:rsidR="004A0A1E" w:rsidRPr="009A07ED">
        <w:rPr>
          <w:rFonts w:cs="Arial"/>
        </w:rPr>
        <w:t>Działania wpisujące się w te c</w:t>
      </w:r>
      <w:r w:rsidRPr="009A07ED">
        <w:rPr>
          <w:rFonts w:cs="Arial"/>
        </w:rPr>
        <w:t>ele spotkały się z dużym zainteresowaniem beneficjentów i uczestników projektów</w:t>
      </w:r>
      <w:r w:rsidR="004A0A1E" w:rsidRPr="009A07ED">
        <w:rPr>
          <w:rFonts w:cs="Arial"/>
        </w:rPr>
        <w:t>.</w:t>
      </w:r>
      <w:r w:rsidRPr="009A07ED">
        <w:rPr>
          <w:rFonts w:cs="Arial"/>
        </w:rPr>
        <w:t xml:space="preserve"> </w:t>
      </w:r>
      <w:r w:rsidR="004A0A1E" w:rsidRPr="009A07ED">
        <w:rPr>
          <w:rFonts w:cs="Arial"/>
        </w:rPr>
        <w:t xml:space="preserve">Jednocześnie ww. cele </w:t>
      </w:r>
      <w:r w:rsidRPr="009A07ED">
        <w:rPr>
          <w:rFonts w:cs="Arial"/>
        </w:rPr>
        <w:t>(ze względu na swój uniwersalny charakter) zachowują w dalszym ci</w:t>
      </w:r>
      <w:r w:rsidR="004A0A1E" w:rsidRPr="009A07ED">
        <w:rPr>
          <w:rFonts w:cs="Arial"/>
        </w:rPr>
        <w:t>ą</w:t>
      </w:r>
      <w:r w:rsidRPr="009A07ED">
        <w:rPr>
          <w:rFonts w:cs="Arial"/>
        </w:rPr>
        <w:t xml:space="preserve">gu swą aktualność. Skala potrzeb związana z sektorem edukacji zawodowej jeszcze przed rozpoczęciem wdrażania interwencji była ogromna, a udzielone dotychczas wsparcie nie zaspokoiło jeszcze wszystkich potrzeb. Ze względu na napływ kolejnych uczniów oraz ogólnokrajowy trend rozwoju szkolnictwa zawodowego (do tej pory nieco „zapomnianego” w prowadzonych działaniach wspierających) czy ciągłą potrzebę dostosowywania umiejętności i </w:t>
      </w:r>
      <w:r w:rsidR="00FC1039" w:rsidRPr="009A07ED">
        <w:rPr>
          <w:rFonts w:cs="Arial"/>
        </w:rPr>
        <w:t>kompetencji</w:t>
      </w:r>
      <w:r w:rsidRPr="009A07ED">
        <w:rPr>
          <w:rFonts w:cs="Arial"/>
        </w:rPr>
        <w:t xml:space="preserve"> uczniów względem </w:t>
      </w:r>
      <w:r w:rsidR="00FC1039" w:rsidRPr="009A07ED">
        <w:rPr>
          <w:rFonts w:cs="Arial"/>
        </w:rPr>
        <w:t>zmieniających</w:t>
      </w:r>
      <w:r w:rsidRPr="009A07ED">
        <w:rPr>
          <w:rFonts w:cs="Arial"/>
        </w:rPr>
        <w:t xml:space="preserve"> się potrzeb lokalnego rynku pracy, cele te niewątpliwie zachowają swoją adekwatność również w kolejnych latach.</w:t>
      </w:r>
    </w:p>
    <w:p w14:paraId="5BED6FB7" w14:textId="77777777" w:rsidR="00C95B79" w:rsidRPr="009A07ED" w:rsidRDefault="00C95B79" w:rsidP="00DF64C7">
      <w:pPr>
        <w:jc w:val="left"/>
      </w:pPr>
      <w:r w:rsidRPr="009A07ED">
        <w:t>W przypadku celu „</w:t>
      </w:r>
      <w:r w:rsidRPr="009A07ED">
        <w:rPr>
          <w:rFonts w:cs="Arial"/>
        </w:rPr>
        <w:t xml:space="preserve">Zwiększona liczba osób odwiedzających instytucje paramuzealne” należy zwrócić uwagę na przedłużający się okres realizacji projektu </w:t>
      </w:r>
      <w:r w:rsidRPr="009A07ED">
        <w:rPr>
          <w:i/>
        </w:rPr>
        <w:t>Planetarium - Śląski Park Nauki. Modernizacja i rozbudowa Planetarium Śląskiego w Chorzowie.</w:t>
      </w:r>
      <w:r w:rsidRPr="009A07ED">
        <w:t xml:space="preserve"> Ze względu na obecną zerową wartość wskaźnika cel ten pozostaje aktualny, a ewentualna ocena zasadności kontynuowania tego rodzaju wsparcia możliwa będzie dopiero po zakończeniu projektu.</w:t>
      </w:r>
    </w:p>
    <w:p w14:paraId="3EE3A5C2" w14:textId="77777777" w:rsidR="001C3C58" w:rsidRPr="009A07ED" w:rsidRDefault="001C3C58" w:rsidP="00DF64C7">
      <w:pPr>
        <w:jc w:val="left"/>
      </w:pPr>
    </w:p>
    <w:p w14:paraId="3E5ADAFE" w14:textId="77777777" w:rsidR="000D15B1" w:rsidRPr="001514F2" w:rsidRDefault="001514F2" w:rsidP="00DF64C7">
      <w:pPr>
        <w:jc w:val="left"/>
        <w:rPr>
          <w:rStyle w:val="Odwoanieintensywne"/>
        </w:rPr>
      </w:pPr>
      <w:r w:rsidRPr="001514F2">
        <w:rPr>
          <w:rStyle w:val="Odwoanieintensywne"/>
        </w:rPr>
        <w:t>Podsumowanie</w:t>
      </w:r>
    </w:p>
    <w:p w14:paraId="3E90221B" w14:textId="77777777" w:rsidR="007B6935" w:rsidRPr="0088335B" w:rsidRDefault="005B2F42" w:rsidP="00DF64C7">
      <w:pPr>
        <w:spacing w:after="480"/>
        <w:jc w:val="left"/>
      </w:pPr>
      <w:r>
        <w:t>Analiza dostępnych materiałów pozwoliła na stwierdzenie,</w:t>
      </w:r>
      <w:r w:rsidRPr="00FF6733">
        <w:t xml:space="preserve"> że wdrażane </w:t>
      </w:r>
      <w:r>
        <w:t xml:space="preserve">w ramach OP XI i OP XII </w:t>
      </w:r>
      <w:r w:rsidRPr="00FF6733">
        <w:t>d</w:t>
      </w:r>
      <w:r>
        <w:t xml:space="preserve">ziałania okazały się skuteczne, przyczyniając </w:t>
      </w:r>
      <w:r w:rsidRPr="00FF6733">
        <w:t>się do poprawy sytuacji w województwie śląskim w odniesieniu do wyzwań określonych w diagnozie RPO WSL 2014-2020</w:t>
      </w:r>
      <w:r>
        <w:t xml:space="preserve">. Z uwagi na fakt, iż wciąż identyfikowane są potrzeby w tym zakresie i rekomendowane jest dalsze realizowanie celów operacyjnych w kontekście rozwoju edukacji, </w:t>
      </w:r>
      <w:r w:rsidRPr="00FF6733">
        <w:t>cele priorytetów inwestycyjnych zachowały częściową adekwatność w stosunku do obecnej sytuacji społeczno-gospodarczej w województwie śląskim.</w:t>
      </w:r>
      <w:r w:rsidRPr="002328F2">
        <w:t xml:space="preserve"> P</w:t>
      </w:r>
      <w:r>
        <w:t>onadto, p</w:t>
      </w:r>
      <w:r w:rsidRPr="002328F2">
        <w:t>rzedstawiciele IZ oraz IP potwierdzili aktualność celów priorytetów inwestycyjnych w stosunku do obecnej sytuacji społeczno-gospodarczej. Aktualność ta, zdaniem badanych, wynika z odpowiednio określonych celów (na etapie programowania obecnej perspektywy) oraz ich uniwersalnego charakteru i szerokiej skali potrzeb.</w:t>
      </w:r>
    </w:p>
    <w:p w14:paraId="3A794BDD" w14:textId="77777777" w:rsidR="00A464CB" w:rsidRDefault="00A464CB" w:rsidP="00DF64C7">
      <w:pPr>
        <w:pStyle w:val="Nagwek3"/>
        <w:spacing w:line="271" w:lineRule="auto"/>
        <w:ind w:left="426"/>
        <w:jc w:val="left"/>
        <w:rPr>
          <w:rFonts w:eastAsia="Arial"/>
        </w:rPr>
      </w:pPr>
      <w:bookmarkStart w:id="140" w:name="_Toc24466853"/>
      <w:bookmarkStart w:id="141" w:name="_Toc25664313"/>
      <w:bookmarkStart w:id="142" w:name="_Toc26526295"/>
      <w:bookmarkStart w:id="143" w:name="_Toc38035026"/>
      <w:r w:rsidRPr="00610089">
        <w:rPr>
          <w:rFonts w:eastAsia="Arial"/>
        </w:rPr>
        <w:t>W jakim stopniu obecny stopień osiągnięcia wskaźników pozwoli na realizację celów szczegółowych OP XI</w:t>
      </w:r>
      <w:r>
        <w:rPr>
          <w:rFonts w:eastAsia="Arial"/>
        </w:rPr>
        <w:t xml:space="preserve"> i </w:t>
      </w:r>
      <w:r w:rsidRPr="00610089">
        <w:rPr>
          <w:rFonts w:eastAsia="Arial"/>
        </w:rPr>
        <w:t>XII?</w:t>
      </w:r>
      <w:bookmarkEnd w:id="140"/>
      <w:bookmarkEnd w:id="141"/>
      <w:bookmarkEnd w:id="142"/>
      <w:bookmarkEnd w:id="143"/>
    </w:p>
    <w:p w14:paraId="5A601FE5" w14:textId="77777777" w:rsidR="00C468B7" w:rsidRDefault="00C468B7" w:rsidP="00DF64C7">
      <w:pPr>
        <w:tabs>
          <w:tab w:val="left" w:pos="364"/>
        </w:tabs>
        <w:jc w:val="left"/>
        <w:rPr>
          <w:rFonts w:eastAsia="Arial" w:cs="Arial"/>
        </w:rPr>
      </w:pPr>
      <w:r>
        <w:rPr>
          <w:rFonts w:eastAsia="Arial" w:cs="Arial"/>
        </w:rPr>
        <w:t>Celami szczegółowymi OP XI oraz OP XII są:</w:t>
      </w:r>
    </w:p>
    <w:p w14:paraId="34B48064" w14:textId="77777777" w:rsidR="00C468B7" w:rsidRDefault="00C468B7" w:rsidP="00DF64C7">
      <w:pPr>
        <w:pStyle w:val="Akapitzlist"/>
        <w:numPr>
          <w:ilvl w:val="0"/>
          <w:numId w:val="28"/>
        </w:numPr>
        <w:tabs>
          <w:tab w:val="left" w:pos="9072"/>
        </w:tabs>
        <w:ind w:left="1276" w:hanging="425"/>
        <w:jc w:val="left"/>
        <w:rPr>
          <w:rFonts w:eastAsia="Arial" w:cs="Arial"/>
        </w:rPr>
      </w:pPr>
      <w:r>
        <w:rPr>
          <w:rFonts w:eastAsia="Arial" w:cs="Arial"/>
        </w:rPr>
        <w:t>Wzrost dostępu do wysokiej jakości edukacji przedszkolnej w województwie śląskim;</w:t>
      </w:r>
    </w:p>
    <w:p w14:paraId="0BAE3AE6" w14:textId="77777777" w:rsidR="00C468B7" w:rsidRDefault="00C468B7" w:rsidP="00DF64C7">
      <w:pPr>
        <w:pStyle w:val="Akapitzlist"/>
        <w:numPr>
          <w:ilvl w:val="0"/>
          <w:numId w:val="28"/>
        </w:numPr>
        <w:tabs>
          <w:tab w:val="left" w:pos="9072"/>
        </w:tabs>
        <w:ind w:left="1276" w:hanging="425"/>
        <w:jc w:val="left"/>
        <w:rPr>
          <w:rFonts w:eastAsia="Arial" w:cs="Arial"/>
        </w:rPr>
      </w:pPr>
      <w:r>
        <w:rPr>
          <w:rFonts w:eastAsia="Arial" w:cs="Arial"/>
        </w:rPr>
        <w:t>Wzrost dostępu do wysokiej jakości oferty kształcenia ogólnokształcącego;</w:t>
      </w:r>
    </w:p>
    <w:p w14:paraId="3616305E" w14:textId="77777777" w:rsidR="00C468B7" w:rsidRDefault="00C468B7" w:rsidP="00DF64C7">
      <w:pPr>
        <w:pStyle w:val="Akapitzlist"/>
        <w:numPr>
          <w:ilvl w:val="0"/>
          <w:numId w:val="28"/>
        </w:numPr>
        <w:tabs>
          <w:tab w:val="left" w:pos="9072"/>
        </w:tabs>
        <w:ind w:left="1276" w:hanging="425"/>
        <w:jc w:val="left"/>
        <w:rPr>
          <w:rFonts w:eastAsia="Arial" w:cs="Arial"/>
        </w:rPr>
      </w:pPr>
      <w:r>
        <w:rPr>
          <w:rFonts w:eastAsia="Arial" w:cs="Arial"/>
        </w:rPr>
        <w:t>Wzrost kwalifikacji i kompetencji w zakresie umiejętności cyfrowych i języków obcych dorosłych mieszkańców województwa śląskiego, w szczególności osób starszych oraz osób o niskich kwalifikacjach;</w:t>
      </w:r>
    </w:p>
    <w:p w14:paraId="0C4A6370" w14:textId="77777777" w:rsidR="00C468B7" w:rsidRDefault="00C468B7" w:rsidP="00DF64C7">
      <w:pPr>
        <w:pStyle w:val="Akapitzlist"/>
        <w:numPr>
          <w:ilvl w:val="0"/>
          <w:numId w:val="28"/>
        </w:numPr>
        <w:tabs>
          <w:tab w:val="left" w:pos="9072"/>
        </w:tabs>
        <w:ind w:left="1276" w:hanging="425"/>
        <w:jc w:val="left"/>
        <w:rPr>
          <w:rFonts w:eastAsia="Arial" w:cs="Arial"/>
        </w:rPr>
      </w:pPr>
      <w:r>
        <w:rPr>
          <w:rFonts w:eastAsia="Arial" w:cs="Arial"/>
        </w:rPr>
        <w:t>Wzrost zatrudnienia wśród absolwentów szkół i placówek kształcenia zawodowego poprzez poprawę efektywności realizowanego wsparcia;</w:t>
      </w:r>
    </w:p>
    <w:p w14:paraId="1CD578A3" w14:textId="77777777" w:rsidR="00C468B7" w:rsidRDefault="00C468B7" w:rsidP="00DF64C7">
      <w:pPr>
        <w:pStyle w:val="Akapitzlist"/>
        <w:numPr>
          <w:ilvl w:val="0"/>
          <w:numId w:val="28"/>
        </w:numPr>
        <w:tabs>
          <w:tab w:val="left" w:pos="9072"/>
        </w:tabs>
        <w:ind w:left="1276" w:hanging="425"/>
        <w:jc w:val="left"/>
        <w:rPr>
          <w:rFonts w:eastAsia="Arial" w:cs="Arial"/>
        </w:rPr>
      </w:pPr>
      <w:r>
        <w:rPr>
          <w:rFonts w:eastAsia="Arial" w:cs="Arial"/>
        </w:rPr>
        <w:t>Zwiększona liczba miejsc w placówkach wychowania przedszkolnego;</w:t>
      </w:r>
    </w:p>
    <w:p w14:paraId="4481BA7D" w14:textId="77777777" w:rsidR="00C468B7" w:rsidRDefault="00C468B7" w:rsidP="00DF64C7">
      <w:pPr>
        <w:pStyle w:val="Akapitzlist"/>
        <w:numPr>
          <w:ilvl w:val="0"/>
          <w:numId w:val="28"/>
        </w:numPr>
        <w:tabs>
          <w:tab w:val="left" w:pos="9072"/>
        </w:tabs>
        <w:ind w:left="1276" w:hanging="425"/>
        <w:jc w:val="left"/>
        <w:rPr>
          <w:rFonts w:eastAsia="Arial" w:cs="Arial"/>
        </w:rPr>
      </w:pPr>
      <w:r>
        <w:rPr>
          <w:rFonts w:eastAsia="Arial" w:cs="Arial"/>
        </w:rPr>
        <w:t>Zwiększone kompetencje uczniów szkół kształcących w zawodach;</w:t>
      </w:r>
    </w:p>
    <w:p w14:paraId="3FDC2CDE" w14:textId="77777777" w:rsidR="00C468B7" w:rsidRDefault="00C468B7" w:rsidP="00DF64C7">
      <w:pPr>
        <w:pStyle w:val="Akapitzlist"/>
        <w:numPr>
          <w:ilvl w:val="0"/>
          <w:numId w:val="28"/>
        </w:numPr>
        <w:tabs>
          <w:tab w:val="left" w:pos="9072"/>
        </w:tabs>
        <w:spacing w:after="240"/>
        <w:ind w:left="1276" w:hanging="425"/>
        <w:jc w:val="left"/>
        <w:rPr>
          <w:rFonts w:eastAsia="Arial" w:cs="Arial"/>
        </w:rPr>
      </w:pPr>
      <w:r>
        <w:rPr>
          <w:rFonts w:eastAsia="Arial" w:cs="Arial"/>
        </w:rPr>
        <w:t>Zwiększona liczba osób odwiedzających instytucje paramuzealne.</w:t>
      </w:r>
    </w:p>
    <w:p w14:paraId="7CB22A38" w14:textId="77777777" w:rsidR="00C468B7" w:rsidRDefault="00C468B7" w:rsidP="00DF64C7">
      <w:pPr>
        <w:jc w:val="left"/>
      </w:pPr>
      <w:r>
        <w:t>Analizując obecny stopień realizacji wskaźników produktu stwierdza się, że spośród 19 wskaźników określonych dla OP XI oraz OP XII, w przypadku 7 wskaźników osiągnięto wartość docelową na rok 2023 (wszystkie przekroczone wskaźniki pochodzą z osi XI). Należy jednak zaznaczyć, że analizowany stan dotyczy roku 2019, stąd brak realizacji wskaźników na obecnym etapie nie oznacza, że nie zostaną one osiągnięte w roku 2023.</w:t>
      </w:r>
    </w:p>
    <w:p w14:paraId="5A0AA3EC" w14:textId="77777777" w:rsidR="00C468B7" w:rsidRDefault="00C468B7" w:rsidP="00DF64C7">
      <w:pPr>
        <w:jc w:val="left"/>
      </w:pPr>
      <w:r>
        <w:t>Najniższy stopień osiągnięcia wskaźnika (a więc także najwyższą brakującą wartość wskaźnika) odnotowano w przypadku wskaźników:</w:t>
      </w:r>
    </w:p>
    <w:p w14:paraId="653F7F0E" w14:textId="77777777" w:rsidR="007115CC" w:rsidRDefault="007115CC" w:rsidP="00DF64C7">
      <w:pPr>
        <w:numPr>
          <w:ilvl w:val="0"/>
          <w:numId w:val="54"/>
        </w:numPr>
        <w:jc w:val="left"/>
      </w:pPr>
      <w:r>
        <w:t>Liczba uczniów objętych wsparciem w zakresie rozwijania kompetencji kluczowych lub umiejętności uniwersalnych niezbędnych na rynku pracy w programie (wartość na 2019 r = 0; do osiągnięcia wartości docelowej brakuje 100%);</w:t>
      </w:r>
    </w:p>
    <w:p w14:paraId="4FFA329F" w14:textId="77777777" w:rsidR="007115CC" w:rsidRDefault="007115CC" w:rsidP="00DF64C7">
      <w:pPr>
        <w:numPr>
          <w:ilvl w:val="0"/>
          <w:numId w:val="54"/>
        </w:numPr>
        <w:jc w:val="left"/>
      </w:pPr>
      <w:r>
        <w:t>Liczba podmiotów realizujących zadania centrum kształcenia zawodowego i ustawicznego objętych wsparciem w programie (wartość na 2019 r = 2; do osiągnięcia wartości docelowej brakuje 94%);</w:t>
      </w:r>
    </w:p>
    <w:p w14:paraId="4C74E53D" w14:textId="77777777" w:rsidR="007115CC" w:rsidRDefault="007115CC" w:rsidP="00DF64C7">
      <w:pPr>
        <w:numPr>
          <w:ilvl w:val="0"/>
          <w:numId w:val="54"/>
        </w:numPr>
        <w:jc w:val="left"/>
      </w:pPr>
      <w:r>
        <w:t>Liczba osób o niskich kwalifikacjach objętych wsparciem w programie (wartość na 2019 r = 4 571; do osiągnięcia wartości docelowej brakuje 70%);</w:t>
      </w:r>
    </w:p>
    <w:p w14:paraId="3B8B2915" w14:textId="08D86661" w:rsidR="007115CC" w:rsidRDefault="007115CC" w:rsidP="00DF64C7">
      <w:pPr>
        <w:numPr>
          <w:ilvl w:val="0"/>
          <w:numId w:val="54"/>
        </w:numPr>
        <w:jc w:val="left"/>
      </w:pPr>
      <w:r>
        <w:t>Liczba osób odwiedzających Planetarium Śląskie ze zorganizowanych grup uczniowskich i przedszkolnych (wartość na 2019 r = 0; do osiągnięcia wartości docelowej brakuje 100%)</w:t>
      </w:r>
      <w:r w:rsidR="00F4361D">
        <w:t>.</w:t>
      </w:r>
    </w:p>
    <w:p w14:paraId="70DC4E75" w14:textId="77777777" w:rsidR="009A07ED" w:rsidRDefault="009A07ED" w:rsidP="009A07ED">
      <w:pPr>
        <w:ind w:left="720"/>
        <w:jc w:val="left"/>
      </w:pPr>
    </w:p>
    <w:p w14:paraId="64B3CEE3" w14:textId="77777777" w:rsidR="00C468B7" w:rsidRDefault="00C468B7" w:rsidP="00DF64C7">
      <w:pPr>
        <w:jc w:val="left"/>
      </w:pPr>
      <w:r>
        <w:t>Analizie poddano także szacunkową realizację wskaźników, która zawiera obecne zobowiązania Beneficjentów co do realizacji wskaźników. Jeśli realizacja wskaźników przebiegnie zgodnie z planem, faktyczna realizacja wskaźników równa będzie wartościom szacunkowym. W przypadku 16 spośród</w:t>
      </w:r>
      <w:r w:rsidR="00C22DF1">
        <w:t xml:space="preserve"> </w:t>
      </w:r>
      <w:r>
        <w:t>19 wskaźników</w:t>
      </w:r>
      <w:r w:rsidR="00C22DF1">
        <w:t xml:space="preserve"> </w:t>
      </w:r>
      <w:r>
        <w:t>wartość szacunkowa jest równa</w:t>
      </w:r>
      <w:r w:rsidR="00C22DF1">
        <w:t xml:space="preserve"> </w:t>
      </w:r>
      <w:r>
        <w:t>lub większa od wartości docelowej na rok 2023.</w:t>
      </w:r>
      <w:r w:rsidR="00C22DF1">
        <w:t xml:space="preserve"> </w:t>
      </w:r>
      <w:r>
        <w:t>Brak realizacji wartości docelowej widoczny jest wśród</w:t>
      </w:r>
      <w:r w:rsidR="00C22DF1">
        <w:t xml:space="preserve"> </w:t>
      </w:r>
      <w:r>
        <w:t>wskaźników produktu w ramach Działania 11.</w:t>
      </w:r>
      <w:r w:rsidR="00B02B8E">
        <w:t>2 i 11.</w:t>
      </w:r>
      <w:r>
        <w:t>3:</w:t>
      </w:r>
    </w:p>
    <w:p w14:paraId="6114C682" w14:textId="77777777" w:rsidR="00C468B7" w:rsidRPr="00261EFE" w:rsidRDefault="00C468B7" w:rsidP="00DF64C7">
      <w:pPr>
        <w:pStyle w:val="Akapitzlist"/>
        <w:numPr>
          <w:ilvl w:val="0"/>
          <w:numId w:val="53"/>
        </w:numPr>
        <w:jc w:val="left"/>
        <w:rPr>
          <w:sz w:val="28"/>
        </w:rPr>
      </w:pPr>
      <w:r>
        <w:t>Liczba uczniów objętych wsparciem w zakresie rozwijania kompetencji kluczowych lub umiejętności uniwersalnych niezbędnych na rynku pracy w programie;</w:t>
      </w:r>
    </w:p>
    <w:p w14:paraId="75106694" w14:textId="77777777" w:rsidR="00C468B7" w:rsidRPr="00261EFE" w:rsidRDefault="00C468B7" w:rsidP="00DF64C7">
      <w:pPr>
        <w:pStyle w:val="Akapitzlist"/>
        <w:numPr>
          <w:ilvl w:val="0"/>
          <w:numId w:val="53"/>
        </w:numPr>
        <w:jc w:val="left"/>
        <w:rPr>
          <w:sz w:val="28"/>
        </w:rPr>
      </w:pPr>
      <w:r>
        <w:t>Liczba podmiotów realizujących zadania c</w:t>
      </w:r>
      <w:r w:rsidR="00DC26C0">
        <w:t>entrum kształcenia zawodowego i </w:t>
      </w:r>
      <w:r>
        <w:t>ustawicznego objętych wsparciem w programie;</w:t>
      </w:r>
    </w:p>
    <w:p w14:paraId="113C378D" w14:textId="77777777" w:rsidR="00C468B7" w:rsidRPr="00261EFE" w:rsidRDefault="00C468B7" w:rsidP="00DF64C7">
      <w:pPr>
        <w:pStyle w:val="Akapitzlist"/>
        <w:numPr>
          <w:ilvl w:val="0"/>
          <w:numId w:val="53"/>
        </w:numPr>
        <w:spacing w:after="240"/>
        <w:jc w:val="left"/>
        <w:rPr>
          <w:sz w:val="28"/>
        </w:rPr>
      </w:pPr>
      <w:r>
        <w:t>Liczba osób uczestniczących w szkolnych formach kształcenia w programie.</w:t>
      </w:r>
    </w:p>
    <w:p w14:paraId="4E2BD265" w14:textId="77777777" w:rsidR="004A0A1E" w:rsidRDefault="004A0A1E" w:rsidP="00DF64C7">
      <w:pPr>
        <w:spacing w:after="240"/>
        <w:jc w:val="left"/>
      </w:pPr>
      <w:r>
        <w:t>N</w:t>
      </w:r>
      <w:r w:rsidR="00C468B7">
        <w:t xml:space="preserve">ależy </w:t>
      </w:r>
      <w:r>
        <w:t xml:space="preserve">jednak </w:t>
      </w:r>
      <w:r w:rsidR="00C468B7">
        <w:t>zaznaczyć, że</w:t>
      </w:r>
      <w:r w:rsidRPr="004A0A1E">
        <w:t xml:space="preserve"> </w:t>
      </w:r>
      <w:r>
        <w:t>istnieje możliwości podpisania kolejnych umów na realizację projektów w ramach ww. Działań. Tym samym, możliwa jest sytuacja, w której ww. wartości wskaźników zostaną jednak osiągnięte w 2023 roku.</w:t>
      </w:r>
    </w:p>
    <w:p w14:paraId="0233530C" w14:textId="77777777" w:rsidR="00C468B7" w:rsidRDefault="00C468B7" w:rsidP="00DF64C7">
      <w:pPr>
        <w:jc w:val="left"/>
      </w:pPr>
      <w:r>
        <w:t>Analizując obecny stopień realizacji wskaźników rezultatu stwierdza się, że spośród 10 wskaźników określonych dla OP XI, w przypadku 6 wskaźników osiągnięto wartość docelową na rok 2023. Najniższy stopień osiągnięcia wskaźnika (a więc także najwyższą brakującą wartość wskaźnika) odnotowano w przypadku wskaźników:</w:t>
      </w:r>
    </w:p>
    <w:p w14:paraId="0605AB7C" w14:textId="77777777" w:rsidR="00C468B7" w:rsidRDefault="00C468B7" w:rsidP="00DF64C7">
      <w:pPr>
        <w:pStyle w:val="Akapitzlist"/>
        <w:numPr>
          <w:ilvl w:val="0"/>
          <w:numId w:val="29"/>
        </w:numPr>
        <w:jc w:val="left"/>
      </w:pPr>
      <w:r>
        <w:rPr>
          <w:rFonts w:cs="Arial"/>
          <w:color w:val="000000" w:themeColor="text1"/>
        </w:rPr>
        <w:t>Liczba uczniów, którzy nabyli kompetencje kluczowe lub umiejętności uniwersalne niezbędne na rynku pracy po opuszczeniu programu;</w:t>
      </w:r>
    </w:p>
    <w:p w14:paraId="22906966" w14:textId="77777777" w:rsidR="00C468B7" w:rsidRDefault="00C468B7" w:rsidP="00DF64C7">
      <w:pPr>
        <w:pStyle w:val="Akapitzlist"/>
        <w:numPr>
          <w:ilvl w:val="0"/>
          <w:numId w:val="29"/>
        </w:numPr>
        <w:jc w:val="left"/>
      </w:pPr>
      <w:r>
        <w:rPr>
          <w:rFonts w:cs="Arial"/>
          <w:color w:val="000000" w:themeColor="text1"/>
        </w:rPr>
        <w:t>Liczba osób o niskich kwalifikacjach, które uzyskały lub nabyły kompetencje po opuszczeniu programu;</w:t>
      </w:r>
    </w:p>
    <w:p w14:paraId="1928451D" w14:textId="77777777" w:rsidR="00C468B7" w:rsidRDefault="00C468B7" w:rsidP="00DF64C7">
      <w:pPr>
        <w:pStyle w:val="Akapitzlist"/>
        <w:numPr>
          <w:ilvl w:val="0"/>
          <w:numId w:val="29"/>
        </w:numPr>
        <w:jc w:val="left"/>
      </w:pPr>
      <w:r>
        <w:t>Liczba osób w wieku 50 lat i więcej, które uzyskały kwalifikacje lub nabyły kompetencje po opuszczeniu programu;</w:t>
      </w:r>
    </w:p>
    <w:p w14:paraId="38F036AD" w14:textId="4009D40D" w:rsidR="00C468B7" w:rsidRDefault="00C468B7" w:rsidP="00DF64C7">
      <w:pPr>
        <w:pStyle w:val="Akapitzlist"/>
        <w:numPr>
          <w:ilvl w:val="0"/>
          <w:numId w:val="29"/>
        </w:numPr>
        <w:jc w:val="left"/>
      </w:pPr>
      <w:r>
        <w:t>Liczba osób w wieku 25 lat i więcej, które uzyskały kwalifikacje lub nabyły kompetencje po opuszczeniu programu.</w:t>
      </w:r>
    </w:p>
    <w:p w14:paraId="5418C2C6" w14:textId="77777777" w:rsidR="009A07ED" w:rsidRDefault="009A07ED" w:rsidP="009A07ED">
      <w:pPr>
        <w:pStyle w:val="Akapitzlist"/>
        <w:jc w:val="left"/>
      </w:pPr>
    </w:p>
    <w:p w14:paraId="726E5177" w14:textId="77777777" w:rsidR="00C468B7" w:rsidRDefault="00C468B7" w:rsidP="00DF64C7">
      <w:pPr>
        <w:jc w:val="left"/>
      </w:pPr>
      <w:r>
        <w:t>Szacunkowa realizacj</w:t>
      </w:r>
      <w:r w:rsidR="00B52E8F">
        <w:t>a</w:t>
      </w:r>
      <w:r>
        <w:t xml:space="preserve"> wskaźników, która zawiera obecne zobowiązania Beneficjentów co do realizacji wskaźników wskazuje, iż jeśli realizacja wskaźników przebiegnie zgodnie z planem, </w:t>
      </w:r>
      <w:r w:rsidR="00B52E8F">
        <w:t xml:space="preserve">w przypadku </w:t>
      </w:r>
      <w:r>
        <w:t>aż 9 na 10 wskaźników wartość szacunkowa jest równa lub większa od wartości docelowej na rok 2023. Brak realizacji wartości docelowej dotyczy wskaźnika: Liczba uczniów, którzy nabyli kompetencje kluczowe lub umiejętności uniwersalne niezbędne na rynku pracy po opuszczeniu programu, na co wpływ może mieć jednak fakt, iż wskaźnik ten został dodany po zmianie RPO WSL, a pierwszy projekt został wybrany do dofinansowania w czerwcu 2019.</w:t>
      </w:r>
    </w:p>
    <w:p w14:paraId="0D3836D3" w14:textId="77777777" w:rsidR="0092429A" w:rsidRDefault="0092429A" w:rsidP="00DF64C7">
      <w:pPr>
        <w:jc w:val="left"/>
      </w:pPr>
    </w:p>
    <w:p w14:paraId="409BE20B" w14:textId="77777777" w:rsidR="00C468B7" w:rsidRDefault="00C468B7" w:rsidP="00DF64C7">
      <w:pPr>
        <w:jc w:val="left"/>
      </w:pPr>
      <w:r>
        <w:t>Do 14 października 2019 roku podpisano umowy/wyd</w:t>
      </w:r>
      <w:r w:rsidR="002B2E37">
        <w:t>ano decyzje dla 832 projektów o </w:t>
      </w:r>
      <w:r>
        <w:t>wartości 957 158 116 PLN. W ramach OP XI wykorzystano 75,5% alokacji, zaś w przypadku OP XII 90,1% alokacji.</w:t>
      </w:r>
    </w:p>
    <w:p w14:paraId="373B8BF9" w14:textId="77777777" w:rsidR="00C468B7" w:rsidRDefault="00C468B7" w:rsidP="00DF64C7">
      <w:pPr>
        <w:pStyle w:val="Legenda"/>
        <w:spacing w:line="271" w:lineRule="auto"/>
        <w:jc w:val="left"/>
      </w:pPr>
      <w:bookmarkStart w:id="144" w:name="_Toc33457236"/>
      <w:r>
        <w:t>Tabela</w:t>
      </w:r>
      <w:r w:rsidR="003171F9">
        <w:t xml:space="preserve"> 37</w:t>
      </w:r>
      <w:r w:rsidR="00E51B46">
        <w:rPr>
          <w:noProof/>
        </w:rPr>
        <w:t>.</w:t>
      </w:r>
      <w:r>
        <w:t xml:space="preserve"> Podpisane umowy o dofinansowanie (stan na 14.10.2019)</w:t>
      </w:r>
      <w:bookmarkEnd w:id="144"/>
    </w:p>
    <w:tbl>
      <w:tblPr>
        <w:tblStyle w:val="Tabelasiatki6kolorowaakcent62"/>
        <w:tblW w:w="0" w:type="auto"/>
        <w:tblLook w:val="04A0" w:firstRow="1" w:lastRow="0" w:firstColumn="1" w:lastColumn="0" w:noHBand="0" w:noVBand="1"/>
        <w:tblCaption w:val="Podpisane umowy o dofinansowanie (stan na 14.10.2019)"/>
        <w:tblDescription w:val="Tabela zawiera dane dotyczące podpisanych umów o dofinansowanie (stan na 14.10.2019), w tym: poziom alokacji; liczba konktraktacji, ich wartość oraz procentowy poziom wykorzystania alokacji."/>
      </w:tblPr>
      <w:tblGrid>
        <w:gridCol w:w="807"/>
        <w:gridCol w:w="2089"/>
        <w:gridCol w:w="1259"/>
        <w:gridCol w:w="2499"/>
        <w:gridCol w:w="2406"/>
      </w:tblGrid>
      <w:tr w:rsidR="00C468B7" w14:paraId="1E667426" w14:textId="77777777" w:rsidTr="00F04F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7" w:type="dxa"/>
            <w:vMerge w:val="restar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0275B058" w14:textId="77777777" w:rsidR="00C468B7" w:rsidRDefault="00C468B7" w:rsidP="00DF64C7">
            <w:pPr>
              <w:jc w:val="left"/>
              <w:rPr>
                <w:color w:val="000000" w:themeColor="text1"/>
                <w:sz w:val="18"/>
              </w:rPr>
            </w:pPr>
            <w:r>
              <w:rPr>
                <w:color w:val="000000" w:themeColor="text1"/>
                <w:sz w:val="18"/>
              </w:rPr>
              <w:t>OP</w:t>
            </w:r>
          </w:p>
        </w:tc>
        <w:tc>
          <w:tcPr>
            <w:tcW w:w="2126" w:type="dxa"/>
            <w:vMerge w:val="restar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77FACE1F" w14:textId="77777777" w:rsidR="00C468B7" w:rsidRDefault="00C468B7" w:rsidP="00DF64C7">
            <w:pPr>
              <w:jc w:val="left"/>
              <w:cnfStyle w:val="100000000000" w:firstRow="1"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Alokacja ogółem (PLN)</w:t>
            </w:r>
          </w:p>
        </w:tc>
        <w:tc>
          <w:tcPr>
            <w:tcW w:w="6269" w:type="dxa"/>
            <w:gridSpan w:val="3"/>
            <w:tcBorders>
              <w:top w:val="single" w:sz="4" w:space="0" w:color="FABF8F" w:themeColor="accent6" w:themeTint="99"/>
              <w:left w:val="single" w:sz="4" w:space="0" w:color="FABF8F" w:themeColor="accent6" w:themeTint="99"/>
              <w:right w:val="single" w:sz="4" w:space="0" w:color="FABF8F" w:themeColor="accent6" w:themeTint="99"/>
            </w:tcBorders>
            <w:vAlign w:val="center"/>
            <w:hideMark/>
          </w:tcPr>
          <w:p w14:paraId="6BC27745" w14:textId="77777777" w:rsidR="00C468B7" w:rsidRDefault="00C468B7" w:rsidP="00DF64C7">
            <w:pPr>
              <w:jc w:val="left"/>
              <w:cnfStyle w:val="100000000000" w:firstRow="1"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Kontraktacja</w:t>
            </w:r>
          </w:p>
        </w:tc>
      </w:tr>
      <w:tr w:rsidR="00C468B7" w14:paraId="7658E5CC" w14:textId="77777777" w:rsidTr="00F04F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5B82A6CD" w14:textId="77777777" w:rsidR="00C468B7" w:rsidRDefault="00C468B7" w:rsidP="00DF64C7">
            <w:pPr>
              <w:jc w:val="left"/>
              <w:rPr>
                <w:color w:val="000000" w:themeColor="text1"/>
                <w:sz w:val="18"/>
              </w:rPr>
            </w:pPr>
          </w:p>
        </w:tc>
        <w:tc>
          <w:tcPr>
            <w:tcW w:w="0" w:type="auto"/>
            <w:vMerge/>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3E45EDE0" w14:textId="77777777" w:rsidR="00C468B7" w:rsidRDefault="00C468B7" w:rsidP="00DF64C7">
            <w:pPr>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18"/>
              </w:rPr>
            </w:pPr>
          </w:p>
        </w:tc>
        <w:tc>
          <w:tcPr>
            <w:tcW w:w="127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1BC37754" w14:textId="77777777" w:rsidR="00C468B7" w:rsidRDefault="00C468B7" w:rsidP="00DF64C7">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Pr>
                <w:b w:val="0"/>
                <w:color w:val="000000" w:themeColor="text1"/>
                <w:sz w:val="18"/>
              </w:rPr>
              <w:t>Liczba</w:t>
            </w:r>
          </w:p>
        </w:tc>
        <w:tc>
          <w:tcPr>
            <w:tcW w:w="2552"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34C599E6" w14:textId="77777777" w:rsidR="00C468B7" w:rsidRDefault="00C468B7" w:rsidP="00DF64C7">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Pr>
                <w:b w:val="0"/>
                <w:color w:val="000000" w:themeColor="text1"/>
                <w:sz w:val="18"/>
              </w:rPr>
              <w:t>Wartość wkładu UE (PLN)</w:t>
            </w:r>
          </w:p>
        </w:tc>
        <w:tc>
          <w:tcPr>
            <w:tcW w:w="244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1BADD1DE" w14:textId="77777777" w:rsidR="00C468B7" w:rsidRDefault="00C468B7" w:rsidP="00DF64C7">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8"/>
              </w:rPr>
            </w:pPr>
            <w:r>
              <w:rPr>
                <w:b w:val="0"/>
                <w:color w:val="000000" w:themeColor="text1"/>
                <w:sz w:val="18"/>
              </w:rPr>
              <w:t>% wykorzystania alokacji</w:t>
            </w:r>
          </w:p>
        </w:tc>
      </w:tr>
      <w:tr w:rsidR="00C468B7" w14:paraId="58A70121" w14:textId="77777777" w:rsidTr="00E51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4B74AD22" w14:textId="77777777" w:rsidR="00C468B7" w:rsidRDefault="00C468B7" w:rsidP="00DF64C7">
            <w:pPr>
              <w:jc w:val="left"/>
              <w:rPr>
                <w:color w:val="000000" w:themeColor="text1"/>
                <w:sz w:val="18"/>
              </w:rPr>
            </w:pPr>
            <w:r>
              <w:rPr>
                <w:color w:val="000000" w:themeColor="text1"/>
                <w:sz w:val="18"/>
              </w:rPr>
              <w:t>XI</w:t>
            </w:r>
          </w:p>
        </w:tc>
        <w:tc>
          <w:tcPr>
            <w:tcW w:w="212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5622CC17" w14:textId="77777777" w:rsidR="00C468B7" w:rsidRDefault="00C468B7" w:rsidP="003E5E36">
            <w:pPr>
              <w:jc w:val="right"/>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848 226 009</w:t>
            </w:r>
          </w:p>
        </w:tc>
        <w:tc>
          <w:tcPr>
            <w:tcW w:w="127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0FFC66ED" w14:textId="77777777" w:rsidR="00C468B7" w:rsidRDefault="00C468B7" w:rsidP="003E5E36">
            <w:pPr>
              <w:jc w:val="right"/>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705</w:t>
            </w:r>
          </w:p>
        </w:tc>
        <w:tc>
          <w:tcPr>
            <w:tcW w:w="2552"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61053A08" w14:textId="77777777" w:rsidR="00C468B7" w:rsidRDefault="00C468B7" w:rsidP="003E5E36">
            <w:pPr>
              <w:jc w:val="right"/>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640 561 743</w:t>
            </w:r>
          </w:p>
        </w:tc>
        <w:tc>
          <w:tcPr>
            <w:tcW w:w="244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20903DFE" w14:textId="77777777" w:rsidR="00C468B7" w:rsidRDefault="00C468B7" w:rsidP="003E5E36">
            <w:pPr>
              <w:jc w:val="right"/>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75,5%</w:t>
            </w:r>
          </w:p>
        </w:tc>
      </w:tr>
      <w:tr w:rsidR="00C468B7" w14:paraId="3A485102" w14:textId="77777777" w:rsidTr="00E51B46">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19E3303F" w14:textId="77777777" w:rsidR="00C468B7" w:rsidRDefault="00C468B7" w:rsidP="00DF64C7">
            <w:pPr>
              <w:jc w:val="left"/>
              <w:rPr>
                <w:color w:val="000000" w:themeColor="text1"/>
                <w:sz w:val="18"/>
              </w:rPr>
            </w:pPr>
            <w:r>
              <w:rPr>
                <w:color w:val="000000" w:themeColor="text1"/>
                <w:sz w:val="18"/>
              </w:rPr>
              <w:t>XII</w:t>
            </w:r>
          </w:p>
        </w:tc>
        <w:tc>
          <w:tcPr>
            <w:tcW w:w="212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3BBEB1E3" w14:textId="77777777" w:rsidR="00C468B7" w:rsidRDefault="00C468B7" w:rsidP="003E5E36">
            <w:pPr>
              <w:jc w:val="right"/>
              <w:cnfStyle w:val="000000000000" w:firstRow="0"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351 343 724</w:t>
            </w:r>
          </w:p>
        </w:tc>
        <w:tc>
          <w:tcPr>
            <w:tcW w:w="127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1DBB1281" w14:textId="77777777" w:rsidR="00C468B7" w:rsidRDefault="00C468B7" w:rsidP="003E5E36">
            <w:pPr>
              <w:jc w:val="right"/>
              <w:cnfStyle w:val="000000000000" w:firstRow="0"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127</w:t>
            </w:r>
          </w:p>
        </w:tc>
        <w:tc>
          <w:tcPr>
            <w:tcW w:w="2552"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2CC1ABD1" w14:textId="77777777" w:rsidR="00C468B7" w:rsidRDefault="00C468B7" w:rsidP="003E5E36">
            <w:pPr>
              <w:jc w:val="right"/>
              <w:cnfStyle w:val="000000000000" w:firstRow="0"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316 596 373</w:t>
            </w:r>
          </w:p>
        </w:tc>
        <w:tc>
          <w:tcPr>
            <w:tcW w:w="244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1CE9394F" w14:textId="77777777" w:rsidR="00C468B7" w:rsidRDefault="00C468B7" w:rsidP="003E5E36">
            <w:pPr>
              <w:jc w:val="right"/>
              <w:cnfStyle w:val="000000000000" w:firstRow="0"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90,1%</w:t>
            </w:r>
          </w:p>
        </w:tc>
      </w:tr>
    </w:tbl>
    <w:p w14:paraId="0358943E" w14:textId="77777777" w:rsidR="00C468B7" w:rsidRPr="00C01137" w:rsidRDefault="00C468B7" w:rsidP="00DF64C7">
      <w:pPr>
        <w:pStyle w:val="podpisrdailustracji"/>
        <w:spacing w:line="271" w:lineRule="auto"/>
        <w:jc w:val="left"/>
      </w:pPr>
      <w:r w:rsidRPr="00C01137">
        <w:rPr>
          <w:rStyle w:val="LegendaZnak"/>
          <w:b w:val="0"/>
          <w:bCs w:val="0"/>
          <w:i w:val="0"/>
          <w:szCs w:val="22"/>
        </w:rPr>
        <w:t xml:space="preserve">Źródło: opracowanie własne EU-Consult sp. z o.o. na podstawie </w:t>
      </w:r>
      <w:r w:rsidR="00FE21BA">
        <w:rPr>
          <w:rStyle w:val="LegendaZnak"/>
          <w:b w:val="0"/>
          <w:bCs w:val="0"/>
          <w:i w:val="0"/>
          <w:szCs w:val="22"/>
        </w:rPr>
        <w:t>dokumentu</w:t>
      </w:r>
      <w:r w:rsidR="00FE21BA" w:rsidRPr="00132B39">
        <w:rPr>
          <w:rStyle w:val="LegendaZnak"/>
          <w:b w:val="0"/>
          <w:bCs w:val="0"/>
          <w:szCs w:val="22"/>
        </w:rPr>
        <w:t xml:space="preserve"> Realizacja Regionalnego Programu Operacyjnego Województwa Śląskiego 2014-2020 - stan na dzień 14 października 2019 r.</w:t>
      </w:r>
      <w:r w:rsidRPr="00C01137">
        <w:rPr>
          <w:rStyle w:val="LegendaZnak"/>
          <w:b w:val="0"/>
          <w:bCs w:val="0"/>
          <w:i w:val="0"/>
          <w:szCs w:val="22"/>
        </w:rPr>
        <w:t xml:space="preserve"> </w:t>
      </w:r>
    </w:p>
    <w:p w14:paraId="783BD22E" w14:textId="77777777" w:rsidR="00C468B7" w:rsidRDefault="00C468B7" w:rsidP="00DF64C7">
      <w:pPr>
        <w:jc w:val="left"/>
      </w:pPr>
      <w:r>
        <w:t>Do 14 października 2019 roku ogłoszono i uruchomiono 73 nabory w ramach OP XI oraz 27 naborów w ramach OP XII. Zaangażowano przy tym łącznie 1 449 770 154 PLN, co stanowi średnio 115,5% alokacji.</w:t>
      </w:r>
    </w:p>
    <w:p w14:paraId="29FB2FBD" w14:textId="77777777" w:rsidR="00C468B7" w:rsidRDefault="00C468B7" w:rsidP="00DF64C7">
      <w:pPr>
        <w:pStyle w:val="Legenda"/>
        <w:spacing w:line="271" w:lineRule="auto"/>
        <w:jc w:val="left"/>
      </w:pPr>
      <w:bookmarkStart w:id="145" w:name="_Toc33457237"/>
      <w:r>
        <w:t>Tabela</w:t>
      </w:r>
      <w:r w:rsidR="003171F9">
        <w:t xml:space="preserve"> 38</w:t>
      </w:r>
      <w:r w:rsidR="002B2E37">
        <w:rPr>
          <w:noProof/>
        </w:rPr>
        <w:t>.</w:t>
      </w:r>
      <w:r>
        <w:t xml:space="preserve"> Zestawienie dot. zaangażowanych środków (stan na 14.10.2019)</w:t>
      </w:r>
      <w:bookmarkEnd w:id="145"/>
    </w:p>
    <w:tbl>
      <w:tblPr>
        <w:tblStyle w:val="Tabelasiatki6kolorowaakcent62"/>
        <w:tblW w:w="5000" w:type="pct"/>
        <w:tblLook w:val="04A0" w:firstRow="1" w:lastRow="0" w:firstColumn="1" w:lastColumn="0" w:noHBand="0" w:noVBand="1"/>
        <w:tblCaption w:val="Zestawienie dot. zaangażowanych środków (stan na 14.10.2019)"/>
        <w:tblDescription w:val="Tabela przedstawia dane dotyczące zaangażowanych środków finansowych (stan na 14.10.2019), w tym: poziom alokacji ogółem; liczbę zgłoszonych oraz uruchomionych naborów; poziom wkładu UE w PLN; procentowy poziom wykorzystania alokacji."/>
      </w:tblPr>
      <w:tblGrid>
        <w:gridCol w:w="797"/>
        <w:gridCol w:w="2073"/>
        <w:gridCol w:w="1988"/>
        <w:gridCol w:w="2102"/>
        <w:gridCol w:w="2100"/>
      </w:tblGrid>
      <w:tr w:rsidR="00C468B7" w14:paraId="0DBB849D" w14:textId="77777777" w:rsidTr="00F04F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FABF8F" w:themeColor="accent6" w:themeTint="99"/>
              <w:left w:val="single" w:sz="4" w:space="0" w:color="FABF8F" w:themeColor="accent6" w:themeTint="99"/>
              <w:right w:val="single" w:sz="4" w:space="0" w:color="FABF8F" w:themeColor="accent6" w:themeTint="99"/>
            </w:tcBorders>
            <w:vAlign w:val="center"/>
            <w:hideMark/>
          </w:tcPr>
          <w:p w14:paraId="24633769" w14:textId="77777777" w:rsidR="00C468B7" w:rsidRDefault="00C468B7" w:rsidP="00DF64C7">
            <w:pPr>
              <w:jc w:val="left"/>
              <w:rPr>
                <w:color w:val="000000" w:themeColor="text1"/>
                <w:sz w:val="18"/>
              </w:rPr>
            </w:pPr>
            <w:r>
              <w:rPr>
                <w:color w:val="000000" w:themeColor="text1"/>
                <w:sz w:val="18"/>
              </w:rPr>
              <w:t>OP</w:t>
            </w:r>
          </w:p>
        </w:tc>
        <w:tc>
          <w:tcPr>
            <w:tcW w:w="1144" w:type="pct"/>
            <w:tcBorders>
              <w:top w:val="single" w:sz="4" w:space="0" w:color="FABF8F" w:themeColor="accent6" w:themeTint="99"/>
              <w:left w:val="single" w:sz="4" w:space="0" w:color="FABF8F" w:themeColor="accent6" w:themeTint="99"/>
              <w:right w:val="single" w:sz="4" w:space="0" w:color="FABF8F" w:themeColor="accent6" w:themeTint="99"/>
            </w:tcBorders>
            <w:vAlign w:val="center"/>
            <w:hideMark/>
          </w:tcPr>
          <w:p w14:paraId="0D517124" w14:textId="77777777" w:rsidR="00C468B7" w:rsidRDefault="00C468B7" w:rsidP="00DF64C7">
            <w:pPr>
              <w:jc w:val="left"/>
              <w:cnfStyle w:val="100000000000" w:firstRow="1"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Alokacja ogółem (PLN)</w:t>
            </w:r>
          </w:p>
        </w:tc>
        <w:tc>
          <w:tcPr>
            <w:tcW w:w="1097" w:type="pct"/>
            <w:tcBorders>
              <w:top w:val="single" w:sz="4" w:space="0" w:color="FABF8F" w:themeColor="accent6" w:themeTint="99"/>
              <w:left w:val="single" w:sz="4" w:space="0" w:color="FABF8F" w:themeColor="accent6" w:themeTint="99"/>
              <w:right w:val="single" w:sz="4" w:space="0" w:color="FABF8F" w:themeColor="accent6" w:themeTint="99"/>
            </w:tcBorders>
            <w:vAlign w:val="center"/>
            <w:hideMark/>
          </w:tcPr>
          <w:p w14:paraId="086E3C30" w14:textId="77777777" w:rsidR="00C468B7" w:rsidRDefault="00C468B7" w:rsidP="00DF64C7">
            <w:pPr>
              <w:jc w:val="left"/>
              <w:cnfStyle w:val="100000000000" w:firstRow="1"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Liczba ogłoszonych oraz uruchomionych naborów</w:t>
            </w:r>
          </w:p>
        </w:tc>
        <w:tc>
          <w:tcPr>
            <w:tcW w:w="1160" w:type="pct"/>
            <w:tcBorders>
              <w:top w:val="single" w:sz="4" w:space="0" w:color="FABF8F" w:themeColor="accent6" w:themeTint="99"/>
              <w:left w:val="single" w:sz="4" w:space="0" w:color="FABF8F" w:themeColor="accent6" w:themeTint="99"/>
              <w:right w:val="single" w:sz="4" w:space="0" w:color="FABF8F" w:themeColor="accent6" w:themeTint="99"/>
            </w:tcBorders>
            <w:vAlign w:val="center"/>
            <w:hideMark/>
          </w:tcPr>
          <w:p w14:paraId="0807A335" w14:textId="77777777" w:rsidR="00C468B7" w:rsidRDefault="00C468B7" w:rsidP="00DF64C7">
            <w:pPr>
              <w:jc w:val="left"/>
              <w:cnfStyle w:val="100000000000" w:firstRow="1"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Środki zaangażowane (wkład UE) PLN</w:t>
            </w:r>
          </w:p>
        </w:tc>
        <w:tc>
          <w:tcPr>
            <w:tcW w:w="1159" w:type="pct"/>
            <w:tcBorders>
              <w:top w:val="single" w:sz="4" w:space="0" w:color="FABF8F" w:themeColor="accent6" w:themeTint="99"/>
              <w:left w:val="single" w:sz="4" w:space="0" w:color="FABF8F" w:themeColor="accent6" w:themeTint="99"/>
              <w:right w:val="single" w:sz="4" w:space="0" w:color="FABF8F" w:themeColor="accent6" w:themeTint="99"/>
            </w:tcBorders>
            <w:vAlign w:val="center"/>
            <w:hideMark/>
          </w:tcPr>
          <w:p w14:paraId="280CCA59" w14:textId="77777777" w:rsidR="00C468B7" w:rsidRDefault="00C468B7" w:rsidP="00DF64C7">
            <w:pPr>
              <w:jc w:val="left"/>
              <w:cnfStyle w:val="100000000000" w:firstRow="1"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 wykorzystania alokacji</w:t>
            </w:r>
          </w:p>
        </w:tc>
      </w:tr>
      <w:tr w:rsidR="00C468B7" w14:paraId="65183295" w14:textId="77777777" w:rsidTr="002B2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6DDB2B10" w14:textId="77777777" w:rsidR="00C468B7" w:rsidRDefault="00C468B7" w:rsidP="00DF64C7">
            <w:pPr>
              <w:jc w:val="left"/>
              <w:rPr>
                <w:color w:val="000000" w:themeColor="text1"/>
                <w:sz w:val="18"/>
              </w:rPr>
            </w:pPr>
            <w:r>
              <w:rPr>
                <w:color w:val="000000" w:themeColor="text1"/>
                <w:sz w:val="18"/>
              </w:rPr>
              <w:t>XI</w:t>
            </w:r>
          </w:p>
        </w:tc>
        <w:tc>
          <w:tcPr>
            <w:tcW w:w="1144"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0C0FEF37" w14:textId="77777777" w:rsidR="00C468B7" w:rsidRDefault="00C468B7" w:rsidP="003E5E36">
            <w:pPr>
              <w:jc w:val="right"/>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848 226 009</w:t>
            </w:r>
          </w:p>
        </w:tc>
        <w:tc>
          <w:tcPr>
            <w:tcW w:w="1097"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5A58C1C2" w14:textId="77777777" w:rsidR="00C468B7" w:rsidRDefault="00C468B7" w:rsidP="003E5E36">
            <w:pPr>
              <w:jc w:val="right"/>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73</w:t>
            </w:r>
          </w:p>
        </w:tc>
        <w:tc>
          <w:tcPr>
            <w:tcW w:w="1160"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1A0E12D6" w14:textId="77777777" w:rsidR="00C468B7" w:rsidRDefault="00C468B7" w:rsidP="003E5E36">
            <w:pPr>
              <w:jc w:val="right"/>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1 090 277 043</w:t>
            </w:r>
          </w:p>
        </w:tc>
        <w:tc>
          <w:tcPr>
            <w:tcW w:w="1159"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28F549AD" w14:textId="77777777" w:rsidR="00C468B7" w:rsidRDefault="00C468B7" w:rsidP="003E5E36">
            <w:pPr>
              <w:jc w:val="right"/>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129%</w:t>
            </w:r>
          </w:p>
        </w:tc>
      </w:tr>
      <w:tr w:rsidR="00C468B7" w14:paraId="51929918" w14:textId="77777777" w:rsidTr="002B2E37">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6C597BEE" w14:textId="77777777" w:rsidR="00C468B7" w:rsidRDefault="00C468B7" w:rsidP="00DF64C7">
            <w:pPr>
              <w:jc w:val="left"/>
              <w:rPr>
                <w:color w:val="000000" w:themeColor="text1"/>
                <w:sz w:val="18"/>
              </w:rPr>
            </w:pPr>
            <w:r>
              <w:rPr>
                <w:color w:val="000000" w:themeColor="text1"/>
                <w:sz w:val="18"/>
              </w:rPr>
              <w:t>XII</w:t>
            </w:r>
          </w:p>
        </w:tc>
        <w:tc>
          <w:tcPr>
            <w:tcW w:w="1144"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3FF458B1" w14:textId="77777777" w:rsidR="00C468B7" w:rsidRDefault="00C468B7" w:rsidP="003E5E36">
            <w:pPr>
              <w:jc w:val="right"/>
              <w:cnfStyle w:val="000000000000" w:firstRow="0"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351 343 724</w:t>
            </w:r>
          </w:p>
        </w:tc>
        <w:tc>
          <w:tcPr>
            <w:tcW w:w="1097"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1BFB4243" w14:textId="77777777" w:rsidR="00C468B7" w:rsidRDefault="00C468B7" w:rsidP="003E5E36">
            <w:pPr>
              <w:jc w:val="right"/>
              <w:cnfStyle w:val="000000000000" w:firstRow="0"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27</w:t>
            </w:r>
          </w:p>
        </w:tc>
        <w:tc>
          <w:tcPr>
            <w:tcW w:w="1160"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1129D484" w14:textId="77777777" w:rsidR="00C468B7" w:rsidRDefault="00C468B7" w:rsidP="003E5E36">
            <w:pPr>
              <w:jc w:val="right"/>
              <w:cnfStyle w:val="000000000000" w:firstRow="0"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359 493 111</w:t>
            </w:r>
          </w:p>
        </w:tc>
        <w:tc>
          <w:tcPr>
            <w:tcW w:w="1159"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0CCA8D12" w14:textId="77777777" w:rsidR="00C468B7" w:rsidRDefault="00C468B7" w:rsidP="003E5E36">
            <w:pPr>
              <w:jc w:val="right"/>
              <w:cnfStyle w:val="000000000000" w:firstRow="0" w:lastRow="0" w:firstColumn="0" w:lastColumn="0" w:oddVBand="0" w:evenVBand="0" w:oddHBand="0" w:evenHBand="0" w:firstRowFirstColumn="0" w:firstRowLastColumn="0" w:lastRowFirstColumn="0" w:lastRowLastColumn="0"/>
              <w:rPr>
                <w:color w:val="000000" w:themeColor="text1"/>
                <w:sz w:val="18"/>
              </w:rPr>
            </w:pPr>
            <w:r>
              <w:rPr>
                <w:color w:val="000000" w:themeColor="text1"/>
                <w:sz w:val="18"/>
              </w:rPr>
              <w:t>102%</w:t>
            </w:r>
          </w:p>
        </w:tc>
      </w:tr>
    </w:tbl>
    <w:p w14:paraId="00081859" w14:textId="77777777" w:rsidR="00C468B7" w:rsidRPr="00C01137" w:rsidRDefault="00C468B7" w:rsidP="00DF64C7">
      <w:pPr>
        <w:pStyle w:val="podpisrdailustracji"/>
        <w:spacing w:line="271" w:lineRule="auto"/>
        <w:jc w:val="left"/>
      </w:pPr>
      <w:r w:rsidRPr="00C01137">
        <w:rPr>
          <w:rStyle w:val="LegendaZnak"/>
          <w:b w:val="0"/>
          <w:bCs w:val="0"/>
          <w:i w:val="0"/>
          <w:szCs w:val="22"/>
        </w:rPr>
        <w:t xml:space="preserve">Źródło: opracowanie własne EU-Consult sp. z o.o. </w:t>
      </w:r>
      <w:r w:rsidR="00FE21BA" w:rsidRPr="00C01137">
        <w:rPr>
          <w:rStyle w:val="LegendaZnak"/>
          <w:b w:val="0"/>
          <w:bCs w:val="0"/>
          <w:i w:val="0"/>
          <w:szCs w:val="22"/>
        </w:rPr>
        <w:t xml:space="preserve">na podstawie </w:t>
      </w:r>
      <w:r w:rsidR="00FE21BA">
        <w:rPr>
          <w:rStyle w:val="LegendaZnak"/>
          <w:b w:val="0"/>
          <w:bCs w:val="0"/>
          <w:i w:val="0"/>
          <w:szCs w:val="22"/>
        </w:rPr>
        <w:t>dokumentu</w:t>
      </w:r>
      <w:r w:rsidR="00FE21BA" w:rsidRPr="00770053">
        <w:rPr>
          <w:rStyle w:val="LegendaZnak"/>
          <w:b w:val="0"/>
          <w:bCs w:val="0"/>
          <w:szCs w:val="22"/>
        </w:rPr>
        <w:t xml:space="preserve"> Realizacja Regionalnego Programu Operacyjnego Województwa Śląskiego 2014-2020 - stan na dzień 14 października 2019 r</w:t>
      </w:r>
      <w:r w:rsidR="00FE21BA" w:rsidRPr="00C01137" w:rsidDel="00FE21BA">
        <w:rPr>
          <w:rStyle w:val="LegendaZnak"/>
          <w:b w:val="0"/>
          <w:bCs w:val="0"/>
          <w:i w:val="0"/>
          <w:szCs w:val="22"/>
        </w:rPr>
        <w:t xml:space="preserve"> </w:t>
      </w:r>
    </w:p>
    <w:p w14:paraId="519AADA7" w14:textId="77777777" w:rsidR="001E1E34" w:rsidRDefault="001E1E34" w:rsidP="00DF64C7">
      <w:pPr>
        <w:jc w:val="left"/>
        <w:rPr>
          <w:rFonts w:cstheme="minorHAnsi"/>
        </w:rPr>
      </w:pPr>
      <w:r>
        <w:rPr>
          <w:rFonts w:cstheme="minorHAnsi"/>
        </w:rPr>
        <w:t>Wartość docelowa wskaźnika finansowego dla OP XI na 2019 rok wynosi 55 84 092 EUR, a dla OP XII 29 940 772 EUR. Dane na 30.09.2019 r. wskazują, iż wartość wskaźnika na podstawie zatwierdzonych wniosków o płatność wyniosła kolejno:</w:t>
      </w:r>
    </w:p>
    <w:p w14:paraId="3604B6A9" w14:textId="77777777" w:rsidR="001E1E34" w:rsidRPr="00C35423" w:rsidRDefault="001E1E34" w:rsidP="00DF64C7">
      <w:pPr>
        <w:pStyle w:val="Akapitzlist"/>
        <w:numPr>
          <w:ilvl w:val="0"/>
          <w:numId w:val="60"/>
        </w:numPr>
        <w:jc w:val="left"/>
        <w:rPr>
          <w:rFonts w:cstheme="minorHAnsi"/>
        </w:rPr>
      </w:pPr>
      <w:r w:rsidRPr="00C35423">
        <w:rPr>
          <w:rFonts w:cstheme="minorHAnsi"/>
        </w:rPr>
        <w:t>79 885 889 EUR dla OP XI, co stanowi 142,9% wartości docelowej na rok 2019 i 34,8% wartości docelowej na rok 2023;</w:t>
      </w:r>
    </w:p>
    <w:p w14:paraId="6DE05472" w14:textId="77777777" w:rsidR="001E1E34" w:rsidRPr="00C35423" w:rsidRDefault="001E1E34" w:rsidP="00DF64C7">
      <w:pPr>
        <w:pStyle w:val="Akapitzlist"/>
        <w:numPr>
          <w:ilvl w:val="0"/>
          <w:numId w:val="60"/>
        </w:numPr>
        <w:jc w:val="left"/>
        <w:rPr>
          <w:rFonts w:cstheme="minorHAnsi"/>
        </w:rPr>
      </w:pPr>
      <w:r w:rsidRPr="00C35423">
        <w:rPr>
          <w:rFonts w:cstheme="minorHAnsi"/>
        </w:rPr>
        <w:t>47 268 881 EUR dla OP XII, co stanowi 157,9% wartości docelowej na rok 2019 i 49,5% wartości docelowej na rok 2023.</w:t>
      </w:r>
    </w:p>
    <w:p w14:paraId="52149E90" w14:textId="77777777" w:rsidR="001E1E34" w:rsidRDefault="001E1E34" w:rsidP="00DF64C7">
      <w:pPr>
        <w:pStyle w:val="Legenda"/>
        <w:spacing w:line="271" w:lineRule="auto"/>
        <w:jc w:val="left"/>
      </w:pPr>
      <w:r>
        <w:t>Tabela</w:t>
      </w:r>
      <w:r w:rsidR="003171F9">
        <w:t xml:space="preserve"> 39</w:t>
      </w:r>
      <w:r>
        <w:rPr>
          <w:noProof/>
        </w:rPr>
        <w:t>.</w:t>
      </w:r>
      <w:r>
        <w:t xml:space="preserve"> Postęp realizacji wskaźników finansowych OP XI</w:t>
      </w:r>
      <w:r w:rsidR="00FF21BC">
        <w:t xml:space="preserve"> i XII</w:t>
      </w:r>
      <w:r>
        <w:t xml:space="preserve"> (EUR) – stan na 01.10.2019</w:t>
      </w:r>
    </w:p>
    <w:tbl>
      <w:tblPr>
        <w:tblStyle w:val="Jasnasiatkaakcent6"/>
        <w:tblW w:w="5000" w:type="pct"/>
        <w:tblLayout w:type="fixed"/>
        <w:tblLook w:val="04A0" w:firstRow="1" w:lastRow="0" w:firstColumn="1" w:lastColumn="0" w:noHBand="0" w:noVBand="1"/>
        <w:tblCaption w:val="Postęp realizacji wskaźników finansowych OP XI (EUR) – stan na 01.10.2019"/>
        <w:tblDescription w:val="Tabela przedstawia wartości docelowe wskaźników w roku 2019 i 2023, wartości wskaźnika na podstawie zatwierdzonych wnosków w opłatność w roku 2019, procentową wartość realizacji wskaźników na rok 2019 oraz 2023 oraz poziom realizacji wskaźnika."/>
      </w:tblPr>
      <w:tblGrid>
        <w:gridCol w:w="698"/>
        <w:gridCol w:w="853"/>
        <w:gridCol w:w="912"/>
        <w:gridCol w:w="1385"/>
        <w:gridCol w:w="1030"/>
        <w:gridCol w:w="943"/>
        <w:gridCol w:w="1258"/>
        <w:gridCol w:w="1030"/>
        <w:gridCol w:w="941"/>
      </w:tblGrid>
      <w:tr w:rsidR="001E1E34" w:rsidRPr="0036452C" w14:paraId="0270DD0B" w14:textId="77777777" w:rsidTr="004D161C">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386" w:type="pct"/>
          </w:tcPr>
          <w:p w14:paraId="7C13CB9B" w14:textId="77777777" w:rsidR="001E1E34" w:rsidRPr="00E24BD3" w:rsidRDefault="001E1E34" w:rsidP="00DF64C7">
            <w:pPr>
              <w:jc w:val="left"/>
              <w:rPr>
                <w:rFonts w:cstheme="minorHAnsi"/>
                <w:sz w:val="18"/>
                <w:szCs w:val="20"/>
              </w:rPr>
            </w:pPr>
            <w:r w:rsidRPr="00E24BD3">
              <w:rPr>
                <w:rFonts w:cstheme="minorHAnsi"/>
                <w:sz w:val="18"/>
                <w:szCs w:val="20"/>
              </w:rPr>
              <w:t>OP</w:t>
            </w:r>
          </w:p>
        </w:tc>
        <w:tc>
          <w:tcPr>
            <w:tcW w:w="471" w:type="pct"/>
            <w:vAlign w:val="center"/>
          </w:tcPr>
          <w:p w14:paraId="1E76FC96" w14:textId="77777777" w:rsidR="001E1E34" w:rsidRPr="00E24BD3" w:rsidRDefault="001E1E34" w:rsidP="00DF64C7">
            <w:pPr>
              <w:jc w:val="left"/>
              <w:cnfStyle w:val="100000000000" w:firstRow="1" w:lastRow="0" w:firstColumn="0" w:lastColumn="0" w:oddVBand="0" w:evenVBand="0" w:oddHBand="0" w:evenHBand="0" w:firstRowFirstColumn="0" w:firstRowLastColumn="0" w:lastRowFirstColumn="0" w:lastRowLastColumn="0"/>
              <w:rPr>
                <w:rFonts w:cstheme="minorHAnsi"/>
                <w:sz w:val="18"/>
                <w:szCs w:val="20"/>
              </w:rPr>
            </w:pPr>
            <w:r w:rsidRPr="00E24BD3">
              <w:rPr>
                <w:rFonts w:cstheme="minorHAnsi"/>
                <w:sz w:val="18"/>
                <w:szCs w:val="20"/>
              </w:rPr>
              <w:t>Wartość docelowa 2019</w:t>
            </w:r>
          </w:p>
        </w:tc>
        <w:tc>
          <w:tcPr>
            <w:tcW w:w="504" w:type="pct"/>
            <w:vAlign w:val="center"/>
          </w:tcPr>
          <w:p w14:paraId="55C4C2F5" w14:textId="77777777" w:rsidR="001E1E34" w:rsidRPr="00E24BD3" w:rsidRDefault="001E1E34" w:rsidP="00DF64C7">
            <w:pPr>
              <w:jc w:val="left"/>
              <w:cnfStyle w:val="100000000000" w:firstRow="1" w:lastRow="0" w:firstColumn="0" w:lastColumn="0" w:oddVBand="0" w:evenVBand="0" w:oddHBand="0" w:evenHBand="0" w:firstRowFirstColumn="0" w:firstRowLastColumn="0" w:lastRowFirstColumn="0" w:lastRowLastColumn="0"/>
              <w:rPr>
                <w:rFonts w:cstheme="minorHAnsi"/>
                <w:sz w:val="18"/>
                <w:szCs w:val="20"/>
              </w:rPr>
            </w:pPr>
            <w:r w:rsidRPr="00E24BD3">
              <w:rPr>
                <w:rFonts w:cstheme="minorHAnsi"/>
                <w:sz w:val="18"/>
                <w:szCs w:val="20"/>
              </w:rPr>
              <w:t>Wartość docelowa 2023</w:t>
            </w:r>
          </w:p>
        </w:tc>
        <w:tc>
          <w:tcPr>
            <w:tcW w:w="765" w:type="pct"/>
            <w:vAlign w:val="center"/>
          </w:tcPr>
          <w:p w14:paraId="7878213E" w14:textId="77777777" w:rsidR="001E1E34" w:rsidRPr="00E24BD3" w:rsidRDefault="001E1E34" w:rsidP="00DF64C7">
            <w:pPr>
              <w:jc w:val="left"/>
              <w:cnfStyle w:val="100000000000" w:firstRow="1" w:lastRow="0" w:firstColumn="0" w:lastColumn="0" w:oddVBand="0" w:evenVBand="0" w:oddHBand="0" w:evenHBand="0" w:firstRowFirstColumn="0" w:firstRowLastColumn="0" w:lastRowFirstColumn="0" w:lastRowLastColumn="0"/>
              <w:rPr>
                <w:rFonts w:cstheme="minorHAnsi"/>
                <w:sz w:val="18"/>
                <w:szCs w:val="20"/>
              </w:rPr>
            </w:pPr>
            <w:r w:rsidRPr="00E24BD3">
              <w:rPr>
                <w:rFonts w:cstheme="minorHAnsi"/>
                <w:sz w:val="18"/>
                <w:szCs w:val="20"/>
              </w:rPr>
              <w:t>Wartość wskaźnika na podstawie zatwierdzonych wniosków o płatność</w:t>
            </w:r>
            <w:r w:rsidR="00FF21BC" w:rsidRPr="00E24BD3">
              <w:rPr>
                <w:rFonts w:cstheme="minorHAnsi"/>
                <w:sz w:val="18"/>
                <w:szCs w:val="20"/>
              </w:rPr>
              <w:t xml:space="preserve"> (w EUR)</w:t>
            </w:r>
          </w:p>
        </w:tc>
        <w:tc>
          <w:tcPr>
            <w:tcW w:w="569" w:type="pct"/>
            <w:vAlign w:val="center"/>
          </w:tcPr>
          <w:p w14:paraId="33A04B79" w14:textId="77777777" w:rsidR="001E1E34" w:rsidRPr="00E24BD3" w:rsidRDefault="001E1E34" w:rsidP="00DF64C7">
            <w:pPr>
              <w:jc w:val="left"/>
              <w:cnfStyle w:val="100000000000" w:firstRow="1" w:lastRow="0" w:firstColumn="0" w:lastColumn="0" w:oddVBand="0" w:evenVBand="0" w:oddHBand="0" w:evenHBand="0" w:firstRowFirstColumn="0" w:firstRowLastColumn="0" w:lastRowFirstColumn="0" w:lastRowLastColumn="0"/>
              <w:rPr>
                <w:rFonts w:cstheme="minorHAnsi"/>
                <w:sz w:val="18"/>
                <w:szCs w:val="20"/>
              </w:rPr>
            </w:pPr>
            <w:r w:rsidRPr="00E24BD3">
              <w:rPr>
                <w:rFonts w:cstheme="minorHAnsi"/>
                <w:sz w:val="18"/>
                <w:szCs w:val="20"/>
              </w:rPr>
              <w:t>2019 (%)</w:t>
            </w:r>
          </w:p>
        </w:tc>
        <w:tc>
          <w:tcPr>
            <w:tcW w:w="521" w:type="pct"/>
            <w:vAlign w:val="center"/>
          </w:tcPr>
          <w:p w14:paraId="277C35DA" w14:textId="77777777" w:rsidR="001E1E34" w:rsidRPr="00E24BD3" w:rsidRDefault="001E1E34" w:rsidP="00DF64C7">
            <w:pPr>
              <w:jc w:val="left"/>
              <w:cnfStyle w:val="100000000000" w:firstRow="1" w:lastRow="0" w:firstColumn="0" w:lastColumn="0" w:oddVBand="0" w:evenVBand="0" w:oddHBand="0" w:evenHBand="0" w:firstRowFirstColumn="0" w:firstRowLastColumn="0" w:lastRowFirstColumn="0" w:lastRowLastColumn="0"/>
              <w:rPr>
                <w:rFonts w:cstheme="minorHAnsi"/>
                <w:sz w:val="18"/>
                <w:szCs w:val="20"/>
              </w:rPr>
            </w:pPr>
            <w:r w:rsidRPr="00E24BD3">
              <w:rPr>
                <w:rFonts w:cstheme="minorHAnsi"/>
                <w:sz w:val="18"/>
                <w:szCs w:val="20"/>
              </w:rPr>
              <w:t>2023 (%)</w:t>
            </w:r>
          </w:p>
        </w:tc>
        <w:tc>
          <w:tcPr>
            <w:tcW w:w="695" w:type="pct"/>
            <w:vAlign w:val="center"/>
          </w:tcPr>
          <w:p w14:paraId="632ABE51" w14:textId="77777777" w:rsidR="001E1E34" w:rsidRPr="00E24BD3" w:rsidRDefault="001E1E34" w:rsidP="00DF64C7">
            <w:pPr>
              <w:jc w:val="left"/>
              <w:cnfStyle w:val="100000000000" w:firstRow="1" w:lastRow="0" w:firstColumn="0" w:lastColumn="0" w:oddVBand="0" w:evenVBand="0" w:oddHBand="0" w:evenHBand="0" w:firstRowFirstColumn="0" w:firstRowLastColumn="0" w:lastRowFirstColumn="0" w:lastRowLastColumn="0"/>
              <w:rPr>
                <w:rFonts w:cstheme="minorHAnsi"/>
                <w:sz w:val="18"/>
                <w:szCs w:val="20"/>
              </w:rPr>
            </w:pPr>
            <w:r w:rsidRPr="00E24BD3">
              <w:rPr>
                <w:rFonts w:cstheme="minorHAnsi"/>
                <w:sz w:val="18"/>
                <w:szCs w:val="20"/>
              </w:rPr>
              <w:t>Realizacja wskaźnika (certyfikacja</w:t>
            </w:r>
            <w:r w:rsidR="00FF21BC" w:rsidRPr="00E24BD3">
              <w:rPr>
                <w:rFonts w:cstheme="minorHAnsi"/>
                <w:sz w:val="18"/>
                <w:szCs w:val="20"/>
              </w:rPr>
              <w:t xml:space="preserve"> w EUR</w:t>
            </w:r>
            <w:r w:rsidRPr="00E24BD3">
              <w:rPr>
                <w:rFonts w:cstheme="minorHAnsi"/>
                <w:sz w:val="18"/>
                <w:szCs w:val="20"/>
              </w:rPr>
              <w:t>)</w:t>
            </w:r>
          </w:p>
        </w:tc>
        <w:tc>
          <w:tcPr>
            <w:tcW w:w="569" w:type="pct"/>
            <w:vAlign w:val="center"/>
          </w:tcPr>
          <w:p w14:paraId="79D40642" w14:textId="77777777" w:rsidR="001E1E34" w:rsidRPr="00E24BD3" w:rsidRDefault="001E1E34" w:rsidP="00DF64C7">
            <w:pPr>
              <w:jc w:val="left"/>
              <w:cnfStyle w:val="100000000000" w:firstRow="1" w:lastRow="0" w:firstColumn="0" w:lastColumn="0" w:oddVBand="0" w:evenVBand="0" w:oddHBand="0" w:evenHBand="0" w:firstRowFirstColumn="0" w:firstRowLastColumn="0" w:lastRowFirstColumn="0" w:lastRowLastColumn="0"/>
              <w:rPr>
                <w:rFonts w:cstheme="minorHAnsi"/>
                <w:sz w:val="18"/>
                <w:szCs w:val="20"/>
              </w:rPr>
            </w:pPr>
            <w:r w:rsidRPr="00E24BD3">
              <w:rPr>
                <w:rFonts w:cstheme="minorHAnsi"/>
                <w:sz w:val="18"/>
                <w:szCs w:val="20"/>
              </w:rPr>
              <w:t>2019 (%)</w:t>
            </w:r>
          </w:p>
        </w:tc>
        <w:tc>
          <w:tcPr>
            <w:tcW w:w="521" w:type="pct"/>
            <w:vAlign w:val="center"/>
          </w:tcPr>
          <w:p w14:paraId="56011433" w14:textId="77777777" w:rsidR="001E1E34" w:rsidRPr="00E24BD3" w:rsidRDefault="001E1E34" w:rsidP="00DF64C7">
            <w:pPr>
              <w:jc w:val="left"/>
              <w:cnfStyle w:val="100000000000" w:firstRow="1" w:lastRow="0" w:firstColumn="0" w:lastColumn="0" w:oddVBand="0" w:evenVBand="0" w:oddHBand="0" w:evenHBand="0" w:firstRowFirstColumn="0" w:firstRowLastColumn="0" w:lastRowFirstColumn="0" w:lastRowLastColumn="0"/>
              <w:rPr>
                <w:rFonts w:cstheme="minorHAnsi"/>
                <w:sz w:val="18"/>
                <w:szCs w:val="20"/>
              </w:rPr>
            </w:pPr>
            <w:r w:rsidRPr="00E24BD3">
              <w:rPr>
                <w:rFonts w:cstheme="minorHAnsi"/>
                <w:sz w:val="18"/>
                <w:szCs w:val="20"/>
              </w:rPr>
              <w:t>2023 (%)</w:t>
            </w:r>
          </w:p>
        </w:tc>
      </w:tr>
      <w:tr w:rsidR="001E1E34" w:rsidRPr="0036452C" w14:paraId="7AED7116" w14:textId="77777777" w:rsidTr="004D161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6" w:type="pct"/>
          </w:tcPr>
          <w:p w14:paraId="3EDCB3C8" w14:textId="77777777" w:rsidR="001E1E34" w:rsidRPr="0036452C" w:rsidRDefault="001E1E34" w:rsidP="00DF64C7">
            <w:pPr>
              <w:jc w:val="left"/>
              <w:rPr>
                <w:rFonts w:cstheme="minorHAnsi"/>
                <w:color w:val="000000" w:themeColor="text1"/>
                <w:sz w:val="18"/>
                <w:szCs w:val="20"/>
              </w:rPr>
            </w:pPr>
            <w:r w:rsidRPr="0036452C">
              <w:rPr>
                <w:rFonts w:cstheme="minorHAnsi"/>
                <w:color w:val="000000" w:themeColor="text1"/>
                <w:sz w:val="18"/>
                <w:szCs w:val="20"/>
              </w:rPr>
              <w:t>XI</w:t>
            </w:r>
          </w:p>
        </w:tc>
        <w:tc>
          <w:tcPr>
            <w:tcW w:w="471" w:type="pct"/>
          </w:tcPr>
          <w:p w14:paraId="33E9CFC2" w14:textId="77777777" w:rsidR="001E1E34" w:rsidRPr="0036452C" w:rsidRDefault="001E1E34" w:rsidP="003E5E36">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36452C">
              <w:rPr>
                <w:rFonts w:cstheme="minorHAnsi"/>
                <w:color w:val="000000" w:themeColor="text1"/>
                <w:sz w:val="18"/>
                <w:szCs w:val="20"/>
              </w:rPr>
              <w:t>55 884 092</w:t>
            </w:r>
          </w:p>
        </w:tc>
        <w:tc>
          <w:tcPr>
            <w:tcW w:w="504" w:type="pct"/>
          </w:tcPr>
          <w:p w14:paraId="2BD416A0" w14:textId="77777777" w:rsidR="001E1E34" w:rsidRPr="0036452C" w:rsidRDefault="001E1E34" w:rsidP="003E5E36">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36452C">
              <w:rPr>
                <w:rFonts w:cstheme="minorHAnsi"/>
                <w:color w:val="000000" w:themeColor="text1"/>
                <w:sz w:val="18"/>
                <w:szCs w:val="20"/>
              </w:rPr>
              <w:t>229 287 231</w:t>
            </w:r>
          </w:p>
        </w:tc>
        <w:tc>
          <w:tcPr>
            <w:tcW w:w="765" w:type="pct"/>
          </w:tcPr>
          <w:p w14:paraId="0274C71A" w14:textId="77777777" w:rsidR="001E1E34" w:rsidRPr="0036452C" w:rsidRDefault="001E1E34" w:rsidP="003E5E36">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36452C">
              <w:rPr>
                <w:rFonts w:cstheme="minorHAnsi"/>
                <w:color w:val="000000" w:themeColor="text1"/>
                <w:sz w:val="18"/>
                <w:szCs w:val="20"/>
              </w:rPr>
              <w:t>79 885 889</w:t>
            </w:r>
          </w:p>
        </w:tc>
        <w:tc>
          <w:tcPr>
            <w:tcW w:w="569" w:type="pct"/>
          </w:tcPr>
          <w:p w14:paraId="5506F527" w14:textId="77777777" w:rsidR="001E1E34" w:rsidRPr="0036452C" w:rsidRDefault="001E1E34" w:rsidP="003E5E36">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36452C">
              <w:rPr>
                <w:rFonts w:cstheme="minorHAnsi"/>
                <w:color w:val="000000" w:themeColor="text1"/>
                <w:sz w:val="18"/>
                <w:szCs w:val="20"/>
              </w:rPr>
              <w:t>142,9%</w:t>
            </w:r>
          </w:p>
        </w:tc>
        <w:tc>
          <w:tcPr>
            <w:tcW w:w="521" w:type="pct"/>
          </w:tcPr>
          <w:p w14:paraId="06F7C8AB" w14:textId="77777777" w:rsidR="001E1E34" w:rsidRPr="0036452C" w:rsidRDefault="001E1E34" w:rsidP="003E5E36">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36452C">
              <w:rPr>
                <w:rFonts w:cstheme="minorHAnsi"/>
                <w:color w:val="000000" w:themeColor="text1"/>
                <w:sz w:val="18"/>
                <w:szCs w:val="20"/>
              </w:rPr>
              <w:t>34,8%</w:t>
            </w:r>
          </w:p>
        </w:tc>
        <w:tc>
          <w:tcPr>
            <w:tcW w:w="695" w:type="pct"/>
          </w:tcPr>
          <w:p w14:paraId="6AD9F706" w14:textId="77777777" w:rsidR="001E1E34" w:rsidRPr="0036452C" w:rsidRDefault="001E1E34" w:rsidP="003E5E36">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36452C">
              <w:rPr>
                <w:rFonts w:cstheme="minorHAnsi"/>
                <w:bCs/>
                <w:color w:val="000000" w:themeColor="text1"/>
                <w:sz w:val="18"/>
                <w:szCs w:val="20"/>
              </w:rPr>
              <w:t xml:space="preserve"> 69 110 135 </w:t>
            </w:r>
          </w:p>
        </w:tc>
        <w:tc>
          <w:tcPr>
            <w:tcW w:w="569" w:type="pct"/>
          </w:tcPr>
          <w:p w14:paraId="46E69625" w14:textId="77777777" w:rsidR="001E1E34" w:rsidRPr="0036452C" w:rsidRDefault="001E1E34" w:rsidP="003E5E36">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36452C">
              <w:rPr>
                <w:rFonts w:cstheme="minorHAnsi"/>
                <w:color w:val="000000" w:themeColor="text1"/>
                <w:sz w:val="18"/>
                <w:szCs w:val="20"/>
              </w:rPr>
              <w:t>123,7%</w:t>
            </w:r>
          </w:p>
        </w:tc>
        <w:tc>
          <w:tcPr>
            <w:tcW w:w="521" w:type="pct"/>
          </w:tcPr>
          <w:p w14:paraId="171AD1C0" w14:textId="77777777" w:rsidR="001E1E34" w:rsidRPr="0036452C" w:rsidRDefault="001E1E34" w:rsidP="003E5E36">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20"/>
              </w:rPr>
            </w:pPr>
            <w:r w:rsidRPr="0036452C">
              <w:rPr>
                <w:rFonts w:cstheme="minorHAnsi"/>
                <w:color w:val="000000" w:themeColor="text1"/>
                <w:sz w:val="18"/>
                <w:szCs w:val="20"/>
              </w:rPr>
              <w:t>30,1%</w:t>
            </w:r>
          </w:p>
        </w:tc>
      </w:tr>
      <w:tr w:rsidR="001E1E34" w:rsidRPr="0036452C" w14:paraId="29E4C5E3" w14:textId="77777777" w:rsidTr="004D161C">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6" w:type="pct"/>
          </w:tcPr>
          <w:p w14:paraId="02185DFE" w14:textId="77777777" w:rsidR="001E1E34" w:rsidRPr="00E24BD3" w:rsidRDefault="001E1E34" w:rsidP="00DF64C7">
            <w:pPr>
              <w:jc w:val="left"/>
              <w:rPr>
                <w:rFonts w:cstheme="minorHAnsi"/>
                <w:color w:val="000000" w:themeColor="text1"/>
                <w:sz w:val="18"/>
                <w:szCs w:val="20"/>
              </w:rPr>
            </w:pPr>
            <w:r w:rsidRPr="00E24BD3">
              <w:rPr>
                <w:rFonts w:cstheme="minorHAnsi"/>
                <w:color w:val="000000" w:themeColor="text1"/>
                <w:sz w:val="18"/>
                <w:szCs w:val="20"/>
              </w:rPr>
              <w:t>XII</w:t>
            </w:r>
          </w:p>
        </w:tc>
        <w:tc>
          <w:tcPr>
            <w:tcW w:w="471" w:type="pct"/>
          </w:tcPr>
          <w:p w14:paraId="7BDA9CA1" w14:textId="77777777" w:rsidR="001E1E34" w:rsidRPr="00E24BD3" w:rsidRDefault="001E1E34" w:rsidP="003E5E36">
            <w:pPr>
              <w:jc w:val="righ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20"/>
              </w:rPr>
            </w:pPr>
            <w:r w:rsidRPr="00E24BD3">
              <w:rPr>
                <w:rFonts w:cstheme="minorHAnsi"/>
                <w:color w:val="000000" w:themeColor="text1"/>
                <w:sz w:val="18"/>
                <w:szCs w:val="20"/>
              </w:rPr>
              <w:t>29 940 772</w:t>
            </w:r>
          </w:p>
        </w:tc>
        <w:tc>
          <w:tcPr>
            <w:tcW w:w="504" w:type="pct"/>
          </w:tcPr>
          <w:p w14:paraId="0CB7D803" w14:textId="77777777" w:rsidR="001E1E34" w:rsidRPr="00E24BD3" w:rsidRDefault="001E1E34" w:rsidP="003E5E36">
            <w:pPr>
              <w:jc w:val="righ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20"/>
              </w:rPr>
            </w:pPr>
            <w:r w:rsidRPr="00E24BD3">
              <w:rPr>
                <w:rFonts w:cstheme="minorHAnsi"/>
                <w:color w:val="000000" w:themeColor="text1"/>
                <w:sz w:val="18"/>
                <w:szCs w:val="20"/>
              </w:rPr>
              <w:t>95 412 345</w:t>
            </w:r>
          </w:p>
        </w:tc>
        <w:tc>
          <w:tcPr>
            <w:tcW w:w="765" w:type="pct"/>
          </w:tcPr>
          <w:p w14:paraId="03E69787" w14:textId="77777777" w:rsidR="001E1E34" w:rsidRPr="00E24BD3" w:rsidRDefault="001E1E34" w:rsidP="003E5E36">
            <w:pPr>
              <w:jc w:val="righ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20"/>
              </w:rPr>
            </w:pPr>
            <w:r w:rsidRPr="00E24BD3">
              <w:rPr>
                <w:rFonts w:cstheme="minorHAnsi"/>
                <w:color w:val="000000" w:themeColor="text1"/>
                <w:sz w:val="18"/>
                <w:szCs w:val="20"/>
              </w:rPr>
              <w:t>47 268 881</w:t>
            </w:r>
          </w:p>
        </w:tc>
        <w:tc>
          <w:tcPr>
            <w:tcW w:w="569" w:type="pct"/>
          </w:tcPr>
          <w:p w14:paraId="404FBE81" w14:textId="77777777" w:rsidR="001E1E34" w:rsidRPr="00E24BD3" w:rsidRDefault="001E1E34" w:rsidP="003E5E36">
            <w:pPr>
              <w:jc w:val="righ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20"/>
              </w:rPr>
            </w:pPr>
            <w:r w:rsidRPr="00E24BD3">
              <w:rPr>
                <w:rFonts w:cstheme="minorHAnsi"/>
                <w:color w:val="000000" w:themeColor="text1"/>
                <w:sz w:val="18"/>
                <w:szCs w:val="20"/>
              </w:rPr>
              <w:t>157,9%</w:t>
            </w:r>
          </w:p>
        </w:tc>
        <w:tc>
          <w:tcPr>
            <w:tcW w:w="521" w:type="pct"/>
          </w:tcPr>
          <w:p w14:paraId="4E4C3800" w14:textId="77777777" w:rsidR="001E1E34" w:rsidRPr="00E24BD3" w:rsidRDefault="001E1E34" w:rsidP="003E5E36">
            <w:pPr>
              <w:jc w:val="righ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20"/>
              </w:rPr>
            </w:pPr>
            <w:r w:rsidRPr="00E24BD3">
              <w:rPr>
                <w:rFonts w:cstheme="minorHAnsi"/>
                <w:color w:val="000000" w:themeColor="text1"/>
                <w:sz w:val="18"/>
                <w:szCs w:val="20"/>
              </w:rPr>
              <w:t>49,5%</w:t>
            </w:r>
          </w:p>
        </w:tc>
        <w:tc>
          <w:tcPr>
            <w:tcW w:w="695" w:type="pct"/>
          </w:tcPr>
          <w:p w14:paraId="5D0D295F" w14:textId="77777777" w:rsidR="001E1E34" w:rsidRPr="00E24BD3" w:rsidRDefault="001E1E34" w:rsidP="003E5E36">
            <w:pPr>
              <w:jc w:val="righ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20"/>
              </w:rPr>
            </w:pPr>
            <w:r w:rsidRPr="00E24BD3">
              <w:rPr>
                <w:rFonts w:cstheme="minorHAnsi"/>
                <w:bCs/>
                <w:color w:val="000000" w:themeColor="text1"/>
                <w:sz w:val="18"/>
                <w:szCs w:val="20"/>
              </w:rPr>
              <w:t xml:space="preserve"> 44 873 148 </w:t>
            </w:r>
          </w:p>
        </w:tc>
        <w:tc>
          <w:tcPr>
            <w:tcW w:w="569" w:type="pct"/>
          </w:tcPr>
          <w:p w14:paraId="5CF90564" w14:textId="77777777" w:rsidR="001E1E34" w:rsidRPr="00E24BD3" w:rsidRDefault="001E1E34" w:rsidP="003E5E36">
            <w:pPr>
              <w:jc w:val="righ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20"/>
              </w:rPr>
            </w:pPr>
            <w:r w:rsidRPr="00E24BD3">
              <w:rPr>
                <w:rFonts w:cstheme="minorHAnsi"/>
                <w:color w:val="000000" w:themeColor="text1"/>
                <w:sz w:val="18"/>
                <w:szCs w:val="20"/>
              </w:rPr>
              <w:t>149,9%</w:t>
            </w:r>
          </w:p>
        </w:tc>
        <w:tc>
          <w:tcPr>
            <w:tcW w:w="521" w:type="pct"/>
          </w:tcPr>
          <w:p w14:paraId="5850AC09" w14:textId="77777777" w:rsidR="001E1E34" w:rsidRPr="00E24BD3" w:rsidRDefault="001E1E34" w:rsidP="003E5E36">
            <w:pPr>
              <w:jc w:val="righ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20"/>
              </w:rPr>
            </w:pPr>
            <w:r w:rsidRPr="00E24BD3">
              <w:rPr>
                <w:rFonts w:cstheme="minorHAnsi"/>
                <w:color w:val="000000" w:themeColor="text1"/>
                <w:sz w:val="18"/>
                <w:szCs w:val="20"/>
              </w:rPr>
              <w:t>47,0%</w:t>
            </w:r>
          </w:p>
        </w:tc>
      </w:tr>
    </w:tbl>
    <w:p w14:paraId="48886F87" w14:textId="77777777" w:rsidR="001E1E34" w:rsidRDefault="001E1E34" w:rsidP="00DF64C7">
      <w:pPr>
        <w:pStyle w:val="podpisrdailustracji"/>
        <w:spacing w:line="271" w:lineRule="auto"/>
        <w:jc w:val="left"/>
      </w:pPr>
      <w:r>
        <w:t xml:space="preserve">Źródło: opracowanie własne na podstawie danych </w:t>
      </w:r>
      <w:r w:rsidR="00D02495">
        <w:t>SL</w:t>
      </w:r>
      <w:r>
        <w:t xml:space="preserve">2014 </w:t>
      </w:r>
      <w:r w:rsidRPr="00AB5D0E">
        <w:t xml:space="preserve">(data dostępu: </w:t>
      </w:r>
      <w:r w:rsidR="00FF21BC">
        <w:t>1</w:t>
      </w:r>
      <w:r w:rsidRPr="00AB5D0E">
        <w:t>.</w:t>
      </w:r>
      <w:r w:rsidR="00FF21BC">
        <w:t>10</w:t>
      </w:r>
      <w:r w:rsidRPr="00AB5D0E">
        <w:t>.2019 r.).</w:t>
      </w:r>
    </w:p>
    <w:p w14:paraId="352B749F" w14:textId="77777777" w:rsidR="001E1E34" w:rsidRDefault="001E1E34" w:rsidP="00DF64C7">
      <w:pPr>
        <w:jc w:val="left"/>
      </w:pPr>
      <w:r>
        <w:t>Poniższa tabela przedstawia z kolei wskaźniki rezultatu strategicznego określone dla działań realizowanych w ramach OP XII.</w:t>
      </w:r>
    </w:p>
    <w:p w14:paraId="5F25C4C9" w14:textId="77777777" w:rsidR="001E1E34" w:rsidRDefault="001E1E34" w:rsidP="00DF64C7">
      <w:pPr>
        <w:pStyle w:val="Legenda"/>
        <w:spacing w:line="271" w:lineRule="auto"/>
        <w:jc w:val="left"/>
      </w:pPr>
      <w:r>
        <w:t>Tabela</w:t>
      </w:r>
      <w:r w:rsidR="003171F9">
        <w:t xml:space="preserve"> 40</w:t>
      </w:r>
      <w:r>
        <w:rPr>
          <w:noProof/>
        </w:rPr>
        <w:t>.</w:t>
      </w:r>
      <w:r>
        <w:t xml:space="preserve"> Wskaźnik rezultatu strategicznego </w:t>
      </w:r>
      <w:r w:rsidRPr="004919C7">
        <w:t xml:space="preserve">w ramach OP </w:t>
      </w:r>
      <w:r>
        <w:t>XII</w:t>
      </w:r>
      <w:r w:rsidRPr="004919C7">
        <w:t xml:space="preserve"> RPO WS</w:t>
      </w:r>
      <w:r>
        <w:t>L</w:t>
      </w:r>
      <w:r w:rsidRPr="004919C7">
        <w:t xml:space="preserve"> 2014-2020</w:t>
      </w:r>
    </w:p>
    <w:tbl>
      <w:tblPr>
        <w:tblStyle w:val="redniasiatka3akcent6"/>
        <w:tblW w:w="5000" w:type="pct"/>
        <w:tblLook w:val="04A0" w:firstRow="1" w:lastRow="0" w:firstColumn="1" w:lastColumn="0" w:noHBand="0" w:noVBand="1"/>
        <w:tblDescription w:val="W tabeli przedstawiono odsetek dzieci w wieku 3-5 lat objętych wychowaniem przedszkolnym w woj. śląskim w latach 2016-2018. Wskazano w niej również wartość bazową z roku 2015 oraz wartość docelową na rok 2023."/>
      </w:tblPr>
      <w:tblGrid>
        <w:gridCol w:w="2240"/>
        <w:gridCol w:w="1479"/>
        <w:gridCol w:w="1278"/>
        <w:gridCol w:w="1434"/>
        <w:gridCol w:w="874"/>
        <w:gridCol w:w="874"/>
        <w:gridCol w:w="871"/>
      </w:tblGrid>
      <w:tr w:rsidR="001E1E34" w:rsidRPr="00457B63" w14:paraId="29D79D6F" w14:textId="77777777" w:rsidTr="004D161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238" w:type="pct"/>
          </w:tcPr>
          <w:p w14:paraId="46FB48BB" w14:textId="77777777" w:rsidR="001E1E34" w:rsidRPr="00457B63" w:rsidRDefault="001E1E34" w:rsidP="00DF64C7">
            <w:pPr>
              <w:keepNext/>
              <w:jc w:val="left"/>
              <w:rPr>
                <w:rFonts w:cs="Arial"/>
                <w:b w:val="0"/>
                <w:sz w:val="20"/>
                <w:szCs w:val="20"/>
              </w:rPr>
            </w:pPr>
            <w:r w:rsidRPr="00457B63">
              <w:rPr>
                <w:rFonts w:cs="Arial"/>
                <w:sz w:val="20"/>
                <w:szCs w:val="20"/>
              </w:rPr>
              <w:t>Wskaźnik</w:t>
            </w:r>
          </w:p>
        </w:tc>
        <w:tc>
          <w:tcPr>
            <w:tcW w:w="817" w:type="pct"/>
          </w:tcPr>
          <w:p w14:paraId="3122157C" w14:textId="77777777" w:rsidR="001E1E34" w:rsidRPr="00457B63" w:rsidRDefault="001E1E34"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Jednostka miary</w:t>
            </w:r>
          </w:p>
        </w:tc>
        <w:tc>
          <w:tcPr>
            <w:tcW w:w="706" w:type="pct"/>
          </w:tcPr>
          <w:p w14:paraId="039F10F0" w14:textId="77777777" w:rsidR="001E1E34" w:rsidRPr="00457B63" w:rsidRDefault="001E1E34"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Wartość bazowa</w:t>
            </w:r>
          </w:p>
          <w:p w14:paraId="08598754" w14:textId="77777777" w:rsidR="001E1E34" w:rsidRPr="00457B63" w:rsidRDefault="001E1E34"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(2015 r.)</w:t>
            </w:r>
          </w:p>
        </w:tc>
        <w:tc>
          <w:tcPr>
            <w:tcW w:w="792" w:type="pct"/>
          </w:tcPr>
          <w:p w14:paraId="6DA96792" w14:textId="77777777" w:rsidR="001E1E34" w:rsidRPr="00457B63" w:rsidRDefault="001E1E34"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57B63">
              <w:rPr>
                <w:rFonts w:cs="Arial"/>
                <w:sz w:val="20"/>
                <w:szCs w:val="20"/>
              </w:rPr>
              <w:t>Wartość docelowa</w:t>
            </w:r>
          </w:p>
          <w:p w14:paraId="16F745E0" w14:textId="77777777" w:rsidR="001E1E34" w:rsidRPr="00CE2A50" w:rsidRDefault="001E1E34" w:rsidP="00DF64C7">
            <w:pPr>
              <w:keepNext/>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CE2A50">
              <w:rPr>
                <w:rFonts w:cs="Arial"/>
                <w:sz w:val="20"/>
                <w:szCs w:val="20"/>
              </w:rPr>
              <w:t>(2023 r.)</w:t>
            </w:r>
          </w:p>
        </w:tc>
        <w:tc>
          <w:tcPr>
            <w:tcW w:w="483" w:type="pct"/>
          </w:tcPr>
          <w:p w14:paraId="27406357" w14:textId="77777777" w:rsidR="001E1E34" w:rsidRPr="00457B63" w:rsidRDefault="001E1E34"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2016</w:t>
            </w:r>
          </w:p>
        </w:tc>
        <w:tc>
          <w:tcPr>
            <w:tcW w:w="483" w:type="pct"/>
          </w:tcPr>
          <w:p w14:paraId="6C2FC696" w14:textId="77777777" w:rsidR="001E1E34" w:rsidRPr="00457B63" w:rsidRDefault="001E1E34"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2017</w:t>
            </w:r>
          </w:p>
        </w:tc>
        <w:tc>
          <w:tcPr>
            <w:tcW w:w="483" w:type="pct"/>
          </w:tcPr>
          <w:p w14:paraId="7FE25B5B" w14:textId="77777777" w:rsidR="001E1E34" w:rsidRPr="00457B63" w:rsidRDefault="001E1E34" w:rsidP="00DF64C7">
            <w:pPr>
              <w:keepNext/>
              <w:jc w:val="left"/>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57B63">
              <w:rPr>
                <w:rFonts w:cs="Arial"/>
                <w:sz w:val="20"/>
                <w:szCs w:val="20"/>
              </w:rPr>
              <w:t>2018</w:t>
            </w:r>
          </w:p>
        </w:tc>
      </w:tr>
      <w:tr w:rsidR="001E1E34" w:rsidRPr="00457B63" w14:paraId="3034610F" w14:textId="77777777" w:rsidTr="004D161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38" w:type="pct"/>
          </w:tcPr>
          <w:p w14:paraId="4FBF6A0A" w14:textId="77777777" w:rsidR="001E1E34" w:rsidRPr="00457B63" w:rsidRDefault="001E1E34" w:rsidP="00DF64C7">
            <w:pPr>
              <w:pStyle w:val="Default"/>
              <w:spacing w:after="0" w:line="271" w:lineRule="auto"/>
              <w:rPr>
                <w:b w:val="0"/>
                <w:sz w:val="20"/>
                <w:szCs w:val="20"/>
              </w:rPr>
            </w:pPr>
            <w:r w:rsidRPr="007E37EA">
              <w:rPr>
                <w:b w:val="0"/>
                <w:color w:val="FFFFFF" w:themeColor="background1"/>
                <w:sz w:val="20"/>
                <w:szCs w:val="20"/>
              </w:rPr>
              <w:t>Odsetek dzieci w wieku 3-5 lat objętych wychowaniem przedszkolnym</w:t>
            </w:r>
          </w:p>
        </w:tc>
        <w:tc>
          <w:tcPr>
            <w:tcW w:w="817" w:type="pct"/>
          </w:tcPr>
          <w:p w14:paraId="7D53DCBE" w14:textId="77777777" w:rsidR="001E1E34" w:rsidRPr="00457B63" w:rsidRDefault="001E1E34"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w:t>
            </w:r>
          </w:p>
        </w:tc>
        <w:tc>
          <w:tcPr>
            <w:tcW w:w="706" w:type="pct"/>
          </w:tcPr>
          <w:p w14:paraId="1548606F" w14:textId="77777777" w:rsidR="001E1E34" w:rsidRPr="00457B63" w:rsidRDefault="001E1E34" w:rsidP="003E5E36">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87,90</w:t>
            </w:r>
          </w:p>
        </w:tc>
        <w:tc>
          <w:tcPr>
            <w:tcW w:w="792" w:type="pct"/>
          </w:tcPr>
          <w:p w14:paraId="14A83C19" w14:textId="77777777" w:rsidR="001E1E34" w:rsidRPr="00457B63" w:rsidRDefault="001E1E34" w:rsidP="003E5E36">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96,30</w:t>
            </w:r>
          </w:p>
        </w:tc>
        <w:tc>
          <w:tcPr>
            <w:tcW w:w="483" w:type="pct"/>
          </w:tcPr>
          <w:p w14:paraId="15164049" w14:textId="77777777" w:rsidR="001E1E34" w:rsidRPr="00457B63" w:rsidRDefault="001E1E34" w:rsidP="003E5E36">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82,8</w:t>
            </w:r>
          </w:p>
        </w:tc>
        <w:tc>
          <w:tcPr>
            <w:tcW w:w="483" w:type="pct"/>
          </w:tcPr>
          <w:p w14:paraId="11ACE2A6" w14:textId="77777777" w:rsidR="001E1E34" w:rsidRPr="00457B63" w:rsidRDefault="001E1E34" w:rsidP="003E5E36">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86,4</w:t>
            </w:r>
          </w:p>
        </w:tc>
        <w:tc>
          <w:tcPr>
            <w:tcW w:w="483" w:type="pct"/>
          </w:tcPr>
          <w:p w14:paraId="307FC1A3" w14:textId="77777777" w:rsidR="001E1E34" w:rsidRPr="00457B63" w:rsidRDefault="001E1E34" w:rsidP="003E5E36">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457B63">
              <w:rPr>
                <w:rFonts w:cs="Arial"/>
                <w:sz w:val="20"/>
                <w:szCs w:val="20"/>
              </w:rPr>
              <w:t>89,0</w:t>
            </w:r>
          </w:p>
        </w:tc>
      </w:tr>
      <w:tr w:rsidR="001E1E34" w:rsidRPr="00457B63" w14:paraId="1FC39951" w14:textId="77777777" w:rsidTr="004D161C">
        <w:trPr>
          <w:trHeight w:val="397"/>
        </w:trPr>
        <w:tc>
          <w:tcPr>
            <w:cnfStyle w:val="001000000000" w:firstRow="0" w:lastRow="0" w:firstColumn="1" w:lastColumn="0" w:oddVBand="0" w:evenVBand="0" w:oddHBand="0" w:evenHBand="0" w:firstRowFirstColumn="0" w:firstRowLastColumn="0" w:lastRowFirstColumn="0" w:lastRowLastColumn="0"/>
            <w:tcW w:w="1238" w:type="pct"/>
            <w:tcBorders>
              <w:bottom w:val="single" w:sz="8" w:space="0" w:color="FFFFFF" w:themeColor="background1"/>
            </w:tcBorders>
          </w:tcPr>
          <w:p w14:paraId="647C43EE" w14:textId="77777777" w:rsidR="001E1E34" w:rsidRPr="007E37EA" w:rsidRDefault="001E1E34" w:rsidP="00DF64C7">
            <w:pPr>
              <w:pStyle w:val="Default"/>
              <w:spacing w:after="0" w:line="271" w:lineRule="auto"/>
              <w:rPr>
                <w:b w:val="0"/>
                <w:color w:val="FFFFFF" w:themeColor="background1"/>
                <w:sz w:val="20"/>
                <w:szCs w:val="20"/>
              </w:rPr>
            </w:pPr>
            <w:r w:rsidRPr="00846F83">
              <w:rPr>
                <w:b w:val="0"/>
                <w:color w:val="FFFFFF" w:themeColor="background1"/>
                <w:sz w:val="20"/>
                <w:szCs w:val="20"/>
              </w:rPr>
              <w:t>Zdawalność egzaminów zawodowych w województwie śląskim</w:t>
            </w:r>
          </w:p>
        </w:tc>
        <w:tc>
          <w:tcPr>
            <w:tcW w:w="81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14:paraId="0E46E63E" w14:textId="77777777" w:rsidR="001E1E34" w:rsidRPr="00457B63" w:rsidRDefault="001E1E34" w:rsidP="00DF64C7">
            <w:pPr>
              <w:keepNext/>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c>
          <w:tcPr>
            <w:tcW w:w="70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14:paraId="50FB97C3" w14:textId="77777777" w:rsidR="001E1E34" w:rsidRPr="00457B63" w:rsidRDefault="001E1E34" w:rsidP="003E5E36">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77,06</w:t>
            </w:r>
          </w:p>
        </w:tc>
        <w:tc>
          <w:tcPr>
            <w:tcW w:w="79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14:paraId="5EF9F95E" w14:textId="77777777" w:rsidR="001E1E34" w:rsidRPr="00457B63" w:rsidRDefault="001E1E34" w:rsidP="003E5E36">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85,04</w:t>
            </w:r>
          </w:p>
        </w:tc>
        <w:tc>
          <w:tcPr>
            <w:tcW w:w="4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14:paraId="36E069B5" w14:textId="77777777" w:rsidR="001E1E34" w:rsidRPr="00457B63" w:rsidRDefault="001E1E34" w:rsidP="003E5E36">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75,26</w:t>
            </w:r>
          </w:p>
        </w:tc>
        <w:tc>
          <w:tcPr>
            <w:tcW w:w="4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14:paraId="5A44276F" w14:textId="77777777" w:rsidR="001E1E34" w:rsidRPr="00457B63" w:rsidRDefault="001E1E34" w:rsidP="003E5E36">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77,33</w:t>
            </w:r>
          </w:p>
        </w:tc>
        <w:tc>
          <w:tcPr>
            <w:tcW w:w="4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14:paraId="03A9AFA2" w14:textId="77777777" w:rsidR="001E1E34" w:rsidRPr="00457B63" w:rsidRDefault="001E1E34" w:rsidP="003E5E36">
            <w:pPr>
              <w:keepNext/>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76,12</w:t>
            </w:r>
          </w:p>
        </w:tc>
      </w:tr>
      <w:tr w:rsidR="001E1E34" w:rsidRPr="00457B63" w14:paraId="6F8925E7" w14:textId="77777777" w:rsidTr="004D161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38" w:type="pct"/>
          </w:tcPr>
          <w:p w14:paraId="2DDD8C7F" w14:textId="77777777" w:rsidR="001E1E34" w:rsidRPr="007E37EA" w:rsidRDefault="001E1E34" w:rsidP="00DF64C7">
            <w:pPr>
              <w:pStyle w:val="Default"/>
              <w:spacing w:after="0" w:line="271" w:lineRule="auto"/>
              <w:rPr>
                <w:b w:val="0"/>
                <w:color w:val="FFFFFF" w:themeColor="background1"/>
                <w:sz w:val="20"/>
                <w:szCs w:val="20"/>
              </w:rPr>
            </w:pPr>
            <w:r w:rsidRPr="00846F83">
              <w:rPr>
                <w:b w:val="0"/>
                <w:color w:val="FFFFFF" w:themeColor="background1"/>
                <w:sz w:val="20"/>
                <w:szCs w:val="20"/>
              </w:rPr>
              <w:t>Liczba  osób odwiedzających  instytucje  paramuzealne,  w  tym  młodzież  szko</w:t>
            </w:r>
            <w:r>
              <w:rPr>
                <w:b w:val="0"/>
                <w:color w:val="FFFFFF" w:themeColor="background1"/>
                <w:sz w:val="20"/>
                <w:szCs w:val="20"/>
              </w:rPr>
              <w:t>lna  w  zorganizowanych grupach</w:t>
            </w:r>
          </w:p>
        </w:tc>
        <w:tc>
          <w:tcPr>
            <w:tcW w:w="817" w:type="pct"/>
          </w:tcPr>
          <w:p w14:paraId="2763B656" w14:textId="77777777" w:rsidR="001E1E34" w:rsidRPr="00457B63" w:rsidRDefault="001E1E34"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tys. osób</w:t>
            </w:r>
          </w:p>
        </w:tc>
        <w:tc>
          <w:tcPr>
            <w:tcW w:w="706" w:type="pct"/>
          </w:tcPr>
          <w:p w14:paraId="3756BEAF" w14:textId="77777777" w:rsidR="001E1E34" w:rsidRPr="00457B63" w:rsidRDefault="001E1E34" w:rsidP="003E5E36">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346,20</w:t>
            </w:r>
          </w:p>
        </w:tc>
        <w:tc>
          <w:tcPr>
            <w:tcW w:w="792" w:type="pct"/>
          </w:tcPr>
          <w:p w14:paraId="15DE1751" w14:textId="77777777" w:rsidR="001E1E34" w:rsidRPr="00457B63" w:rsidRDefault="001E1E34" w:rsidP="003E5E36">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587,70</w:t>
            </w:r>
          </w:p>
        </w:tc>
        <w:tc>
          <w:tcPr>
            <w:tcW w:w="483" w:type="pct"/>
          </w:tcPr>
          <w:p w14:paraId="04314CCE" w14:textId="77777777" w:rsidR="001E1E34" w:rsidRPr="00457B63" w:rsidRDefault="001E1E34" w:rsidP="003E5E36">
            <w:pPr>
              <w:keepNext/>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195,20</w:t>
            </w:r>
          </w:p>
        </w:tc>
        <w:tc>
          <w:tcPr>
            <w:tcW w:w="483" w:type="pct"/>
          </w:tcPr>
          <w:p w14:paraId="725C2E29" w14:textId="77777777" w:rsidR="001E1E34" w:rsidRPr="00457B63" w:rsidRDefault="001E1E34"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Brak danych</w:t>
            </w:r>
          </w:p>
        </w:tc>
        <w:tc>
          <w:tcPr>
            <w:tcW w:w="483" w:type="pct"/>
          </w:tcPr>
          <w:p w14:paraId="5563C4FE" w14:textId="77777777" w:rsidR="001E1E34" w:rsidRPr="00457B63" w:rsidRDefault="001E1E34" w:rsidP="00DF64C7">
            <w:pPr>
              <w:keepNext/>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Brak danych</w:t>
            </w:r>
          </w:p>
        </w:tc>
      </w:tr>
    </w:tbl>
    <w:p w14:paraId="7B8002C1" w14:textId="77777777" w:rsidR="001E1E34" w:rsidRDefault="001E1E34" w:rsidP="00DF64C7">
      <w:pPr>
        <w:pStyle w:val="podpisrdailustracji"/>
        <w:spacing w:line="271" w:lineRule="auto"/>
        <w:jc w:val="left"/>
      </w:pPr>
      <w:r>
        <w:t>Źródło: opracowanie własne na podstawie danych BDL GUS oraz Sprawozdań rocznych z wdrażania w ramach celu "Inwestycje na rzecz wzrostu gospodarczego i zatrudnienia”</w:t>
      </w:r>
    </w:p>
    <w:p w14:paraId="78F69F6B" w14:textId="77777777" w:rsidR="001E1E34" w:rsidRDefault="001E1E34" w:rsidP="00DF64C7">
      <w:pPr>
        <w:jc w:val="left"/>
      </w:pPr>
    </w:p>
    <w:p w14:paraId="284ECF13" w14:textId="77777777" w:rsidR="00325817" w:rsidRDefault="008415CD" w:rsidP="00DF64C7">
      <w:pPr>
        <w:jc w:val="left"/>
      </w:pPr>
      <w:r>
        <w:t>Badani b</w:t>
      </w:r>
      <w:r w:rsidR="008C4A2C">
        <w:t>eneficjenci oraz przedstawiciele IZ/IP w</w:t>
      </w:r>
      <w:r w:rsidR="002D704D">
        <w:t>śród problemów</w:t>
      </w:r>
      <w:r w:rsidR="008C4A2C">
        <w:t xml:space="preserve"> występujących</w:t>
      </w:r>
      <w:r w:rsidR="002D704D">
        <w:t xml:space="preserve"> podczas realizacji projektów </w:t>
      </w:r>
      <w:r w:rsidR="008C4A2C">
        <w:t>wymieniali</w:t>
      </w:r>
      <w:r w:rsidR="002D704D">
        <w:t xml:space="preserve"> wydłużenie terminu realizacji inwestycji w celu osiągnięcia zakładanych wsk</w:t>
      </w:r>
      <w:r w:rsidR="008D2398">
        <w:t>aźników projektów. Opóźnienia w </w:t>
      </w:r>
      <w:r w:rsidR="002D704D">
        <w:t xml:space="preserve">harmonogramie związane były m.in. z trudnościami we współpracy z podwykonawcami lub </w:t>
      </w:r>
      <w:r w:rsidR="00326281" w:rsidRPr="00326281">
        <w:t>koniecznością organizowania zamówień publicznych</w:t>
      </w:r>
      <w:r w:rsidR="00B00C6A">
        <w:t>, cechujących się przedłużającymi się procedurami</w:t>
      </w:r>
      <w:r w:rsidR="002D704D">
        <w:t xml:space="preserve">. </w:t>
      </w:r>
      <w:r w:rsidR="00F208D2">
        <w:t>Opiekunowie projektów wskazali jednak, że bieżący postęp we wdrażaniu realizowanych działań i tempo ich realizacji są optymalne, t</w:t>
      </w:r>
      <w:r w:rsidR="002D704D">
        <w:t xml:space="preserve">rudności nie powinny </w:t>
      </w:r>
      <w:r w:rsidR="00F208D2">
        <w:t>więc</w:t>
      </w:r>
      <w:r w:rsidR="002D704D">
        <w:t xml:space="preserve"> wpłynąć na realizację założonych celów. Odstępstwa dotyczyły również oszczędności uzyskanych przez projektodawców, dzięki czemu za zgodą Instytucji Zarządzającej, mogli oni dokonać aktualizacji założeń projektu by zwiększyć wskaźniki i zrealizować większą liczbę działań</w:t>
      </w:r>
      <w:r>
        <w:t xml:space="preserve"> (co korzystnie wpływa na perspektywę realizacji celów Programu (ogółem), pozwalając zredukować zagrożenia wynikające z ewentualnych problemów w osiąganiu zakładanych wartości wskaźników na poziomie niektórych projektów)</w:t>
      </w:r>
      <w:r w:rsidR="002D704D">
        <w:t>. Wskazywano tu m.in. na większą liczbę zrealizowanych kursów czy staży zawodowych dla uczniów, a także szkoleń skierowanych do nauczycieli.</w:t>
      </w:r>
    </w:p>
    <w:p w14:paraId="726AC179" w14:textId="77777777" w:rsidR="00D87EBC" w:rsidRDefault="00D87EBC" w:rsidP="00DF64C7">
      <w:pPr>
        <w:jc w:val="left"/>
      </w:pPr>
      <w:r>
        <w:t xml:space="preserve">Jeden z badanych przedstawicieli IZ zwrócił uwagę na zagrożenie nieosiągnięcia zakładanej wartości wskaźnika </w:t>
      </w:r>
      <w:r w:rsidRPr="00D87EBC">
        <w:t xml:space="preserve">Liczba podmiotów realizujących zadania centrum kształcenia zawodowego i ustawicznego objętych wsparciem w programie (wartość wg stanu na 2019 r. wyniosła 2, a docelowa (2023 r.) wynieść </w:t>
      </w:r>
      <w:r w:rsidR="00D4220A">
        <w:t>miała</w:t>
      </w:r>
      <w:r w:rsidRPr="00D87EBC">
        <w:t xml:space="preserve"> 35, wobec czego obecnie zrealizowano jedynie 6% zakładanej wartości).</w:t>
      </w:r>
      <w:r>
        <w:t xml:space="preserve"> Problem ten wynika</w:t>
      </w:r>
      <w:r w:rsidR="00D4220A">
        <w:t>ł</w:t>
      </w:r>
      <w:r>
        <w:t xml:space="preserve"> jednak z braku zainteresowania podmiotów, do których skierowane zostało w tym zakresie wsparcie, a sama trudność została przedstawiona Komisji Europejskiej w złożonym sprawozdaniu (z informacji uzyskanych z wywiadu z przedstawicielem IZ wynika, że wyjaśnienia zostały przyjęte, a </w:t>
      </w:r>
      <w:r w:rsidRPr="00D27F71">
        <w:rPr>
          <w:rFonts w:cs="Arial"/>
        </w:rPr>
        <w:t>niski stopień osiągnięcia</w:t>
      </w:r>
      <w:r>
        <w:rPr>
          <w:rFonts w:cs="Arial"/>
        </w:rPr>
        <w:t xml:space="preserve"> tego wskaźnika</w:t>
      </w:r>
      <w:r w:rsidRPr="00D27F71">
        <w:rPr>
          <w:rFonts w:cs="Arial"/>
        </w:rPr>
        <w:t xml:space="preserve"> nie wynika z nieprawidłowości po </w:t>
      </w:r>
      <w:r>
        <w:rPr>
          <w:rFonts w:cs="Arial"/>
        </w:rPr>
        <w:t>stronie IZ).</w:t>
      </w:r>
      <w:r w:rsidR="00D4220A">
        <w:rPr>
          <w:rFonts w:cs="Arial"/>
        </w:rPr>
        <w:t xml:space="preserve"> Ostatecznie dokonano zmiany wartości docelowej (z 35 na 2), wobec czego wskaźnik został już osiągnięty i nie występują zagrożenia w tym zakresie.</w:t>
      </w:r>
    </w:p>
    <w:p w14:paraId="048D3A4B" w14:textId="77777777" w:rsidR="00357502" w:rsidRDefault="008415CD" w:rsidP="00DF64C7">
      <w:pPr>
        <w:jc w:val="left"/>
      </w:pPr>
      <w:r>
        <w:t>Biorąc pod uwagę ogół udzielonych w trakcie wywiadów pogłębionych odpowiedzi, nie przewiduje się problemów w realizacji założonych celów szczegółowych Programu w badanym zakresie.</w:t>
      </w:r>
    </w:p>
    <w:p w14:paraId="39020220" w14:textId="77777777" w:rsidR="00922D47" w:rsidRDefault="00922D47" w:rsidP="00DF64C7">
      <w:pPr>
        <w:jc w:val="left"/>
      </w:pPr>
    </w:p>
    <w:p w14:paraId="1D1845EA" w14:textId="77777777" w:rsidR="006D2EDA" w:rsidRDefault="006D2EDA" w:rsidP="00DF64C7">
      <w:pPr>
        <w:jc w:val="left"/>
      </w:pPr>
      <w:r>
        <w:t>Poniżej zaprezentowano analizę prawdopodobieństwa osiągnięcia docelowych wartości wskaźników EFS i EFRR. Analiza została przeprowadzona zgodnie ze scenariuszami:</w:t>
      </w:r>
    </w:p>
    <w:p w14:paraId="473EF601" w14:textId="77777777" w:rsidR="006D2EDA" w:rsidRDefault="006D2EDA" w:rsidP="00DF64C7">
      <w:pPr>
        <w:pStyle w:val="Akapitzlist"/>
        <w:numPr>
          <w:ilvl w:val="0"/>
          <w:numId w:val="125"/>
        </w:numPr>
        <w:jc w:val="left"/>
      </w:pPr>
      <w:r>
        <w:t>Scenariusz 1:</w:t>
      </w:r>
      <w:r w:rsidRPr="005C0156">
        <w:t xml:space="preserve"> </w:t>
      </w:r>
      <w:r>
        <w:t>EUR = 4,30 zł na dzień</w:t>
      </w:r>
      <w:r>
        <w:rPr>
          <w:noProof/>
        </w:rPr>
        <w:t xml:space="preserve"> 14.10.2019 r. – kurs euro na dzień rozpoczecia badania.</w:t>
      </w:r>
    </w:p>
    <w:p w14:paraId="55704F97" w14:textId="77777777" w:rsidR="006D2EDA" w:rsidRDefault="006D2EDA" w:rsidP="00DF64C7">
      <w:pPr>
        <w:pStyle w:val="Akapitzlist"/>
        <w:numPr>
          <w:ilvl w:val="0"/>
          <w:numId w:val="125"/>
        </w:numPr>
        <w:jc w:val="left"/>
      </w:pPr>
      <w:r>
        <w:t xml:space="preserve">Scenariusz 2: EUR = 4,01 zł – </w:t>
      </w:r>
      <w:r w:rsidR="00727E3F">
        <w:t xml:space="preserve">symulacja uwzględniająca </w:t>
      </w:r>
      <w:r w:rsidR="00727E3F" w:rsidRPr="00727E3F">
        <w:t>możliwości zajścia zmian w środowisku, w jakim jest wdrażany Program</w:t>
      </w:r>
      <w:r w:rsidR="00727E3F">
        <w:t xml:space="preserve"> dla możliwości osiągnięcia wskaźników w przypadku umocnienia się złotego w stosunku do obecnego kursu o 5% (</w:t>
      </w:r>
      <w:r>
        <w:t>zgodnie z założeniami na dzień rozpoczęcia realizacji badania</w:t>
      </w:r>
      <w:r w:rsidR="00727E3F">
        <w:t>, tj. 14.10.2019 r.)</w:t>
      </w:r>
      <w:r>
        <w:t>.</w:t>
      </w:r>
    </w:p>
    <w:p w14:paraId="50AA3BC8" w14:textId="77777777" w:rsidR="006D2EDA" w:rsidRDefault="006D2EDA" w:rsidP="00DF64C7">
      <w:pPr>
        <w:pStyle w:val="Akapitzlist"/>
        <w:numPr>
          <w:ilvl w:val="0"/>
          <w:numId w:val="125"/>
        </w:numPr>
        <w:jc w:val="left"/>
      </w:pPr>
      <w:r>
        <w:t xml:space="preserve">Scenariusz 3: EUR = 3,66 zł - </w:t>
      </w:r>
      <w:r w:rsidR="00727E3F">
        <w:t xml:space="preserve">symulacja uwzględniająca </w:t>
      </w:r>
      <w:r w:rsidR="00727E3F" w:rsidRPr="00727E3F">
        <w:t>możliwości zajścia zmian w środowisku, w jakim jest wdrażany Program</w:t>
      </w:r>
      <w:r w:rsidR="00727E3F">
        <w:t xml:space="preserve"> dla możliwości osiągnięcia wskaźników w przypadku umocnienia się złotego w stosunku do obecnego kursu o 15% (</w:t>
      </w:r>
      <w:r>
        <w:t>zgodnie z założeniami na dzień rozpoczęcia realizacji badania</w:t>
      </w:r>
      <w:r w:rsidR="00727E3F">
        <w:t>, tj. 14.10.2019 r.)</w:t>
      </w:r>
      <w:r>
        <w:t>.</w:t>
      </w:r>
    </w:p>
    <w:p w14:paraId="2DC43F06" w14:textId="77777777" w:rsidR="006D2EDA" w:rsidRDefault="006D2EDA" w:rsidP="00DF64C7">
      <w:pPr>
        <w:pStyle w:val="Akapitzlist"/>
        <w:numPr>
          <w:ilvl w:val="0"/>
          <w:numId w:val="125"/>
        </w:numPr>
        <w:jc w:val="left"/>
      </w:pPr>
      <w:r>
        <w:t xml:space="preserve">Scenariusz 4: EUR = 4,52 – kurs euro na dzień 17.04.2020 r. związany z niekorzystną sytuacją na światowych rynkach, związany z pandemią koronawirusa COVID-19. </w:t>
      </w:r>
    </w:p>
    <w:p w14:paraId="5CB29B13" w14:textId="77777777" w:rsidR="006D2EDA" w:rsidRDefault="006D2EDA" w:rsidP="00DF64C7">
      <w:pPr>
        <w:jc w:val="left"/>
      </w:pPr>
      <w:r>
        <w:t>Dla OP XI i OP XII wskaźniki, których prognozowane wartości nie przekroczyły 100% to:</w:t>
      </w:r>
    </w:p>
    <w:p w14:paraId="4AF41632" w14:textId="77777777" w:rsidR="006D2EDA" w:rsidRDefault="006D2EDA" w:rsidP="00DF64C7">
      <w:pPr>
        <w:pStyle w:val="Akapitzlist"/>
        <w:numPr>
          <w:ilvl w:val="0"/>
          <w:numId w:val="76"/>
        </w:numPr>
        <w:spacing w:after="200" w:line="276" w:lineRule="auto"/>
        <w:jc w:val="left"/>
      </w:pPr>
      <w:r w:rsidRPr="00520580">
        <w:t>Potencjał objętej wsparciem infrastruktury w zakresie opieki nad dziećmi lub infrastruktury edukacyjnej</w:t>
      </w:r>
      <w:r>
        <w:t xml:space="preserve"> (88% - scenariusz 1; 88% - scenariusz 2; 89% - scenariusz 3; 88% - scenariusz 4);</w:t>
      </w:r>
    </w:p>
    <w:p w14:paraId="11046464" w14:textId="77777777" w:rsidR="006D2EDA" w:rsidRDefault="006D2EDA" w:rsidP="00DF64C7">
      <w:pPr>
        <w:pStyle w:val="Akapitzlist"/>
        <w:numPr>
          <w:ilvl w:val="0"/>
          <w:numId w:val="76"/>
        </w:numPr>
        <w:spacing w:after="200" w:line="276" w:lineRule="auto"/>
        <w:jc w:val="left"/>
      </w:pPr>
      <w:r w:rsidRPr="00520580">
        <w:t>Liczba osób uczestniczących w szkolnych formach kształcenia w programie</w:t>
      </w:r>
      <w:r>
        <w:t xml:space="preserve"> (18%,  19%, 19%; 18%); </w:t>
      </w:r>
    </w:p>
    <w:p w14:paraId="708C1D34" w14:textId="77777777" w:rsidR="006D2EDA" w:rsidRDefault="006D2EDA" w:rsidP="00DF64C7">
      <w:pPr>
        <w:pStyle w:val="Akapitzlist"/>
        <w:numPr>
          <w:ilvl w:val="0"/>
          <w:numId w:val="76"/>
        </w:numPr>
        <w:spacing w:after="200" w:line="276" w:lineRule="auto"/>
        <w:jc w:val="left"/>
      </w:pPr>
      <w:r>
        <w:t>L</w:t>
      </w:r>
      <w:r w:rsidRPr="00520580">
        <w:t>iczba uczniów objętych wsparciem w zakresie rozwijania kompetencji kluczowych lub umiejętności uniwersalnych niezbędnych na rynku pracy w programie</w:t>
      </w:r>
      <w:r>
        <w:t xml:space="preserve"> (32%; 32%, 33%; 32%);</w:t>
      </w:r>
    </w:p>
    <w:p w14:paraId="4A493BAA" w14:textId="77777777" w:rsidR="006D2EDA" w:rsidRDefault="006D2EDA" w:rsidP="00DF64C7">
      <w:pPr>
        <w:pStyle w:val="Akapitzlist"/>
        <w:numPr>
          <w:ilvl w:val="0"/>
          <w:numId w:val="76"/>
        </w:numPr>
        <w:spacing w:after="200" w:line="276" w:lineRule="auto"/>
        <w:jc w:val="left"/>
      </w:pPr>
      <w:r w:rsidRPr="00520580">
        <w:t>Liczba uczniów, którzy nabyli kompetencje kluczowe lub umiejętności uniwersalne niezbędne na rynku pracy po opuszczeniu programu</w:t>
      </w:r>
      <w:r>
        <w:t>( 46%, 47%, 48%; 46%).</w:t>
      </w:r>
    </w:p>
    <w:p w14:paraId="7682D89F" w14:textId="77777777" w:rsidR="006D2EDA" w:rsidRDefault="006D2EDA" w:rsidP="00DF64C7">
      <w:pPr>
        <w:jc w:val="left"/>
      </w:pPr>
      <w:r>
        <w:t xml:space="preserve">Wskaźnik: </w:t>
      </w:r>
      <w:r w:rsidRPr="00792180">
        <w:t>Potencjał objętej wsparciem infrastruktury w zakresie opieki nad dziećmi lub infrastruktury edukacyjnej</w:t>
      </w:r>
      <w:r>
        <w:t xml:space="preserve"> w każdym spośród analizowanych scenariuszy przekracza 85%, co stanowi wystarczający poziom realizacji wartości docelowej wskaźnika, natomiast w przypadku wskaźników: </w:t>
      </w:r>
      <w:r w:rsidRPr="00792180">
        <w:t>Liczba uczniów objętych wsparciem w zakresie rozwijania kompetencji kluczowych lub umiejętności uniwersalny</w:t>
      </w:r>
      <w:r>
        <w:t>ch niezbędnych na rynku pracy w </w:t>
      </w:r>
      <w:r w:rsidRPr="00792180">
        <w:t>programie</w:t>
      </w:r>
      <w:r>
        <w:t xml:space="preserve"> oraz </w:t>
      </w:r>
      <w:r w:rsidRPr="00520580">
        <w:t>Liczba uczniów, którzy nabyli kompetencje kluczowe lub umiejętności uniwersalne niezbędne na rynku pracy po opuszczeniu programu</w:t>
      </w:r>
      <w:r w:rsidRPr="00945EA9">
        <w:t xml:space="preserve"> </w:t>
      </w:r>
      <w:r>
        <w:t xml:space="preserve">wartości docelowe wskaźników (2023 r.) nie zostały osiągnięte ze względu na realizację projektu  „Śląskie. Zawodowcy” w trybie pozakonkursowym. Umowa na realizację projektu została podpisana w czerwcu 2019 r., w związku z czym wartości docelowe wskaźników nie zostały </w:t>
      </w:r>
      <w:r w:rsidR="00B11F10">
        <w:t>ujęte</w:t>
      </w:r>
      <w:r>
        <w:t xml:space="preserve"> w przeprowadzonych prognozach (które realizowane były na bazie danych z dnia 30.09.2019 r.).</w:t>
      </w:r>
    </w:p>
    <w:p w14:paraId="14BD533C" w14:textId="77777777" w:rsidR="006D2EDA" w:rsidRDefault="006D2EDA" w:rsidP="00DF64C7">
      <w:pPr>
        <w:jc w:val="left"/>
      </w:pPr>
      <w:r>
        <w:t xml:space="preserve">Zagrożenie realizacji wartości docelowej zidentyfikowano wyłącznie w przypadku wskaźnika: </w:t>
      </w:r>
      <w:r w:rsidRPr="00520580">
        <w:t>Liczba osób uczestniczących w szkolnych formach kształcenia w programie</w:t>
      </w:r>
      <w:r>
        <w:t>, który oscyluje w granicach 18%-19% w zależności od kursu euro.</w:t>
      </w:r>
    </w:p>
    <w:p w14:paraId="3E2EE7DC" w14:textId="77777777" w:rsidR="006D2EDA" w:rsidRDefault="006D2EDA" w:rsidP="00DF64C7">
      <w:pPr>
        <w:jc w:val="left"/>
        <w:sectPr w:rsidR="006D2EDA" w:rsidSect="00174F8C">
          <w:footerReference w:type="default" r:id="rId84"/>
          <w:pgSz w:w="11906" w:h="16838"/>
          <w:pgMar w:top="1418" w:right="1418" w:bottom="1418" w:left="1418" w:header="709" w:footer="709" w:gutter="0"/>
          <w:cols w:space="708"/>
          <w:docGrid w:linePitch="360"/>
        </w:sectPr>
      </w:pPr>
    </w:p>
    <w:p w14:paraId="2881AC34" w14:textId="77777777" w:rsidR="008415CD" w:rsidRDefault="008415CD" w:rsidP="00DF64C7">
      <w:pPr>
        <w:jc w:val="left"/>
      </w:pPr>
    </w:p>
    <w:p w14:paraId="11B81319" w14:textId="77777777" w:rsidR="007D6A03" w:rsidRDefault="00357502" w:rsidP="00DF64C7">
      <w:pPr>
        <w:jc w:val="left"/>
      </w:pPr>
      <w:bookmarkStart w:id="146" w:name="_Toc24466865"/>
      <w:bookmarkStart w:id="147" w:name="_Toc25664314"/>
      <w:bookmarkStart w:id="148" w:name="_Toc26526296"/>
      <w:r>
        <w:t>Poniżej zaprezentowano</w:t>
      </w:r>
      <w:r w:rsidR="007D6A03">
        <w:t xml:space="preserve"> analizę prawdopodobieństwa osiągnięcia docelowych wartości wskaźników EFS i EFRR. </w:t>
      </w:r>
    </w:p>
    <w:p w14:paraId="5C060699" w14:textId="77777777" w:rsidR="00357502" w:rsidRDefault="00357502" w:rsidP="00DF64C7">
      <w:pPr>
        <w:pStyle w:val="Legenda"/>
        <w:spacing w:line="271" w:lineRule="auto"/>
        <w:jc w:val="left"/>
      </w:pPr>
      <w:r>
        <w:t xml:space="preserve">Tabela </w:t>
      </w:r>
      <w:r w:rsidR="00842E62">
        <w:t>41.</w:t>
      </w:r>
      <w:r>
        <w:t xml:space="preserve"> Analiza prawdopodobieństwa </w:t>
      </w:r>
      <w:r w:rsidR="00593B77">
        <w:t xml:space="preserve">osiągnięcia </w:t>
      </w:r>
      <w:r>
        <w:t>wskaźników wg. scenariusza nr 1 (EUR = 4,30 zł na dzień</w:t>
      </w:r>
      <w:r>
        <w:rPr>
          <w:noProof/>
        </w:rPr>
        <w:t xml:space="preserve"> 14.10.2019 r.)</w:t>
      </w:r>
    </w:p>
    <w:tbl>
      <w:tblPr>
        <w:tblStyle w:val="Tabelasiatki4akcent61"/>
        <w:tblW w:w="15695" w:type="dxa"/>
        <w:tblInd w:w="-318" w:type="dxa"/>
        <w:tblLayout w:type="fixed"/>
        <w:tblLook w:val="04A0" w:firstRow="1" w:lastRow="0" w:firstColumn="1" w:lastColumn="0" w:noHBand="0" w:noVBand="1"/>
        <w:tblCaption w:val="Analiza prawdopodobieństwa osiągnięcia wskaźników wg. scenariusza nr 1 (EUR = 4,30 zł na dzień 14.10.2019 r.)"/>
        <w:tblDescription w:val="Tabela przedstawia analizę prawdopodobieństwa osięgniecia wskaźników wg scenariusza zakładajacego średnia wartość EUR na poziomie 4,20 PLN. Analiza sporządzona została wg stanu na 14.10.2019 r. Najniższy potencjalny poziom realizacji wskaźników docelowych przypadł na wskaźnik &quot;Liczba osób uczestniczących w szkolnych formach kształcenia w programie&quot; (Działanie 11.3) i wyniósł 18%."/>
      </w:tblPr>
      <w:tblGrid>
        <w:gridCol w:w="941"/>
        <w:gridCol w:w="3880"/>
        <w:gridCol w:w="850"/>
        <w:gridCol w:w="709"/>
        <w:gridCol w:w="709"/>
        <w:gridCol w:w="850"/>
        <w:gridCol w:w="992"/>
        <w:gridCol w:w="851"/>
        <w:gridCol w:w="850"/>
        <w:gridCol w:w="709"/>
        <w:gridCol w:w="709"/>
        <w:gridCol w:w="850"/>
        <w:gridCol w:w="851"/>
        <w:gridCol w:w="982"/>
        <w:gridCol w:w="962"/>
      </w:tblGrid>
      <w:tr w:rsidR="00357502" w:rsidRPr="001C7E6A" w14:paraId="5A1DF487" w14:textId="77777777" w:rsidTr="00E24BD3">
        <w:trPr>
          <w:cnfStyle w:val="100000000000" w:firstRow="1" w:lastRow="0" w:firstColumn="0" w:lastColumn="0" w:oddVBand="0" w:evenVBand="0" w:oddHBand="0" w:evenHBand="0" w:firstRowFirstColumn="0" w:firstRowLastColumn="0" w:lastRowFirstColumn="0" w:lastRowLastColumn="0"/>
          <w:trHeight w:val="977"/>
          <w:tblHead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6E37F259"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Działanie</w:t>
            </w:r>
          </w:p>
        </w:tc>
        <w:tc>
          <w:tcPr>
            <w:tcW w:w="3880" w:type="dxa"/>
            <w:noWrap/>
            <w:hideMark/>
          </w:tcPr>
          <w:p w14:paraId="73592735"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w:t>
            </w:r>
          </w:p>
        </w:tc>
        <w:tc>
          <w:tcPr>
            <w:tcW w:w="850" w:type="dxa"/>
            <w:hideMark/>
          </w:tcPr>
          <w:p w14:paraId="3E42053B"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Wartość aktualna wskaźnika na podstawie podpisanych umów</w:t>
            </w:r>
            <w:r>
              <w:rPr>
                <w:rFonts w:ascii="Calibri" w:eastAsia="Times New Roman" w:hAnsi="Calibri" w:cs="Calibri"/>
                <w:color w:val="000000"/>
                <w:sz w:val="12"/>
                <w:szCs w:val="12"/>
                <w:lang w:eastAsia="pl-PL"/>
              </w:rPr>
              <w:t xml:space="preserve"> – na dzień 1.10.2019 r.</w:t>
            </w:r>
          </w:p>
        </w:tc>
        <w:tc>
          <w:tcPr>
            <w:tcW w:w="709" w:type="dxa"/>
            <w:hideMark/>
          </w:tcPr>
          <w:p w14:paraId="05CF6E58"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Wartość docelowa (2023)</w:t>
            </w:r>
          </w:p>
        </w:tc>
        <w:tc>
          <w:tcPr>
            <w:tcW w:w="709" w:type="dxa"/>
            <w:hideMark/>
          </w:tcPr>
          <w:p w14:paraId="01C8EB82"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realizacji </w:t>
            </w:r>
          </w:p>
        </w:tc>
        <w:tc>
          <w:tcPr>
            <w:tcW w:w="850" w:type="dxa"/>
            <w:hideMark/>
          </w:tcPr>
          <w:p w14:paraId="13FF7CEC"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Pozostała wartośc wskaźników do osiągnięcia</w:t>
            </w:r>
          </w:p>
        </w:tc>
        <w:tc>
          <w:tcPr>
            <w:tcW w:w="992" w:type="dxa"/>
            <w:hideMark/>
          </w:tcPr>
          <w:p w14:paraId="4B682109"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Wartość podpisanych umów o dofinansowanie (PLN)</w:t>
            </w:r>
            <w:r>
              <w:rPr>
                <w:rStyle w:val="Odwoanieprzypisudolnego"/>
                <w:rFonts w:eastAsia="Times New Roman"/>
                <w:color w:val="000000"/>
                <w:sz w:val="12"/>
                <w:szCs w:val="12"/>
                <w:lang w:eastAsia="pl-PL"/>
              </w:rPr>
              <w:footnoteReference w:id="131"/>
            </w:r>
          </w:p>
        </w:tc>
        <w:tc>
          <w:tcPr>
            <w:tcW w:w="851" w:type="dxa"/>
            <w:hideMark/>
          </w:tcPr>
          <w:p w14:paraId="74C822B2"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Koszt osiągnięcia 1 jednostki wskaźnika </w:t>
            </w:r>
            <w:r>
              <w:rPr>
                <w:rFonts w:ascii="Calibri" w:eastAsia="Times New Roman" w:hAnsi="Calibri" w:cs="Calibri"/>
                <w:color w:val="000000"/>
                <w:sz w:val="12"/>
                <w:szCs w:val="12"/>
                <w:lang w:eastAsia="pl-PL"/>
              </w:rPr>
              <w:br/>
            </w:r>
            <w:r w:rsidRPr="00E24BD3">
              <w:rPr>
                <w:rFonts w:ascii="Calibri" w:eastAsia="Times New Roman" w:hAnsi="Calibri" w:cs="Calibri"/>
                <w:color w:val="000000"/>
                <w:sz w:val="12"/>
                <w:szCs w:val="12"/>
                <w:lang w:eastAsia="pl-PL"/>
              </w:rPr>
              <w:t>(PLN)</w:t>
            </w:r>
            <w:r>
              <w:rPr>
                <w:rStyle w:val="Odwoanieprzypisudolnego"/>
                <w:rFonts w:eastAsia="Times New Roman"/>
                <w:color w:val="000000"/>
                <w:sz w:val="12"/>
                <w:szCs w:val="12"/>
                <w:lang w:eastAsia="pl-PL"/>
              </w:rPr>
              <w:footnoteReference w:id="132"/>
            </w:r>
          </w:p>
        </w:tc>
        <w:tc>
          <w:tcPr>
            <w:tcW w:w="850" w:type="dxa"/>
            <w:hideMark/>
          </w:tcPr>
          <w:p w14:paraId="3CE7EAFE"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Alokacja podstawowa (PLN)</w:t>
            </w:r>
            <w:r>
              <w:rPr>
                <w:rStyle w:val="Odwoanieprzypisudolnego"/>
                <w:rFonts w:eastAsia="Times New Roman"/>
                <w:color w:val="000000"/>
                <w:sz w:val="12"/>
                <w:szCs w:val="12"/>
                <w:lang w:eastAsia="pl-PL"/>
              </w:rPr>
              <w:footnoteReference w:id="133"/>
            </w:r>
          </w:p>
        </w:tc>
        <w:tc>
          <w:tcPr>
            <w:tcW w:w="709" w:type="dxa"/>
            <w:hideMark/>
          </w:tcPr>
          <w:p w14:paraId="282EF482"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Alokacja pozostała (PLN)</w:t>
            </w:r>
          </w:p>
        </w:tc>
        <w:tc>
          <w:tcPr>
            <w:tcW w:w="709" w:type="dxa"/>
            <w:hideMark/>
          </w:tcPr>
          <w:p w14:paraId="2C66D7B9"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Alokacja pozostała (EUR)</w:t>
            </w:r>
          </w:p>
        </w:tc>
        <w:tc>
          <w:tcPr>
            <w:tcW w:w="850" w:type="dxa"/>
            <w:hideMark/>
          </w:tcPr>
          <w:p w14:paraId="006EAC67"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Koszt osiągnięcia 1 jednostki wskaźnika </w:t>
            </w:r>
            <w:r>
              <w:rPr>
                <w:rFonts w:ascii="Calibri" w:eastAsia="Times New Roman" w:hAnsi="Calibri" w:cs="Calibri"/>
                <w:color w:val="000000"/>
                <w:sz w:val="12"/>
                <w:szCs w:val="12"/>
                <w:lang w:eastAsia="pl-PL"/>
              </w:rPr>
              <w:br/>
            </w:r>
            <w:r w:rsidRPr="00E24BD3">
              <w:rPr>
                <w:rFonts w:ascii="Calibri" w:eastAsia="Times New Roman" w:hAnsi="Calibri" w:cs="Calibri"/>
                <w:color w:val="000000"/>
                <w:sz w:val="12"/>
                <w:szCs w:val="12"/>
                <w:lang w:eastAsia="pl-PL"/>
              </w:rPr>
              <w:t>(EUR)</w:t>
            </w:r>
          </w:p>
        </w:tc>
        <w:tc>
          <w:tcPr>
            <w:tcW w:w="851" w:type="dxa"/>
            <w:hideMark/>
          </w:tcPr>
          <w:p w14:paraId="30D896E1"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jednostek wskaźnika możliwych do osiągnięcia dzięki pozostałej alokacji</w:t>
            </w:r>
          </w:p>
        </w:tc>
        <w:tc>
          <w:tcPr>
            <w:tcW w:w="982" w:type="dxa"/>
            <w:hideMark/>
          </w:tcPr>
          <w:p w14:paraId="0020F6B5"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Suma osiągniętej wartości wskaźnika i wartości możliwej do osiągnięcia na podstawie pozostałej alokacji</w:t>
            </w:r>
          </w:p>
        </w:tc>
        <w:tc>
          <w:tcPr>
            <w:tcW w:w="962" w:type="dxa"/>
            <w:hideMark/>
          </w:tcPr>
          <w:p w14:paraId="0BA528E1" w14:textId="77777777" w:rsidR="00357502" w:rsidRPr="00E24BD3"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Potencjalny poziom realizacji wskaźników docelowych</w:t>
            </w:r>
          </w:p>
        </w:tc>
      </w:tr>
      <w:tr w:rsidR="00E24BD3" w:rsidRPr="001C7E6A" w14:paraId="3203B055" w14:textId="77777777" w:rsidTr="00E24BD3">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941" w:type="dxa"/>
            <w:noWrap/>
            <w:hideMark/>
          </w:tcPr>
          <w:p w14:paraId="4A3AB2C4"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12.1, 12.2</w:t>
            </w:r>
          </w:p>
        </w:tc>
        <w:tc>
          <w:tcPr>
            <w:tcW w:w="3880" w:type="dxa"/>
            <w:hideMark/>
          </w:tcPr>
          <w:p w14:paraId="48E8E657"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Potencjał objętej wsparciem infrastruktury w zakresie opieki nad dziećmi lub infrastruktury edukacyjnej</w:t>
            </w:r>
          </w:p>
        </w:tc>
        <w:tc>
          <w:tcPr>
            <w:tcW w:w="850" w:type="dxa"/>
            <w:noWrap/>
            <w:hideMark/>
          </w:tcPr>
          <w:p w14:paraId="29D968FB"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32329</w:t>
            </w:r>
          </w:p>
        </w:tc>
        <w:tc>
          <w:tcPr>
            <w:tcW w:w="709" w:type="dxa"/>
            <w:noWrap/>
            <w:hideMark/>
          </w:tcPr>
          <w:p w14:paraId="149D22B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40940</w:t>
            </w:r>
          </w:p>
        </w:tc>
        <w:tc>
          <w:tcPr>
            <w:tcW w:w="709" w:type="dxa"/>
            <w:noWrap/>
            <w:hideMark/>
          </w:tcPr>
          <w:p w14:paraId="6B490BB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79%</w:t>
            </w:r>
          </w:p>
        </w:tc>
        <w:tc>
          <w:tcPr>
            <w:tcW w:w="850" w:type="dxa"/>
            <w:noWrap/>
            <w:hideMark/>
          </w:tcPr>
          <w:p w14:paraId="6C541BE9"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8611</w:t>
            </w:r>
          </w:p>
        </w:tc>
        <w:tc>
          <w:tcPr>
            <w:tcW w:w="992" w:type="dxa"/>
            <w:vMerge w:val="restart"/>
            <w:noWrap/>
            <w:hideMark/>
          </w:tcPr>
          <w:p w14:paraId="71BFBA25"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316 596 373,00 zł </w:t>
            </w:r>
          </w:p>
        </w:tc>
        <w:tc>
          <w:tcPr>
            <w:tcW w:w="851" w:type="dxa"/>
            <w:noWrap/>
            <w:hideMark/>
          </w:tcPr>
          <w:p w14:paraId="63550B0F"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9 792,95 zł </w:t>
            </w:r>
          </w:p>
        </w:tc>
        <w:tc>
          <w:tcPr>
            <w:tcW w:w="850" w:type="dxa"/>
            <w:vMerge w:val="restart"/>
            <w:noWrap/>
            <w:hideMark/>
          </w:tcPr>
          <w:p w14:paraId="509634C3"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351 343 724,00 zł </w:t>
            </w:r>
          </w:p>
        </w:tc>
        <w:tc>
          <w:tcPr>
            <w:tcW w:w="709" w:type="dxa"/>
            <w:vMerge w:val="restart"/>
            <w:noWrap/>
            <w:hideMark/>
          </w:tcPr>
          <w:p w14:paraId="2D72EF6A"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34 747 351,00 zł </w:t>
            </w:r>
          </w:p>
        </w:tc>
        <w:tc>
          <w:tcPr>
            <w:tcW w:w="709" w:type="dxa"/>
            <w:vMerge w:val="restart"/>
            <w:noWrap/>
            <w:hideMark/>
          </w:tcPr>
          <w:p w14:paraId="2D576F6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€8 080 779,30 </w:t>
            </w:r>
          </w:p>
        </w:tc>
        <w:tc>
          <w:tcPr>
            <w:tcW w:w="850" w:type="dxa"/>
            <w:noWrap/>
            <w:hideMark/>
          </w:tcPr>
          <w:p w14:paraId="0E5A921A"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€ 2 277,43 </w:t>
            </w:r>
          </w:p>
        </w:tc>
        <w:tc>
          <w:tcPr>
            <w:tcW w:w="851" w:type="dxa"/>
            <w:noWrap/>
            <w:hideMark/>
          </w:tcPr>
          <w:p w14:paraId="43A39955"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3548</w:t>
            </w:r>
          </w:p>
        </w:tc>
        <w:tc>
          <w:tcPr>
            <w:tcW w:w="982" w:type="dxa"/>
            <w:noWrap/>
            <w:hideMark/>
          </w:tcPr>
          <w:p w14:paraId="763E19F5"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35877</w:t>
            </w:r>
          </w:p>
        </w:tc>
        <w:tc>
          <w:tcPr>
            <w:tcW w:w="962" w:type="dxa"/>
            <w:noWrap/>
            <w:hideMark/>
          </w:tcPr>
          <w:p w14:paraId="4776C22A"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88%</w:t>
            </w:r>
          </w:p>
        </w:tc>
      </w:tr>
      <w:tr w:rsidR="00357502" w:rsidRPr="001C7E6A" w14:paraId="7165BB76" w14:textId="77777777" w:rsidTr="00593B77">
        <w:trPr>
          <w:trHeight w:val="142"/>
        </w:trPr>
        <w:tc>
          <w:tcPr>
            <w:cnfStyle w:val="001000000000" w:firstRow="0" w:lastRow="0" w:firstColumn="1" w:lastColumn="0" w:oddVBand="0" w:evenVBand="0" w:oddHBand="0" w:evenHBand="0" w:firstRowFirstColumn="0" w:firstRowLastColumn="0" w:lastRowFirstColumn="0" w:lastRowLastColumn="0"/>
            <w:tcW w:w="941" w:type="dxa"/>
            <w:noWrap/>
            <w:hideMark/>
          </w:tcPr>
          <w:p w14:paraId="52907602"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12.1</w:t>
            </w:r>
          </w:p>
        </w:tc>
        <w:tc>
          <w:tcPr>
            <w:tcW w:w="3880" w:type="dxa"/>
            <w:hideMark/>
          </w:tcPr>
          <w:p w14:paraId="0B0C0F5C"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wspartych obiektów infrastruktury przedszkolnej</w:t>
            </w:r>
          </w:p>
        </w:tc>
        <w:tc>
          <w:tcPr>
            <w:tcW w:w="850" w:type="dxa"/>
            <w:noWrap/>
            <w:hideMark/>
          </w:tcPr>
          <w:p w14:paraId="68B5EDB9"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50</w:t>
            </w:r>
          </w:p>
        </w:tc>
        <w:tc>
          <w:tcPr>
            <w:tcW w:w="709" w:type="dxa"/>
            <w:noWrap/>
            <w:hideMark/>
          </w:tcPr>
          <w:p w14:paraId="266DBFF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71</w:t>
            </w:r>
          </w:p>
        </w:tc>
        <w:tc>
          <w:tcPr>
            <w:tcW w:w="709" w:type="dxa"/>
            <w:noWrap/>
            <w:hideMark/>
          </w:tcPr>
          <w:p w14:paraId="5B6AB7A1"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70%</w:t>
            </w:r>
          </w:p>
        </w:tc>
        <w:tc>
          <w:tcPr>
            <w:tcW w:w="850" w:type="dxa"/>
            <w:noWrap/>
            <w:hideMark/>
          </w:tcPr>
          <w:p w14:paraId="28138537"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21</w:t>
            </w:r>
          </w:p>
        </w:tc>
        <w:tc>
          <w:tcPr>
            <w:tcW w:w="992" w:type="dxa"/>
            <w:vMerge/>
            <w:hideMark/>
          </w:tcPr>
          <w:p w14:paraId="0FEA4DC6"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2AB660A6"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6 331 927,46 zł </w:t>
            </w:r>
          </w:p>
        </w:tc>
        <w:tc>
          <w:tcPr>
            <w:tcW w:w="850" w:type="dxa"/>
            <w:vMerge/>
            <w:hideMark/>
          </w:tcPr>
          <w:p w14:paraId="31A6913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E1E3E80"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950ABEF"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36E0DE32"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€ 1 472 541,27 </w:t>
            </w:r>
          </w:p>
        </w:tc>
        <w:tc>
          <w:tcPr>
            <w:tcW w:w="851" w:type="dxa"/>
            <w:noWrap/>
            <w:hideMark/>
          </w:tcPr>
          <w:p w14:paraId="6BB8ECFE"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w:t>
            </w:r>
          </w:p>
        </w:tc>
        <w:tc>
          <w:tcPr>
            <w:tcW w:w="982" w:type="dxa"/>
            <w:noWrap/>
            <w:hideMark/>
          </w:tcPr>
          <w:p w14:paraId="3068BB65"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55</w:t>
            </w:r>
          </w:p>
        </w:tc>
        <w:tc>
          <w:tcPr>
            <w:tcW w:w="962" w:type="dxa"/>
            <w:noWrap/>
            <w:hideMark/>
          </w:tcPr>
          <w:p w14:paraId="3CE9D38E"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78%</w:t>
            </w:r>
          </w:p>
        </w:tc>
      </w:tr>
      <w:tr w:rsidR="00E24BD3" w:rsidRPr="001C7E6A" w14:paraId="6285B86C" w14:textId="77777777" w:rsidTr="00593B77">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41" w:type="dxa"/>
            <w:noWrap/>
            <w:hideMark/>
          </w:tcPr>
          <w:p w14:paraId="66D585A4"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12.2</w:t>
            </w:r>
          </w:p>
        </w:tc>
        <w:tc>
          <w:tcPr>
            <w:tcW w:w="3880" w:type="dxa"/>
            <w:hideMark/>
          </w:tcPr>
          <w:p w14:paraId="2874D473"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wspartych obiektów infrastruktury kształcenia zawodowego</w:t>
            </w:r>
          </w:p>
        </w:tc>
        <w:tc>
          <w:tcPr>
            <w:tcW w:w="850" w:type="dxa"/>
            <w:noWrap/>
            <w:hideMark/>
          </w:tcPr>
          <w:p w14:paraId="2506FA8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52</w:t>
            </w:r>
          </w:p>
        </w:tc>
        <w:tc>
          <w:tcPr>
            <w:tcW w:w="709" w:type="dxa"/>
            <w:noWrap/>
            <w:hideMark/>
          </w:tcPr>
          <w:p w14:paraId="17C5A9B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136</w:t>
            </w:r>
          </w:p>
        </w:tc>
        <w:tc>
          <w:tcPr>
            <w:tcW w:w="709" w:type="dxa"/>
            <w:noWrap/>
            <w:hideMark/>
          </w:tcPr>
          <w:p w14:paraId="150DA74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38%</w:t>
            </w:r>
          </w:p>
        </w:tc>
        <w:tc>
          <w:tcPr>
            <w:tcW w:w="850" w:type="dxa"/>
            <w:noWrap/>
            <w:hideMark/>
          </w:tcPr>
          <w:p w14:paraId="47D8278A"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84</w:t>
            </w:r>
          </w:p>
        </w:tc>
        <w:tc>
          <w:tcPr>
            <w:tcW w:w="992" w:type="dxa"/>
            <w:vMerge/>
            <w:hideMark/>
          </w:tcPr>
          <w:p w14:paraId="4A71A88E"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55C3E1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6 088 391,79 zł </w:t>
            </w:r>
          </w:p>
        </w:tc>
        <w:tc>
          <w:tcPr>
            <w:tcW w:w="850" w:type="dxa"/>
            <w:vMerge/>
            <w:hideMark/>
          </w:tcPr>
          <w:p w14:paraId="3EC76893"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303B648"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074AAB1"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56C52D88"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€ 1 415 905,07 </w:t>
            </w:r>
          </w:p>
        </w:tc>
        <w:tc>
          <w:tcPr>
            <w:tcW w:w="851" w:type="dxa"/>
            <w:noWrap/>
            <w:hideMark/>
          </w:tcPr>
          <w:p w14:paraId="65709418"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6</w:t>
            </w:r>
          </w:p>
        </w:tc>
        <w:tc>
          <w:tcPr>
            <w:tcW w:w="982" w:type="dxa"/>
            <w:noWrap/>
            <w:hideMark/>
          </w:tcPr>
          <w:p w14:paraId="2AEE46D2"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58</w:t>
            </w:r>
          </w:p>
        </w:tc>
        <w:tc>
          <w:tcPr>
            <w:tcW w:w="962" w:type="dxa"/>
            <w:noWrap/>
            <w:hideMark/>
          </w:tcPr>
          <w:p w14:paraId="121FA18F"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42%</w:t>
            </w:r>
          </w:p>
        </w:tc>
      </w:tr>
      <w:tr w:rsidR="00E24BD3" w:rsidRPr="001C7E6A" w14:paraId="2150C832" w14:textId="77777777" w:rsidTr="00E24BD3">
        <w:trPr>
          <w:trHeight w:val="83"/>
        </w:trPr>
        <w:tc>
          <w:tcPr>
            <w:cnfStyle w:val="001000000000" w:firstRow="0" w:lastRow="0" w:firstColumn="1" w:lastColumn="0" w:oddVBand="0" w:evenVBand="0" w:oddHBand="0" w:evenHBand="0" w:firstRowFirstColumn="0" w:firstRowLastColumn="0" w:lastRowFirstColumn="0" w:lastRowLastColumn="0"/>
            <w:tcW w:w="941" w:type="dxa"/>
            <w:noWrap/>
            <w:hideMark/>
          </w:tcPr>
          <w:p w14:paraId="3F010065"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12.3</w:t>
            </w:r>
          </w:p>
        </w:tc>
        <w:tc>
          <w:tcPr>
            <w:tcW w:w="3880" w:type="dxa"/>
            <w:hideMark/>
          </w:tcPr>
          <w:p w14:paraId="2478F185"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osób odwiedzających Planetarium Śląskie ze zorganizowanych grup uczniowskich i przedszkolnych</w:t>
            </w:r>
          </w:p>
        </w:tc>
        <w:tc>
          <w:tcPr>
            <w:tcW w:w="850" w:type="dxa"/>
            <w:noWrap/>
            <w:hideMark/>
          </w:tcPr>
          <w:p w14:paraId="4ED63217"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156000</w:t>
            </w:r>
          </w:p>
        </w:tc>
        <w:tc>
          <w:tcPr>
            <w:tcW w:w="709" w:type="dxa"/>
            <w:noWrap/>
            <w:hideMark/>
          </w:tcPr>
          <w:p w14:paraId="0A4C6DB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156000</w:t>
            </w:r>
          </w:p>
        </w:tc>
        <w:tc>
          <w:tcPr>
            <w:tcW w:w="709" w:type="dxa"/>
            <w:noWrap/>
            <w:hideMark/>
          </w:tcPr>
          <w:p w14:paraId="311A5C73"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100%</w:t>
            </w:r>
          </w:p>
        </w:tc>
        <w:tc>
          <w:tcPr>
            <w:tcW w:w="850" w:type="dxa"/>
            <w:noWrap/>
            <w:hideMark/>
          </w:tcPr>
          <w:p w14:paraId="5B59867C"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148933AB"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E8FDAD2"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2 029,46 zł </w:t>
            </w:r>
          </w:p>
        </w:tc>
        <w:tc>
          <w:tcPr>
            <w:tcW w:w="850" w:type="dxa"/>
            <w:vMerge/>
            <w:hideMark/>
          </w:tcPr>
          <w:p w14:paraId="1FCA90DE"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92461C0"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3C6D911"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3E82449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€ 471,97 </w:t>
            </w:r>
          </w:p>
        </w:tc>
        <w:tc>
          <w:tcPr>
            <w:tcW w:w="851" w:type="dxa"/>
            <w:noWrap/>
            <w:hideMark/>
          </w:tcPr>
          <w:p w14:paraId="268EC993"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17121</w:t>
            </w:r>
          </w:p>
        </w:tc>
        <w:tc>
          <w:tcPr>
            <w:tcW w:w="982" w:type="dxa"/>
            <w:noWrap/>
            <w:hideMark/>
          </w:tcPr>
          <w:p w14:paraId="4ED7C905"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173121</w:t>
            </w:r>
          </w:p>
        </w:tc>
        <w:tc>
          <w:tcPr>
            <w:tcW w:w="962" w:type="dxa"/>
            <w:noWrap/>
            <w:hideMark/>
          </w:tcPr>
          <w:p w14:paraId="47479CA2"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111%</w:t>
            </w:r>
          </w:p>
        </w:tc>
      </w:tr>
      <w:tr w:rsidR="00E24BD3" w:rsidRPr="001C7E6A" w14:paraId="11B2F8E8" w14:textId="77777777" w:rsidTr="00E24BD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331CFBBC"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11.1</w:t>
            </w:r>
          </w:p>
        </w:tc>
        <w:tc>
          <w:tcPr>
            <w:tcW w:w="3880" w:type="dxa"/>
            <w:hideMark/>
          </w:tcPr>
          <w:p w14:paraId="79F21F67"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miejsc wychowania przedszkolnego dofinansowanych w programie</w:t>
            </w:r>
          </w:p>
        </w:tc>
        <w:tc>
          <w:tcPr>
            <w:tcW w:w="850" w:type="dxa"/>
            <w:noWrap/>
            <w:hideMark/>
          </w:tcPr>
          <w:p w14:paraId="58ABB6E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5768</w:t>
            </w:r>
          </w:p>
        </w:tc>
        <w:tc>
          <w:tcPr>
            <w:tcW w:w="709" w:type="dxa"/>
            <w:noWrap/>
            <w:hideMark/>
          </w:tcPr>
          <w:p w14:paraId="4E942810"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3081</w:t>
            </w:r>
          </w:p>
        </w:tc>
        <w:tc>
          <w:tcPr>
            <w:tcW w:w="709" w:type="dxa"/>
            <w:noWrap/>
            <w:hideMark/>
          </w:tcPr>
          <w:p w14:paraId="24D1C27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187%</w:t>
            </w:r>
          </w:p>
        </w:tc>
        <w:tc>
          <w:tcPr>
            <w:tcW w:w="850" w:type="dxa"/>
            <w:noWrap/>
            <w:hideMark/>
          </w:tcPr>
          <w:p w14:paraId="1E1ECC44"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val="restart"/>
            <w:noWrap/>
            <w:hideMark/>
          </w:tcPr>
          <w:p w14:paraId="1E8F0F8B"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640 561 743,00 zł </w:t>
            </w:r>
          </w:p>
        </w:tc>
        <w:tc>
          <w:tcPr>
            <w:tcW w:w="851" w:type="dxa"/>
            <w:noWrap/>
            <w:hideMark/>
          </w:tcPr>
          <w:p w14:paraId="7153FBD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111 054,39 zł </w:t>
            </w:r>
          </w:p>
        </w:tc>
        <w:tc>
          <w:tcPr>
            <w:tcW w:w="850" w:type="dxa"/>
            <w:vMerge w:val="restart"/>
            <w:noWrap/>
            <w:hideMark/>
          </w:tcPr>
          <w:p w14:paraId="3DF2729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848 226 009,00 zł </w:t>
            </w:r>
          </w:p>
        </w:tc>
        <w:tc>
          <w:tcPr>
            <w:tcW w:w="709" w:type="dxa"/>
            <w:vMerge w:val="restart"/>
            <w:noWrap/>
            <w:hideMark/>
          </w:tcPr>
          <w:p w14:paraId="19226638"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207 664 266,00 zł </w:t>
            </w:r>
          </w:p>
        </w:tc>
        <w:tc>
          <w:tcPr>
            <w:tcW w:w="709" w:type="dxa"/>
            <w:vMerge w:val="restart"/>
            <w:noWrap/>
            <w:hideMark/>
          </w:tcPr>
          <w:p w14:paraId="57B82CA3"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€48 294 015,35 </w:t>
            </w:r>
          </w:p>
        </w:tc>
        <w:tc>
          <w:tcPr>
            <w:tcW w:w="850" w:type="dxa"/>
            <w:noWrap/>
            <w:hideMark/>
          </w:tcPr>
          <w:p w14:paraId="4F954F31"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€ 25 826,60 </w:t>
            </w:r>
          </w:p>
        </w:tc>
        <w:tc>
          <w:tcPr>
            <w:tcW w:w="851" w:type="dxa"/>
            <w:noWrap/>
            <w:hideMark/>
          </w:tcPr>
          <w:p w14:paraId="2E0BECCF"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1870</w:t>
            </w:r>
          </w:p>
        </w:tc>
        <w:tc>
          <w:tcPr>
            <w:tcW w:w="982" w:type="dxa"/>
            <w:noWrap/>
            <w:hideMark/>
          </w:tcPr>
          <w:p w14:paraId="1A888B28"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7638</w:t>
            </w:r>
          </w:p>
        </w:tc>
        <w:tc>
          <w:tcPr>
            <w:tcW w:w="962" w:type="dxa"/>
            <w:noWrap/>
            <w:hideMark/>
          </w:tcPr>
          <w:p w14:paraId="034F3BBA"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248%</w:t>
            </w:r>
          </w:p>
        </w:tc>
      </w:tr>
      <w:tr w:rsidR="00E24BD3" w:rsidRPr="001C7E6A" w14:paraId="2A030B39" w14:textId="77777777" w:rsidTr="00E24BD3">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1A03A7D0"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11.1</w:t>
            </w:r>
          </w:p>
        </w:tc>
        <w:tc>
          <w:tcPr>
            <w:tcW w:w="3880" w:type="dxa"/>
            <w:hideMark/>
          </w:tcPr>
          <w:p w14:paraId="1949A4A4"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dzieci objętych w ramach programu dodatkowymi zajęciami zwiększającymi ich szanse edukacyjne w edukacji przedszkolnej</w:t>
            </w:r>
          </w:p>
        </w:tc>
        <w:tc>
          <w:tcPr>
            <w:tcW w:w="850" w:type="dxa"/>
            <w:noWrap/>
            <w:hideMark/>
          </w:tcPr>
          <w:p w14:paraId="393DE565"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13944</w:t>
            </w:r>
          </w:p>
        </w:tc>
        <w:tc>
          <w:tcPr>
            <w:tcW w:w="709" w:type="dxa"/>
            <w:noWrap/>
            <w:hideMark/>
          </w:tcPr>
          <w:p w14:paraId="169627E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13984</w:t>
            </w:r>
          </w:p>
        </w:tc>
        <w:tc>
          <w:tcPr>
            <w:tcW w:w="709" w:type="dxa"/>
            <w:noWrap/>
            <w:hideMark/>
          </w:tcPr>
          <w:p w14:paraId="1985F5C8"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100%</w:t>
            </w:r>
          </w:p>
        </w:tc>
        <w:tc>
          <w:tcPr>
            <w:tcW w:w="850" w:type="dxa"/>
            <w:noWrap/>
            <w:hideMark/>
          </w:tcPr>
          <w:p w14:paraId="4332AEDB"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40</w:t>
            </w:r>
          </w:p>
        </w:tc>
        <w:tc>
          <w:tcPr>
            <w:tcW w:w="992" w:type="dxa"/>
            <w:vMerge/>
            <w:hideMark/>
          </w:tcPr>
          <w:p w14:paraId="0A6AE00D"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41221A0E"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45 938,16 zł </w:t>
            </w:r>
          </w:p>
        </w:tc>
        <w:tc>
          <w:tcPr>
            <w:tcW w:w="850" w:type="dxa"/>
            <w:vMerge/>
            <w:hideMark/>
          </w:tcPr>
          <w:p w14:paraId="544E61ED"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E0FAEF1"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AB73855"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01F8D41F"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€ 10 683,29 </w:t>
            </w:r>
          </w:p>
        </w:tc>
        <w:tc>
          <w:tcPr>
            <w:tcW w:w="851" w:type="dxa"/>
            <w:noWrap/>
            <w:hideMark/>
          </w:tcPr>
          <w:p w14:paraId="41EE686D"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4521</w:t>
            </w:r>
          </w:p>
        </w:tc>
        <w:tc>
          <w:tcPr>
            <w:tcW w:w="982" w:type="dxa"/>
            <w:noWrap/>
            <w:hideMark/>
          </w:tcPr>
          <w:p w14:paraId="7228FC28"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18465</w:t>
            </w:r>
          </w:p>
        </w:tc>
        <w:tc>
          <w:tcPr>
            <w:tcW w:w="962" w:type="dxa"/>
            <w:noWrap/>
            <w:hideMark/>
          </w:tcPr>
          <w:p w14:paraId="295E8437"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132%</w:t>
            </w:r>
          </w:p>
        </w:tc>
      </w:tr>
      <w:tr w:rsidR="00E24BD3" w:rsidRPr="001C7E6A" w14:paraId="3FC15BCA" w14:textId="77777777" w:rsidTr="00593B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51D249FF"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11.1</w:t>
            </w:r>
          </w:p>
        </w:tc>
        <w:tc>
          <w:tcPr>
            <w:tcW w:w="3880" w:type="dxa"/>
            <w:hideMark/>
          </w:tcPr>
          <w:p w14:paraId="0B6D8FA3"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uczniów objętych wsparciem w zakresie rozwijania kompetencji kluczowych lub umiejętności uniwersalnych niezbędnych na rynku pracy w programie</w:t>
            </w:r>
          </w:p>
        </w:tc>
        <w:tc>
          <w:tcPr>
            <w:tcW w:w="850" w:type="dxa"/>
            <w:noWrap/>
            <w:hideMark/>
          </w:tcPr>
          <w:p w14:paraId="052C0515"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85561</w:t>
            </w:r>
          </w:p>
        </w:tc>
        <w:tc>
          <w:tcPr>
            <w:tcW w:w="709" w:type="dxa"/>
            <w:noWrap/>
            <w:hideMark/>
          </w:tcPr>
          <w:p w14:paraId="04CBB832"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46366</w:t>
            </w:r>
          </w:p>
        </w:tc>
        <w:tc>
          <w:tcPr>
            <w:tcW w:w="709" w:type="dxa"/>
            <w:noWrap/>
            <w:hideMark/>
          </w:tcPr>
          <w:p w14:paraId="1666072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185%</w:t>
            </w:r>
          </w:p>
        </w:tc>
        <w:tc>
          <w:tcPr>
            <w:tcW w:w="850" w:type="dxa"/>
            <w:noWrap/>
            <w:hideMark/>
          </w:tcPr>
          <w:p w14:paraId="632DCE84"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6F588C3F"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309351D"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7 486,61 zł </w:t>
            </w:r>
          </w:p>
        </w:tc>
        <w:tc>
          <w:tcPr>
            <w:tcW w:w="850" w:type="dxa"/>
            <w:vMerge/>
            <w:hideMark/>
          </w:tcPr>
          <w:p w14:paraId="0347667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53391CA"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66CDE10"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198FB09B"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€ 1 741,07 </w:t>
            </w:r>
          </w:p>
        </w:tc>
        <w:tc>
          <w:tcPr>
            <w:tcW w:w="851" w:type="dxa"/>
            <w:noWrap/>
            <w:hideMark/>
          </w:tcPr>
          <w:p w14:paraId="3876E4E7"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27738</w:t>
            </w:r>
          </w:p>
        </w:tc>
        <w:tc>
          <w:tcPr>
            <w:tcW w:w="982" w:type="dxa"/>
            <w:noWrap/>
            <w:hideMark/>
          </w:tcPr>
          <w:p w14:paraId="44384D68"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113299</w:t>
            </w:r>
          </w:p>
        </w:tc>
        <w:tc>
          <w:tcPr>
            <w:tcW w:w="962" w:type="dxa"/>
            <w:noWrap/>
            <w:hideMark/>
          </w:tcPr>
          <w:p w14:paraId="3EFE604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244%</w:t>
            </w:r>
          </w:p>
        </w:tc>
      </w:tr>
      <w:tr w:rsidR="00E24BD3" w:rsidRPr="001C7E6A" w14:paraId="2C2A337C" w14:textId="77777777" w:rsidTr="00E24BD3">
        <w:trPr>
          <w:trHeight w:val="360"/>
        </w:trPr>
        <w:tc>
          <w:tcPr>
            <w:cnfStyle w:val="001000000000" w:firstRow="0" w:lastRow="0" w:firstColumn="1" w:lastColumn="0" w:oddVBand="0" w:evenVBand="0" w:oddHBand="0" w:evenHBand="0" w:firstRowFirstColumn="0" w:firstRowLastColumn="0" w:lastRowFirstColumn="0" w:lastRowLastColumn="0"/>
            <w:tcW w:w="941" w:type="dxa"/>
            <w:noWrap/>
            <w:hideMark/>
          </w:tcPr>
          <w:p w14:paraId="77EB2AD9"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11.1</w:t>
            </w:r>
          </w:p>
        </w:tc>
        <w:tc>
          <w:tcPr>
            <w:tcW w:w="3880" w:type="dxa"/>
            <w:hideMark/>
          </w:tcPr>
          <w:p w14:paraId="13D7B834"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szkół, których pracownie przedmiotowe zostały doposażone w programie</w:t>
            </w:r>
          </w:p>
        </w:tc>
        <w:tc>
          <w:tcPr>
            <w:tcW w:w="850" w:type="dxa"/>
            <w:noWrap/>
            <w:hideMark/>
          </w:tcPr>
          <w:p w14:paraId="55C24F9F"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657</w:t>
            </w:r>
          </w:p>
        </w:tc>
        <w:tc>
          <w:tcPr>
            <w:tcW w:w="709" w:type="dxa"/>
            <w:noWrap/>
            <w:hideMark/>
          </w:tcPr>
          <w:p w14:paraId="1A757176"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148</w:t>
            </w:r>
          </w:p>
        </w:tc>
        <w:tc>
          <w:tcPr>
            <w:tcW w:w="709" w:type="dxa"/>
            <w:noWrap/>
            <w:hideMark/>
          </w:tcPr>
          <w:p w14:paraId="268E8885"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444%</w:t>
            </w:r>
          </w:p>
        </w:tc>
        <w:tc>
          <w:tcPr>
            <w:tcW w:w="850" w:type="dxa"/>
            <w:noWrap/>
            <w:hideMark/>
          </w:tcPr>
          <w:p w14:paraId="45182930"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4AF0EC3B"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7A36C74"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974 979,82 zł </w:t>
            </w:r>
          </w:p>
        </w:tc>
        <w:tc>
          <w:tcPr>
            <w:tcW w:w="850" w:type="dxa"/>
            <w:vMerge/>
            <w:hideMark/>
          </w:tcPr>
          <w:p w14:paraId="73844985"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5057A0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2E279BE3"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40942D87"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€226 739,49 </w:t>
            </w:r>
          </w:p>
        </w:tc>
        <w:tc>
          <w:tcPr>
            <w:tcW w:w="851" w:type="dxa"/>
            <w:noWrap/>
            <w:hideMark/>
          </w:tcPr>
          <w:p w14:paraId="0FA37AA0"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213</w:t>
            </w:r>
          </w:p>
        </w:tc>
        <w:tc>
          <w:tcPr>
            <w:tcW w:w="982" w:type="dxa"/>
            <w:noWrap/>
            <w:hideMark/>
          </w:tcPr>
          <w:p w14:paraId="0DA3F2C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870</w:t>
            </w:r>
          </w:p>
        </w:tc>
        <w:tc>
          <w:tcPr>
            <w:tcW w:w="962" w:type="dxa"/>
            <w:noWrap/>
            <w:hideMark/>
          </w:tcPr>
          <w:p w14:paraId="65A5FEB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588%</w:t>
            </w:r>
          </w:p>
        </w:tc>
      </w:tr>
      <w:tr w:rsidR="00E24BD3" w:rsidRPr="001C7E6A" w14:paraId="5F4F0410" w14:textId="77777777" w:rsidTr="00593B77">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41" w:type="dxa"/>
            <w:noWrap/>
            <w:hideMark/>
          </w:tcPr>
          <w:p w14:paraId="6A05F6EF"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11.1</w:t>
            </w:r>
          </w:p>
        </w:tc>
        <w:tc>
          <w:tcPr>
            <w:tcW w:w="3880" w:type="dxa"/>
            <w:hideMark/>
          </w:tcPr>
          <w:p w14:paraId="01DF1555"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szkół i placówek systemu oświaty wyposażonych w ramach programu w sprzęt TIK do prowadzenia zajęć edukacyjnych</w:t>
            </w:r>
          </w:p>
        </w:tc>
        <w:tc>
          <w:tcPr>
            <w:tcW w:w="850" w:type="dxa"/>
            <w:noWrap/>
            <w:hideMark/>
          </w:tcPr>
          <w:p w14:paraId="6641FD92"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749</w:t>
            </w:r>
          </w:p>
        </w:tc>
        <w:tc>
          <w:tcPr>
            <w:tcW w:w="709" w:type="dxa"/>
            <w:noWrap/>
            <w:hideMark/>
          </w:tcPr>
          <w:p w14:paraId="0CA9C3E1"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155</w:t>
            </w:r>
          </w:p>
        </w:tc>
        <w:tc>
          <w:tcPr>
            <w:tcW w:w="709" w:type="dxa"/>
            <w:noWrap/>
            <w:hideMark/>
          </w:tcPr>
          <w:p w14:paraId="67CC4030"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483%</w:t>
            </w:r>
          </w:p>
        </w:tc>
        <w:tc>
          <w:tcPr>
            <w:tcW w:w="850" w:type="dxa"/>
            <w:noWrap/>
            <w:hideMark/>
          </w:tcPr>
          <w:p w14:paraId="21C76D25"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7AB2FA02"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F2E0933"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855 222,62 zł </w:t>
            </w:r>
          </w:p>
        </w:tc>
        <w:tc>
          <w:tcPr>
            <w:tcW w:w="850" w:type="dxa"/>
            <w:vMerge/>
            <w:hideMark/>
          </w:tcPr>
          <w:p w14:paraId="6423C7B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BB17752"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23B555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6945A832"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€198 888,98 </w:t>
            </w:r>
          </w:p>
        </w:tc>
        <w:tc>
          <w:tcPr>
            <w:tcW w:w="851" w:type="dxa"/>
            <w:noWrap/>
            <w:hideMark/>
          </w:tcPr>
          <w:p w14:paraId="30526BF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243</w:t>
            </w:r>
          </w:p>
        </w:tc>
        <w:tc>
          <w:tcPr>
            <w:tcW w:w="982" w:type="dxa"/>
            <w:noWrap/>
            <w:hideMark/>
          </w:tcPr>
          <w:p w14:paraId="6505C357"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992</w:t>
            </w:r>
          </w:p>
        </w:tc>
        <w:tc>
          <w:tcPr>
            <w:tcW w:w="962" w:type="dxa"/>
            <w:noWrap/>
            <w:hideMark/>
          </w:tcPr>
          <w:p w14:paraId="2923D92B"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640%</w:t>
            </w:r>
          </w:p>
        </w:tc>
      </w:tr>
      <w:tr w:rsidR="00E24BD3" w:rsidRPr="001C7E6A" w14:paraId="758F0E9A" w14:textId="77777777" w:rsidTr="00E24BD3">
        <w:trPr>
          <w:trHeight w:val="76"/>
        </w:trPr>
        <w:tc>
          <w:tcPr>
            <w:cnfStyle w:val="001000000000" w:firstRow="0" w:lastRow="0" w:firstColumn="1" w:lastColumn="0" w:oddVBand="0" w:evenVBand="0" w:oddHBand="0" w:evenHBand="0" w:firstRowFirstColumn="0" w:firstRowLastColumn="0" w:lastRowFirstColumn="0" w:lastRowLastColumn="0"/>
            <w:tcW w:w="941" w:type="dxa"/>
            <w:noWrap/>
            <w:hideMark/>
          </w:tcPr>
          <w:p w14:paraId="755BB18D"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11.1</w:t>
            </w:r>
          </w:p>
        </w:tc>
        <w:tc>
          <w:tcPr>
            <w:tcW w:w="3880" w:type="dxa"/>
            <w:hideMark/>
          </w:tcPr>
          <w:p w14:paraId="59B762F6"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uczniów, którzy nabyli kompetencje kluczowe lub umiejętności uniwersalne niezbędne na rynku pracy po opuszczeniu programu</w:t>
            </w:r>
          </w:p>
        </w:tc>
        <w:tc>
          <w:tcPr>
            <w:tcW w:w="850" w:type="dxa"/>
            <w:noWrap/>
            <w:hideMark/>
          </w:tcPr>
          <w:p w14:paraId="6B5C5134"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71815</w:t>
            </w:r>
          </w:p>
        </w:tc>
        <w:tc>
          <w:tcPr>
            <w:tcW w:w="709" w:type="dxa"/>
            <w:noWrap/>
            <w:hideMark/>
          </w:tcPr>
          <w:p w14:paraId="4FA42FED"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27819</w:t>
            </w:r>
          </w:p>
        </w:tc>
        <w:tc>
          <w:tcPr>
            <w:tcW w:w="709" w:type="dxa"/>
            <w:noWrap/>
            <w:hideMark/>
          </w:tcPr>
          <w:p w14:paraId="68CF70A3"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258%</w:t>
            </w:r>
          </w:p>
        </w:tc>
        <w:tc>
          <w:tcPr>
            <w:tcW w:w="850" w:type="dxa"/>
            <w:noWrap/>
            <w:hideMark/>
          </w:tcPr>
          <w:p w14:paraId="7920F960"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010BC1C1"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B14AF8D"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8 919,61 zł </w:t>
            </w:r>
          </w:p>
        </w:tc>
        <w:tc>
          <w:tcPr>
            <w:tcW w:w="850" w:type="dxa"/>
            <w:vMerge/>
            <w:hideMark/>
          </w:tcPr>
          <w:p w14:paraId="239F9509"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C252CEC"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9392B7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2145EE0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€ 2 074,33 </w:t>
            </w:r>
          </w:p>
        </w:tc>
        <w:tc>
          <w:tcPr>
            <w:tcW w:w="851" w:type="dxa"/>
            <w:noWrap/>
            <w:hideMark/>
          </w:tcPr>
          <w:p w14:paraId="12C9E641"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23282</w:t>
            </w:r>
          </w:p>
        </w:tc>
        <w:tc>
          <w:tcPr>
            <w:tcW w:w="982" w:type="dxa"/>
            <w:noWrap/>
            <w:hideMark/>
          </w:tcPr>
          <w:p w14:paraId="6692FF50"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95097</w:t>
            </w:r>
          </w:p>
        </w:tc>
        <w:tc>
          <w:tcPr>
            <w:tcW w:w="962" w:type="dxa"/>
            <w:noWrap/>
            <w:hideMark/>
          </w:tcPr>
          <w:p w14:paraId="305986A4"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342%</w:t>
            </w:r>
          </w:p>
        </w:tc>
      </w:tr>
      <w:tr w:rsidR="00E24BD3" w:rsidRPr="001C7E6A" w14:paraId="50917F59" w14:textId="77777777" w:rsidTr="00593B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0C301FA9"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11.1</w:t>
            </w:r>
          </w:p>
        </w:tc>
        <w:tc>
          <w:tcPr>
            <w:tcW w:w="3880" w:type="dxa"/>
            <w:hideMark/>
          </w:tcPr>
          <w:p w14:paraId="2D3B57A9"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szkół, w których pracowanie przedmiotowe wykorzystują doposażenie do prowadzenia zajęć edukacyjnych</w:t>
            </w:r>
          </w:p>
        </w:tc>
        <w:tc>
          <w:tcPr>
            <w:tcW w:w="850" w:type="dxa"/>
            <w:noWrap/>
            <w:hideMark/>
          </w:tcPr>
          <w:p w14:paraId="589EA9E3"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662</w:t>
            </w:r>
          </w:p>
        </w:tc>
        <w:tc>
          <w:tcPr>
            <w:tcW w:w="709" w:type="dxa"/>
            <w:noWrap/>
            <w:hideMark/>
          </w:tcPr>
          <w:p w14:paraId="59E84BD8"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148</w:t>
            </w:r>
          </w:p>
        </w:tc>
        <w:tc>
          <w:tcPr>
            <w:tcW w:w="709" w:type="dxa"/>
            <w:noWrap/>
            <w:hideMark/>
          </w:tcPr>
          <w:p w14:paraId="3FB28A4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447%</w:t>
            </w:r>
          </w:p>
        </w:tc>
        <w:tc>
          <w:tcPr>
            <w:tcW w:w="850" w:type="dxa"/>
            <w:noWrap/>
            <w:hideMark/>
          </w:tcPr>
          <w:p w14:paraId="3F6F22A7"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2591333E"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4E678B71"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967 615,93 zł </w:t>
            </w:r>
          </w:p>
        </w:tc>
        <w:tc>
          <w:tcPr>
            <w:tcW w:w="850" w:type="dxa"/>
            <w:vMerge/>
            <w:hideMark/>
          </w:tcPr>
          <w:p w14:paraId="755D578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8F48C79"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8BDC61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23661D4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€225 026,96 </w:t>
            </w:r>
          </w:p>
        </w:tc>
        <w:tc>
          <w:tcPr>
            <w:tcW w:w="851" w:type="dxa"/>
            <w:noWrap/>
            <w:hideMark/>
          </w:tcPr>
          <w:p w14:paraId="1F7EFA00"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215</w:t>
            </w:r>
          </w:p>
        </w:tc>
        <w:tc>
          <w:tcPr>
            <w:tcW w:w="982" w:type="dxa"/>
            <w:noWrap/>
            <w:hideMark/>
          </w:tcPr>
          <w:p w14:paraId="6549A279"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877</w:t>
            </w:r>
          </w:p>
        </w:tc>
        <w:tc>
          <w:tcPr>
            <w:tcW w:w="962" w:type="dxa"/>
            <w:noWrap/>
            <w:hideMark/>
          </w:tcPr>
          <w:p w14:paraId="54EAD8F1"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592%</w:t>
            </w:r>
          </w:p>
        </w:tc>
      </w:tr>
      <w:tr w:rsidR="00E24BD3" w:rsidRPr="001C7E6A" w14:paraId="19A7D930" w14:textId="77777777" w:rsidTr="00E24BD3">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78CF6573"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11.1</w:t>
            </w:r>
          </w:p>
        </w:tc>
        <w:tc>
          <w:tcPr>
            <w:tcW w:w="3880" w:type="dxa"/>
            <w:hideMark/>
          </w:tcPr>
          <w:p w14:paraId="4773F11A"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szkół i placówek systemu oświaty wykorzystujących sprzęt TIK do prowadzenia zajęć edukacyjnych</w:t>
            </w:r>
          </w:p>
        </w:tc>
        <w:tc>
          <w:tcPr>
            <w:tcW w:w="850" w:type="dxa"/>
            <w:noWrap/>
            <w:hideMark/>
          </w:tcPr>
          <w:p w14:paraId="45F543E4"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753</w:t>
            </w:r>
          </w:p>
        </w:tc>
        <w:tc>
          <w:tcPr>
            <w:tcW w:w="709" w:type="dxa"/>
            <w:noWrap/>
            <w:hideMark/>
          </w:tcPr>
          <w:p w14:paraId="6D3A6CAC"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155</w:t>
            </w:r>
          </w:p>
        </w:tc>
        <w:tc>
          <w:tcPr>
            <w:tcW w:w="709" w:type="dxa"/>
            <w:noWrap/>
            <w:hideMark/>
          </w:tcPr>
          <w:p w14:paraId="7568036F"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486%</w:t>
            </w:r>
          </w:p>
        </w:tc>
        <w:tc>
          <w:tcPr>
            <w:tcW w:w="850" w:type="dxa"/>
            <w:noWrap/>
            <w:hideMark/>
          </w:tcPr>
          <w:p w14:paraId="3258AA64"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0E8D9BEB"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9A334D3"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850 679,61 zł </w:t>
            </w:r>
          </w:p>
        </w:tc>
        <w:tc>
          <w:tcPr>
            <w:tcW w:w="850" w:type="dxa"/>
            <w:vMerge/>
            <w:hideMark/>
          </w:tcPr>
          <w:p w14:paraId="352E742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22B7694"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870E740"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4E647A22"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€197 832,47 </w:t>
            </w:r>
          </w:p>
        </w:tc>
        <w:tc>
          <w:tcPr>
            <w:tcW w:w="851" w:type="dxa"/>
            <w:noWrap/>
            <w:hideMark/>
          </w:tcPr>
          <w:p w14:paraId="7FAE5C2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244</w:t>
            </w:r>
          </w:p>
        </w:tc>
        <w:tc>
          <w:tcPr>
            <w:tcW w:w="982" w:type="dxa"/>
            <w:noWrap/>
            <w:hideMark/>
          </w:tcPr>
          <w:p w14:paraId="5F12B416"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997</w:t>
            </w:r>
          </w:p>
        </w:tc>
        <w:tc>
          <w:tcPr>
            <w:tcW w:w="962" w:type="dxa"/>
            <w:noWrap/>
            <w:hideMark/>
          </w:tcPr>
          <w:p w14:paraId="6B93A182"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643%</w:t>
            </w:r>
          </w:p>
        </w:tc>
      </w:tr>
      <w:tr w:rsidR="00E24BD3" w:rsidRPr="001C7E6A" w14:paraId="232DB9CE" w14:textId="77777777" w:rsidTr="00593B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5743BBB6"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11.4</w:t>
            </w:r>
          </w:p>
        </w:tc>
        <w:tc>
          <w:tcPr>
            <w:tcW w:w="3880" w:type="dxa"/>
            <w:hideMark/>
          </w:tcPr>
          <w:p w14:paraId="5C851493"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osób o niskich kwalifikacjach objętych wsparciem w programie</w:t>
            </w:r>
          </w:p>
        </w:tc>
        <w:tc>
          <w:tcPr>
            <w:tcW w:w="850" w:type="dxa"/>
            <w:noWrap/>
            <w:hideMark/>
          </w:tcPr>
          <w:p w14:paraId="787334F9"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16241</w:t>
            </w:r>
          </w:p>
        </w:tc>
        <w:tc>
          <w:tcPr>
            <w:tcW w:w="709" w:type="dxa"/>
            <w:noWrap/>
            <w:hideMark/>
          </w:tcPr>
          <w:p w14:paraId="76C43209"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15412</w:t>
            </w:r>
          </w:p>
        </w:tc>
        <w:tc>
          <w:tcPr>
            <w:tcW w:w="709" w:type="dxa"/>
            <w:noWrap/>
            <w:hideMark/>
          </w:tcPr>
          <w:p w14:paraId="5FC06D97"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105%</w:t>
            </w:r>
          </w:p>
        </w:tc>
        <w:tc>
          <w:tcPr>
            <w:tcW w:w="850" w:type="dxa"/>
            <w:noWrap/>
            <w:hideMark/>
          </w:tcPr>
          <w:p w14:paraId="74393077"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510533AD"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4F9C43C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39 441,03 zł </w:t>
            </w:r>
          </w:p>
        </w:tc>
        <w:tc>
          <w:tcPr>
            <w:tcW w:w="850" w:type="dxa"/>
            <w:vMerge/>
            <w:hideMark/>
          </w:tcPr>
          <w:p w14:paraId="38E1BBA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6E9E27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5A2E54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25427EA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€ 9 172,33 </w:t>
            </w:r>
          </w:p>
        </w:tc>
        <w:tc>
          <w:tcPr>
            <w:tcW w:w="851" w:type="dxa"/>
            <w:noWrap/>
            <w:hideMark/>
          </w:tcPr>
          <w:p w14:paraId="0302A14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5265</w:t>
            </w:r>
          </w:p>
        </w:tc>
        <w:tc>
          <w:tcPr>
            <w:tcW w:w="982" w:type="dxa"/>
            <w:noWrap/>
            <w:hideMark/>
          </w:tcPr>
          <w:p w14:paraId="16F28A0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21506</w:t>
            </w:r>
          </w:p>
        </w:tc>
        <w:tc>
          <w:tcPr>
            <w:tcW w:w="962" w:type="dxa"/>
            <w:noWrap/>
            <w:hideMark/>
          </w:tcPr>
          <w:p w14:paraId="71A6B2F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140%</w:t>
            </w:r>
          </w:p>
        </w:tc>
      </w:tr>
      <w:tr w:rsidR="00E24BD3" w:rsidRPr="001C7E6A" w14:paraId="17CE5A1C" w14:textId="77777777" w:rsidTr="00E24BD3">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2C3DCD4F"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11.4</w:t>
            </w:r>
          </w:p>
        </w:tc>
        <w:tc>
          <w:tcPr>
            <w:tcW w:w="3880" w:type="dxa"/>
            <w:hideMark/>
          </w:tcPr>
          <w:p w14:paraId="59FA0F63"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osób w wieku 50 lat i więcej objętych wsparciem w programie</w:t>
            </w:r>
          </w:p>
        </w:tc>
        <w:tc>
          <w:tcPr>
            <w:tcW w:w="850" w:type="dxa"/>
            <w:noWrap/>
            <w:hideMark/>
          </w:tcPr>
          <w:p w14:paraId="692D31F0"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5879</w:t>
            </w:r>
          </w:p>
        </w:tc>
        <w:tc>
          <w:tcPr>
            <w:tcW w:w="709" w:type="dxa"/>
            <w:noWrap/>
            <w:hideMark/>
          </w:tcPr>
          <w:p w14:paraId="05E1B063"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3626</w:t>
            </w:r>
          </w:p>
        </w:tc>
        <w:tc>
          <w:tcPr>
            <w:tcW w:w="709" w:type="dxa"/>
            <w:noWrap/>
            <w:hideMark/>
          </w:tcPr>
          <w:p w14:paraId="3E388488"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162%</w:t>
            </w:r>
          </w:p>
        </w:tc>
        <w:tc>
          <w:tcPr>
            <w:tcW w:w="850" w:type="dxa"/>
            <w:noWrap/>
            <w:hideMark/>
          </w:tcPr>
          <w:p w14:paraId="19412296"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72D88B69"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86940D0"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108 957,60 zł </w:t>
            </w:r>
          </w:p>
        </w:tc>
        <w:tc>
          <w:tcPr>
            <w:tcW w:w="850" w:type="dxa"/>
            <w:vMerge/>
            <w:hideMark/>
          </w:tcPr>
          <w:p w14:paraId="78E86D8F"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7C00CD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DB9AB15"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06E5450F"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€ 25 338,98 </w:t>
            </w:r>
          </w:p>
        </w:tc>
        <w:tc>
          <w:tcPr>
            <w:tcW w:w="851" w:type="dxa"/>
            <w:noWrap/>
            <w:hideMark/>
          </w:tcPr>
          <w:p w14:paraId="249710D1"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1906</w:t>
            </w:r>
          </w:p>
        </w:tc>
        <w:tc>
          <w:tcPr>
            <w:tcW w:w="982" w:type="dxa"/>
            <w:noWrap/>
            <w:hideMark/>
          </w:tcPr>
          <w:p w14:paraId="526CD686"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7785</w:t>
            </w:r>
          </w:p>
        </w:tc>
        <w:tc>
          <w:tcPr>
            <w:tcW w:w="962" w:type="dxa"/>
            <w:noWrap/>
            <w:hideMark/>
          </w:tcPr>
          <w:p w14:paraId="346EC027"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215%</w:t>
            </w:r>
          </w:p>
        </w:tc>
      </w:tr>
      <w:tr w:rsidR="00E24BD3" w:rsidRPr="001C7E6A" w14:paraId="356A7390" w14:textId="77777777" w:rsidTr="00593B77">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41" w:type="dxa"/>
            <w:noWrap/>
            <w:hideMark/>
          </w:tcPr>
          <w:p w14:paraId="626391A7"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11.4</w:t>
            </w:r>
          </w:p>
        </w:tc>
        <w:tc>
          <w:tcPr>
            <w:tcW w:w="3880" w:type="dxa"/>
            <w:hideMark/>
          </w:tcPr>
          <w:p w14:paraId="20D79753"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osób w wieku 25 lat i więcej objętych wsparciem w programie</w:t>
            </w:r>
          </w:p>
        </w:tc>
        <w:tc>
          <w:tcPr>
            <w:tcW w:w="850" w:type="dxa"/>
            <w:noWrap/>
            <w:hideMark/>
          </w:tcPr>
          <w:p w14:paraId="09D514F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26435</w:t>
            </w:r>
          </w:p>
        </w:tc>
        <w:tc>
          <w:tcPr>
            <w:tcW w:w="709" w:type="dxa"/>
            <w:noWrap/>
            <w:hideMark/>
          </w:tcPr>
          <w:p w14:paraId="4E91D19F"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14506</w:t>
            </w:r>
          </w:p>
        </w:tc>
        <w:tc>
          <w:tcPr>
            <w:tcW w:w="709" w:type="dxa"/>
            <w:noWrap/>
            <w:hideMark/>
          </w:tcPr>
          <w:p w14:paraId="4B2399B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182%</w:t>
            </w:r>
          </w:p>
        </w:tc>
        <w:tc>
          <w:tcPr>
            <w:tcW w:w="850" w:type="dxa"/>
            <w:noWrap/>
            <w:hideMark/>
          </w:tcPr>
          <w:p w14:paraId="2FCC592C"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4D85AB19"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C01CE2D"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24 231,58 zł </w:t>
            </w:r>
          </w:p>
        </w:tc>
        <w:tc>
          <w:tcPr>
            <w:tcW w:w="850" w:type="dxa"/>
            <w:vMerge/>
            <w:hideMark/>
          </w:tcPr>
          <w:p w14:paraId="0C4F6400"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CBC0AB2"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4F33F6F"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72D546F5"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€ 5 635,25 </w:t>
            </w:r>
          </w:p>
        </w:tc>
        <w:tc>
          <w:tcPr>
            <w:tcW w:w="851" w:type="dxa"/>
            <w:noWrap/>
            <w:hideMark/>
          </w:tcPr>
          <w:p w14:paraId="7B1029B3"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8570</w:t>
            </w:r>
          </w:p>
        </w:tc>
        <w:tc>
          <w:tcPr>
            <w:tcW w:w="982" w:type="dxa"/>
            <w:noWrap/>
            <w:hideMark/>
          </w:tcPr>
          <w:p w14:paraId="361CAC3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35005</w:t>
            </w:r>
          </w:p>
        </w:tc>
        <w:tc>
          <w:tcPr>
            <w:tcW w:w="962" w:type="dxa"/>
            <w:noWrap/>
            <w:hideMark/>
          </w:tcPr>
          <w:p w14:paraId="050895E0"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241%</w:t>
            </w:r>
          </w:p>
        </w:tc>
      </w:tr>
      <w:tr w:rsidR="00E24BD3" w:rsidRPr="001C7E6A" w14:paraId="10084136" w14:textId="77777777" w:rsidTr="00E24BD3">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4FE03633"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11.4</w:t>
            </w:r>
          </w:p>
        </w:tc>
        <w:tc>
          <w:tcPr>
            <w:tcW w:w="3880" w:type="dxa"/>
            <w:hideMark/>
          </w:tcPr>
          <w:p w14:paraId="678C2907"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osób o niskich kwalifikacjach, które uzyskały lub nabyły kompetencje po opuszczeniu programu</w:t>
            </w:r>
          </w:p>
        </w:tc>
        <w:tc>
          <w:tcPr>
            <w:tcW w:w="850" w:type="dxa"/>
            <w:noWrap/>
            <w:hideMark/>
          </w:tcPr>
          <w:p w14:paraId="070EDDF8"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11750</w:t>
            </w:r>
          </w:p>
        </w:tc>
        <w:tc>
          <w:tcPr>
            <w:tcW w:w="709" w:type="dxa"/>
            <w:noWrap/>
            <w:hideMark/>
          </w:tcPr>
          <w:p w14:paraId="60662033"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9247</w:t>
            </w:r>
          </w:p>
        </w:tc>
        <w:tc>
          <w:tcPr>
            <w:tcW w:w="709" w:type="dxa"/>
            <w:noWrap/>
            <w:hideMark/>
          </w:tcPr>
          <w:p w14:paraId="48EE2BB4"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127%</w:t>
            </w:r>
          </w:p>
        </w:tc>
        <w:tc>
          <w:tcPr>
            <w:tcW w:w="850" w:type="dxa"/>
            <w:noWrap/>
            <w:hideMark/>
          </w:tcPr>
          <w:p w14:paraId="740F76CC"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104D6B38"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517079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54 515,89 zł </w:t>
            </w:r>
          </w:p>
        </w:tc>
        <w:tc>
          <w:tcPr>
            <w:tcW w:w="850" w:type="dxa"/>
            <w:vMerge/>
            <w:hideMark/>
          </w:tcPr>
          <w:p w14:paraId="5F8B8AFE"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7600945"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A504B20"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455EC0CC"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€ 12 678,11 </w:t>
            </w:r>
          </w:p>
        </w:tc>
        <w:tc>
          <w:tcPr>
            <w:tcW w:w="851" w:type="dxa"/>
            <w:noWrap/>
            <w:hideMark/>
          </w:tcPr>
          <w:p w14:paraId="5F173876"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3809</w:t>
            </w:r>
          </w:p>
        </w:tc>
        <w:tc>
          <w:tcPr>
            <w:tcW w:w="982" w:type="dxa"/>
            <w:noWrap/>
            <w:hideMark/>
          </w:tcPr>
          <w:p w14:paraId="18DDE55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15559</w:t>
            </w:r>
          </w:p>
        </w:tc>
        <w:tc>
          <w:tcPr>
            <w:tcW w:w="962" w:type="dxa"/>
            <w:noWrap/>
            <w:hideMark/>
          </w:tcPr>
          <w:p w14:paraId="13B48969"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168%</w:t>
            </w:r>
          </w:p>
        </w:tc>
      </w:tr>
      <w:tr w:rsidR="00E24BD3" w:rsidRPr="001C7E6A" w14:paraId="5E4C2E56" w14:textId="77777777" w:rsidTr="00593B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27BA73B5"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11.4</w:t>
            </w:r>
          </w:p>
        </w:tc>
        <w:tc>
          <w:tcPr>
            <w:tcW w:w="3880" w:type="dxa"/>
            <w:hideMark/>
          </w:tcPr>
          <w:p w14:paraId="36F5BE59"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osób w wieku 50 lat i więcej, które uzyskały kwalifikacje lub nabyły kompetencje po opuszczeniu programu</w:t>
            </w:r>
          </w:p>
        </w:tc>
        <w:tc>
          <w:tcPr>
            <w:tcW w:w="850" w:type="dxa"/>
            <w:noWrap/>
            <w:hideMark/>
          </w:tcPr>
          <w:p w14:paraId="0C941CC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4266</w:t>
            </w:r>
          </w:p>
        </w:tc>
        <w:tc>
          <w:tcPr>
            <w:tcW w:w="709" w:type="dxa"/>
            <w:noWrap/>
            <w:hideMark/>
          </w:tcPr>
          <w:p w14:paraId="29209380"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2176</w:t>
            </w:r>
          </w:p>
        </w:tc>
        <w:tc>
          <w:tcPr>
            <w:tcW w:w="709" w:type="dxa"/>
            <w:noWrap/>
            <w:hideMark/>
          </w:tcPr>
          <w:p w14:paraId="61C7587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196%</w:t>
            </w:r>
          </w:p>
        </w:tc>
        <w:tc>
          <w:tcPr>
            <w:tcW w:w="850" w:type="dxa"/>
            <w:noWrap/>
            <w:hideMark/>
          </w:tcPr>
          <w:p w14:paraId="379A75B9"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3BA30A88"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8D7D27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150 155,12 zł </w:t>
            </w:r>
          </w:p>
        </w:tc>
        <w:tc>
          <w:tcPr>
            <w:tcW w:w="850" w:type="dxa"/>
            <w:vMerge/>
            <w:hideMark/>
          </w:tcPr>
          <w:p w14:paraId="0AB19E2F"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B0E363B"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B436860"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7407F6C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€ 34 919,80 </w:t>
            </w:r>
          </w:p>
        </w:tc>
        <w:tc>
          <w:tcPr>
            <w:tcW w:w="851" w:type="dxa"/>
            <w:noWrap/>
            <w:hideMark/>
          </w:tcPr>
          <w:p w14:paraId="70930A3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1383</w:t>
            </w:r>
          </w:p>
        </w:tc>
        <w:tc>
          <w:tcPr>
            <w:tcW w:w="982" w:type="dxa"/>
            <w:noWrap/>
            <w:hideMark/>
          </w:tcPr>
          <w:p w14:paraId="53FB6BE5"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5649</w:t>
            </w:r>
          </w:p>
        </w:tc>
        <w:tc>
          <w:tcPr>
            <w:tcW w:w="962" w:type="dxa"/>
            <w:noWrap/>
            <w:hideMark/>
          </w:tcPr>
          <w:p w14:paraId="6F670588"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260%</w:t>
            </w:r>
          </w:p>
        </w:tc>
      </w:tr>
      <w:tr w:rsidR="00E24BD3" w:rsidRPr="001C7E6A" w14:paraId="123F47FA" w14:textId="77777777" w:rsidTr="00E24BD3">
        <w:trPr>
          <w:trHeight w:val="360"/>
        </w:trPr>
        <w:tc>
          <w:tcPr>
            <w:cnfStyle w:val="001000000000" w:firstRow="0" w:lastRow="0" w:firstColumn="1" w:lastColumn="0" w:oddVBand="0" w:evenVBand="0" w:oddHBand="0" w:evenHBand="0" w:firstRowFirstColumn="0" w:firstRowLastColumn="0" w:lastRowFirstColumn="0" w:lastRowLastColumn="0"/>
            <w:tcW w:w="941" w:type="dxa"/>
            <w:noWrap/>
            <w:hideMark/>
          </w:tcPr>
          <w:p w14:paraId="2B9A83DE"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11.4</w:t>
            </w:r>
          </w:p>
        </w:tc>
        <w:tc>
          <w:tcPr>
            <w:tcW w:w="3880" w:type="dxa"/>
            <w:hideMark/>
          </w:tcPr>
          <w:p w14:paraId="61C1A154"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Liczba osób w wieku 25 lat i więcej, które uzyskały kwalifikacje lub nabyły kompetencje po opuszczeniu </w:t>
            </w:r>
          </w:p>
        </w:tc>
        <w:tc>
          <w:tcPr>
            <w:tcW w:w="850" w:type="dxa"/>
            <w:noWrap/>
            <w:hideMark/>
          </w:tcPr>
          <w:p w14:paraId="5C5710DF"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19154</w:t>
            </w:r>
          </w:p>
        </w:tc>
        <w:tc>
          <w:tcPr>
            <w:tcW w:w="709" w:type="dxa"/>
            <w:noWrap/>
            <w:hideMark/>
          </w:tcPr>
          <w:p w14:paraId="132F106F"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8704</w:t>
            </w:r>
          </w:p>
        </w:tc>
        <w:tc>
          <w:tcPr>
            <w:tcW w:w="709" w:type="dxa"/>
            <w:noWrap/>
            <w:hideMark/>
          </w:tcPr>
          <w:p w14:paraId="0F962880"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220%</w:t>
            </w:r>
          </w:p>
        </w:tc>
        <w:tc>
          <w:tcPr>
            <w:tcW w:w="850" w:type="dxa"/>
            <w:noWrap/>
            <w:hideMark/>
          </w:tcPr>
          <w:p w14:paraId="0E9C767E"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237A77E6"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2C5667E8"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33 442,71 zł </w:t>
            </w:r>
          </w:p>
        </w:tc>
        <w:tc>
          <w:tcPr>
            <w:tcW w:w="850" w:type="dxa"/>
            <w:vMerge/>
            <w:hideMark/>
          </w:tcPr>
          <w:p w14:paraId="09DCEF59"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BD6E86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E9F4ED2"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409FDB87"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€ 7 777,38 </w:t>
            </w:r>
          </w:p>
        </w:tc>
        <w:tc>
          <w:tcPr>
            <w:tcW w:w="851" w:type="dxa"/>
            <w:noWrap/>
            <w:hideMark/>
          </w:tcPr>
          <w:p w14:paraId="4FB5B304"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6210</w:t>
            </w:r>
          </w:p>
        </w:tc>
        <w:tc>
          <w:tcPr>
            <w:tcW w:w="982" w:type="dxa"/>
            <w:noWrap/>
            <w:hideMark/>
          </w:tcPr>
          <w:p w14:paraId="08A18CA7"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25364</w:t>
            </w:r>
          </w:p>
        </w:tc>
        <w:tc>
          <w:tcPr>
            <w:tcW w:w="962" w:type="dxa"/>
            <w:noWrap/>
            <w:hideMark/>
          </w:tcPr>
          <w:p w14:paraId="389DA13C"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291%</w:t>
            </w:r>
          </w:p>
        </w:tc>
      </w:tr>
      <w:tr w:rsidR="00E24BD3" w:rsidRPr="001C7E6A" w14:paraId="6AC161C0" w14:textId="77777777" w:rsidTr="00593B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20B8F8BF"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11.2</w:t>
            </w:r>
          </w:p>
        </w:tc>
        <w:tc>
          <w:tcPr>
            <w:tcW w:w="3880" w:type="dxa"/>
            <w:hideMark/>
          </w:tcPr>
          <w:p w14:paraId="732B7054"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uczniów szkół i placówek kształcenia zawodowego uczestniczących w stażach i praktykach u pracodawcy</w:t>
            </w:r>
          </w:p>
        </w:tc>
        <w:tc>
          <w:tcPr>
            <w:tcW w:w="850" w:type="dxa"/>
            <w:noWrap/>
            <w:hideMark/>
          </w:tcPr>
          <w:p w14:paraId="6481488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13401</w:t>
            </w:r>
          </w:p>
        </w:tc>
        <w:tc>
          <w:tcPr>
            <w:tcW w:w="709" w:type="dxa"/>
            <w:noWrap/>
            <w:hideMark/>
          </w:tcPr>
          <w:p w14:paraId="4EC7CF7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6066</w:t>
            </w:r>
          </w:p>
        </w:tc>
        <w:tc>
          <w:tcPr>
            <w:tcW w:w="709" w:type="dxa"/>
            <w:noWrap/>
            <w:hideMark/>
          </w:tcPr>
          <w:p w14:paraId="626FB89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221%</w:t>
            </w:r>
          </w:p>
        </w:tc>
        <w:tc>
          <w:tcPr>
            <w:tcW w:w="850" w:type="dxa"/>
            <w:noWrap/>
            <w:hideMark/>
          </w:tcPr>
          <w:p w14:paraId="73094BF3"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46B393FA"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240AA78"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47 799,55 zł </w:t>
            </w:r>
          </w:p>
        </w:tc>
        <w:tc>
          <w:tcPr>
            <w:tcW w:w="850" w:type="dxa"/>
            <w:vMerge/>
            <w:hideMark/>
          </w:tcPr>
          <w:p w14:paraId="35D8B6D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5EAB8F5"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28C675F5"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60A80182"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€ 11 116,17 </w:t>
            </w:r>
          </w:p>
        </w:tc>
        <w:tc>
          <w:tcPr>
            <w:tcW w:w="851" w:type="dxa"/>
            <w:noWrap/>
            <w:hideMark/>
          </w:tcPr>
          <w:p w14:paraId="284EB95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4344</w:t>
            </w:r>
          </w:p>
        </w:tc>
        <w:tc>
          <w:tcPr>
            <w:tcW w:w="982" w:type="dxa"/>
            <w:noWrap/>
            <w:hideMark/>
          </w:tcPr>
          <w:p w14:paraId="6F28DB4D"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17745</w:t>
            </w:r>
          </w:p>
        </w:tc>
        <w:tc>
          <w:tcPr>
            <w:tcW w:w="962" w:type="dxa"/>
            <w:noWrap/>
            <w:hideMark/>
          </w:tcPr>
          <w:p w14:paraId="0D72089F"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293%</w:t>
            </w:r>
          </w:p>
        </w:tc>
      </w:tr>
      <w:tr w:rsidR="00E24BD3" w:rsidRPr="001C7E6A" w14:paraId="2B825472" w14:textId="77777777" w:rsidTr="00E24BD3">
        <w:trPr>
          <w:trHeight w:val="114"/>
        </w:trPr>
        <w:tc>
          <w:tcPr>
            <w:cnfStyle w:val="001000000000" w:firstRow="0" w:lastRow="0" w:firstColumn="1" w:lastColumn="0" w:oddVBand="0" w:evenVBand="0" w:oddHBand="0" w:evenHBand="0" w:firstRowFirstColumn="0" w:firstRowLastColumn="0" w:lastRowFirstColumn="0" w:lastRowLastColumn="0"/>
            <w:tcW w:w="941" w:type="dxa"/>
            <w:noWrap/>
            <w:hideMark/>
          </w:tcPr>
          <w:p w14:paraId="17CFE01D"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11.3</w:t>
            </w:r>
          </w:p>
        </w:tc>
        <w:tc>
          <w:tcPr>
            <w:tcW w:w="3880" w:type="dxa"/>
            <w:hideMark/>
          </w:tcPr>
          <w:p w14:paraId="1CD57874"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osób uczestniczących w pozaszkolnych formach kształcenia w programie</w:t>
            </w:r>
          </w:p>
        </w:tc>
        <w:tc>
          <w:tcPr>
            <w:tcW w:w="850" w:type="dxa"/>
            <w:noWrap/>
            <w:hideMark/>
          </w:tcPr>
          <w:p w14:paraId="447AAB4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37597</w:t>
            </w:r>
          </w:p>
        </w:tc>
        <w:tc>
          <w:tcPr>
            <w:tcW w:w="709" w:type="dxa"/>
            <w:noWrap/>
            <w:hideMark/>
          </w:tcPr>
          <w:p w14:paraId="310A3C15"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4729</w:t>
            </w:r>
          </w:p>
        </w:tc>
        <w:tc>
          <w:tcPr>
            <w:tcW w:w="709" w:type="dxa"/>
            <w:noWrap/>
            <w:hideMark/>
          </w:tcPr>
          <w:p w14:paraId="70AFB151"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795%</w:t>
            </w:r>
          </w:p>
        </w:tc>
        <w:tc>
          <w:tcPr>
            <w:tcW w:w="850" w:type="dxa"/>
            <w:noWrap/>
            <w:hideMark/>
          </w:tcPr>
          <w:p w14:paraId="1F325967"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699C8A53"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5737E0D"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17 037,58 zł </w:t>
            </w:r>
          </w:p>
        </w:tc>
        <w:tc>
          <w:tcPr>
            <w:tcW w:w="850" w:type="dxa"/>
            <w:vMerge/>
            <w:hideMark/>
          </w:tcPr>
          <w:p w14:paraId="2AB781C8"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CFA8CF4"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2FE486E"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402D6AFE"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€ 3 962,23 </w:t>
            </w:r>
          </w:p>
        </w:tc>
        <w:tc>
          <w:tcPr>
            <w:tcW w:w="851" w:type="dxa"/>
            <w:noWrap/>
            <w:hideMark/>
          </w:tcPr>
          <w:p w14:paraId="296E739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12189</w:t>
            </w:r>
          </w:p>
        </w:tc>
        <w:tc>
          <w:tcPr>
            <w:tcW w:w="982" w:type="dxa"/>
            <w:noWrap/>
            <w:hideMark/>
          </w:tcPr>
          <w:p w14:paraId="0D55D947"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49786</w:t>
            </w:r>
          </w:p>
        </w:tc>
        <w:tc>
          <w:tcPr>
            <w:tcW w:w="962" w:type="dxa"/>
            <w:noWrap/>
            <w:hideMark/>
          </w:tcPr>
          <w:p w14:paraId="317D35B6"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1053%</w:t>
            </w:r>
          </w:p>
        </w:tc>
      </w:tr>
      <w:tr w:rsidR="00E24BD3" w:rsidRPr="001C7E6A" w14:paraId="7D3532CF" w14:textId="77777777" w:rsidTr="00593B77">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941" w:type="dxa"/>
            <w:noWrap/>
            <w:hideMark/>
          </w:tcPr>
          <w:p w14:paraId="41EE5E46"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11.3</w:t>
            </w:r>
          </w:p>
        </w:tc>
        <w:tc>
          <w:tcPr>
            <w:tcW w:w="3880" w:type="dxa"/>
            <w:hideMark/>
          </w:tcPr>
          <w:p w14:paraId="70A37A7E"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podmiotów realizujących zadania centrum kształcenia zawodowego i ustawicznego objętych wsparciem w programie</w:t>
            </w:r>
          </w:p>
        </w:tc>
        <w:tc>
          <w:tcPr>
            <w:tcW w:w="850" w:type="dxa"/>
            <w:noWrap/>
            <w:hideMark/>
          </w:tcPr>
          <w:p w14:paraId="4A9F368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w:t>
            </w:r>
          </w:p>
        </w:tc>
        <w:tc>
          <w:tcPr>
            <w:tcW w:w="709" w:type="dxa"/>
            <w:noWrap/>
            <w:hideMark/>
          </w:tcPr>
          <w:p w14:paraId="58FB8B2B" w14:textId="77777777" w:rsidR="00357502" w:rsidRPr="00E24BD3" w:rsidRDefault="00915A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915AF8">
              <w:rPr>
                <w:rFonts w:ascii="Calibri" w:eastAsia="Times New Roman" w:hAnsi="Calibri" w:cs="Calibri"/>
                <w:color w:val="000000"/>
                <w:sz w:val="12"/>
                <w:szCs w:val="12"/>
                <w:lang w:eastAsia="pl-PL"/>
              </w:rPr>
              <w:t>2</w:t>
            </w:r>
          </w:p>
        </w:tc>
        <w:tc>
          <w:tcPr>
            <w:tcW w:w="709" w:type="dxa"/>
            <w:noWrap/>
            <w:hideMark/>
          </w:tcPr>
          <w:p w14:paraId="4516DE51" w14:textId="77777777" w:rsidR="00357502" w:rsidRPr="00E24BD3" w:rsidRDefault="00915A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915AF8">
              <w:rPr>
                <w:rFonts w:ascii="Calibri" w:eastAsia="Times New Roman" w:hAnsi="Calibri" w:cs="Calibri"/>
                <w:color w:val="000000"/>
                <w:sz w:val="12"/>
                <w:szCs w:val="12"/>
                <w:lang w:eastAsia="pl-PL"/>
              </w:rPr>
              <w:t>100</w:t>
            </w:r>
            <w:r w:rsidR="00357502" w:rsidRPr="00E24BD3">
              <w:rPr>
                <w:rFonts w:ascii="Calibri" w:eastAsia="Times New Roman" w:hAnsi="Calibri" w:cs="Calibri"/>
                <w:color w:val="000000"/>
                <w:sz w:val="12"/>
                <w:szCs w:val="12"/>
                <w:lang w:eastAsia="pl-PL"/>
              </w:rPr>
              <w:t>%</w:t>
            </w:r>
          </w:p>
        </w:tc>
        <w:tc>
          <w:tcPr>
            <w:tcW w:w="850" w:type="dxa"/>
            <w:noWrap/>
            <w:hideMark/>
          </w:tcPr>
          <w:p w14:paraId="195BA045" w14:textId="77777777" w:rsidR="00357502" w:rsidRPr="00E24BD3" w:rsidRDefault="00915AF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40249D">
              <w:rPr>
                <w:rFonts w:ascii="Calibri" w:eastAsia="Times New Roman" w:hAnsi="Calibri" w:cs="Calibri"/>
                <w:color w:val="000000"/>
                <w:sz w:val="12"/>
                <w:szCs w:val="12"/>
                <w:lang w:eastAsia="pl-PL"/>
              </w:rPr>
              <w:t>Wskaźnik osiągnięty</w:t>
            </w:r>
          </w:p>
        </w:tc>
        <w:tc>
          <w:tcPr>
            <w:tcW w:w="992" w:type="dxa"/>
            <w:vMerge/>
            <w:hideMark/>
          </w:tcPr>
          <w:p w14:paraId="6B203E8C"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4F0C65A3"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320 280 871,50 zł </w:t>
            </w:r>
          </w:p>
        </w:tc>
        <w:tc>
          <w:tcPr>
            <w:tcW w:w="850" w:type="dxa"/>
            <w:vMerge/>
            <w:hideMark/>
          </w:tcPr>
          <w:p w14:paraId="29A403E5"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4362E5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D9C009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64CF83E9"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€74 483 923,60 </w:t>
            </w:r>
          </w:p>
        </w:tc>
        <w:tc>
          <w:tcPr>
            <w:tcW w:w="851" w:type="dxa"/>
            <w:noWrap/>
            <w:hideMark/>
          </w:tcPr>
          <w:p w14:paraId="08046095" w14:textId="77777777" w:rsidR="00357502" w:rsidRPr="00E24BD3" w:rsidRDefault="00915A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0</w:t>
            </w:r>
          </w:p>
        </w:tc>
        <w:tc>
          <w:tcPr>
            <w:tcW w:w="982" w:type="dxa"/>
            <w:noWrap/>
            <w:hideMark/>
          </w:tcPr>
          <w:p w14:paraId="2AF9ECED" w14:textId="77777777" w:rsidR="00357502" w:rsidRPr="00E24BD3" w:rsidRDefault="00915A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915AF8">
              <w:rPr>
                <w:rFonts w:ascii="Calibri" w:eastAsia="Times New Roman" w:hAnsi="Calibri" w:cs="Calibri"/>
                <w:color w:val="000000"/>
                <w:sz w:val="12"/>
                <w:szCs w:val="12"/>
                <w:lang w:eastAsia="pl-PL"/>
              </w:rPr>
              <w:t>2</w:t>
            </w:r>
          </w:p>
        </w:tc>
        <w:tc>
          <w:tcPr>
            <w:tcW w:w="962" w:type="dxa"/>
            <w:noWrap/>
            <w:hideMark/>
          </w:tcPr>
          <w:p w14:paraId="51030DCC" w14:textId="77777777" w:rsidR="00357502" w:rsidRPr="00E24BD3" w:rsidRDefault="00915AF8"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915AF8">
              <w:rPr>
                <w:rFonts w:ascii="Calibri" w:eastAsia="Times New Roman" w:hAnsi="Calibri" w:cs="Calibri"/>
                <w:color w:val="000000"/>
                <w:sz w:val="12"/>
                <w:szCs w:val="12"/>
                <w:lang w:eastAsia="pl-PL"/>
              </w:rPr>
              <w:t>100</w:t>
            </w:r>
            <w:r w:rsidR="00357502" w:rsidRPr="00E24BD3">
              <w:rPr>
                <w:rFonts w:ascii="Calibri" w:eastAsia="Times New Roman" w:hAnsi="Calibri" w:cs="Calibri"/>
                <w:color w:val="000000"/>
                <w:sz w:val="12"/>
                <w:szCs w:val="12"/>
                <w:lang w:eastAsia="pl-PL"/>
              </w:rPr>
              <w:t>%</w:t>
            </w:r>
          </w:p>
        </w:tc>
      </w:tr>
      <w:tr w:rsidR="00E24BD3" w:rsidRPr="001C7E6A" w14:paraId="0F7E9FD6" w14:textId="77777777" w:rsidTr="00E24BD3">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7CEB1805"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11.3</w:t>
            </w:r>
          </w:p>
        </w:tc>
        <w:tc>
          <w:tcPr>
            <w:tcW w:w="3880" w:type="dxa"/>
            <w:hideMark/>
          </w:tcPr>
          <w:p w14:paraId="62057C83"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osób uczestniczących w szkolnych formach kształcenia w programie</w:t>
            </w:r>
          </w:p>
        </w:tc>
        <w:tc>
          <w:tcPr>
            <w:tcW w:w="850" w:type="dxa"/>
            <w:noWrap/>
            <w:hideMark/>
          </w:tcPr>
          <w:p w14:paraId="0786A1CF"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250</w:t>
            </w:r>
          </w:p>
        </w:tc>
        <w:tc>
          <w:tcPr>
            <w:tcW w:w="709" w:type="dxa"/>
            <w:noWrap/>
            <w:hideMark/>
          </w:tcPr>
          <w:p w14:paraId="52FA2B1C"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1804</w:t>
            </w:r>
          </w:p>
        </w:tc>
        <w:tc>
          <w:tcPr>
            <w:tcW w:w="709" w:type="dxa"/>
            <w:noWrap/>
            <w:hideMark/>
          </w:tcPr>
          <w:p w14:paraId="6254B1C1"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14%</w:t>
            </w:r>
          </w:p>
        </w:tc>
        <w:tc>
          <w:tcPr>
            <w:tcW w:w="850" w:type="dxa"/>
            <w:noWrap/>
            <w:hideMark/>
          </w:tcPr>
          <w:p w14:paraId="6634181F"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1554</w:t>
            </w:r>
          </w:p>
        </w:tc>
        <w:tc>
          <w:tcPr>
            <w:tcW w:w="992" w:type="dxa"/>
            <w:vMerge/>
            <w:hideMark/>
          </w:tcPr>
          <w:p w14:paraId="778E4363"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27BC1CE9"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2 562 246,97 zł </w:t>
            </w:r>
          </w:p>
        </w:tc>
        <w:tc>
          <w:tcPr>
            <w:tcW w:w="850" w:type="dxa"/>
            <w:vMerge/>
            <w:hideMark/>
          </w:tcPr>
          <w:p w14:paraId="76ADD881"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657C01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F718D5E"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72494CE0"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€595 871,39 </w:t>
            </w:r>
          </w:p>
        </w:tc>
        <w:tc>
          <w:tcPr>
            <w:tcW w:w="851" w:type="dxa"/>
            <w:noWrap/>
            <w:hideMark/>
          </w:tcPr>
          <w:p w14:paraId="011725C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81</w:t>
            </w:r>
          </w:p>
        </w:tc>
        <w:tc>
          <w:tcPr>
            <w:tcW w:w="982" w:type="dxa"/>
            <w:noWrap/>
            <w:hideMark/>
          </w:tcPr>
          <w:p w14:paraId="701165F6"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331</w:t>
            </w:r>
          </w:p>
        </w:tc>
        <w:tc>
          <w:tcPr>
            <w:tcW w:w="962" w:type="dxa"/>
            <w:noWrap/>
            <w:hideMark/>
          </w:tcPr>
          <w:p w14:paraId="66817551"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18%</w:t>
            </w:r>
          </w:p>
        </w:tc>
      </w:tr>
      <w:tr w:rsidR="00E24BD3" w:rsidRPr="001C7E6A" w14:paraId="45113B1D" w14:textId="77777777" w:rsidTr="00593B77">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941" w:type="dxa"/>
            <w:noWrap/>
            <w:hideMark/>
          </w:tcPr>
          <w:p w14:paraId="07C68E71"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11.2</w:t>
            </w:r>
          </w:p>
        </w:tc>
        <w:tc>
          <w:tcPr>
            <w:tcW w:w="3880" w:type="dxa"/>
            <w:hideMark/>
          </w:tcPr>
          <w:p w14:paraId="67533348"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nauczycieli kształcenia zawodowego oraz instruktorów praktycznej nauki zawodu objętych wsparciem w programie</w:t>
            </w:r>
          </w:p>
        </w:tc>
        <w:tc>
          <w:tcPr>
            <w:tcW w:w="850" w:type="dxa"/>
            <w:noWrap/>
            <w:hideMark/>
          </w:tcPr>
          <w:p w14:paraId="7DE32DC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1766</w:t>
            </w:r>
          </w:p>
        </w:tc>
        <w:tc>
          <w:tcPr>
            <w:tcW w:w="709" w:type="dxa"/>
            <w:noWrap/>
            <w:hideMark/>
          </w:tcPr>
          <w:p w14:paraId="0F5FA587"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269</w:t>
            </w:r>
          </w:p>
        </w:tc>
        <w:tc>
          <w:tcPr>
            <w:tcW w:w="709" w:type="dxa"/>
            <w:noWrap/>
            <w:hideMark/>
          </w:tcPr>
          <w:p w14:paraId="635DE01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657%</w:t>
            </w:r>
          </w:p>
        </w:tc>
        <w:tc>
          <w:tcPr>
            <w:tcW w:w="850" w:type="dxa"/>
            <w:noWrap/>
            <w:hideMark/>
          </w:tcPr>
          <w:p w14:paraId="236BC1F5"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77FC8C6C"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2EA402D2"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362 718,99 zł </w:t>
            </w:r>
          </w:p>
        </w:tc>
        <w:tc>
          <w:tcPr>
            <w:tcW w:w="850" w:type="dxa"/>
            <w:vMerge/>
            <w:hideMark/>
          </w:tcPr>
          <w:p w14:paraId="650D083B"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001A663"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A58ED79"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609AF5B3"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€ 84 353,25 </w:t>
            </w:r>
          </w:p>
        </w:tc>
        <w:tc>
          <w:tcPr>
            <w:tcW w:w="851" w:type="dxa"/>
            <w:noWrap/>
            <w:hideMark/>
          </w:tcPr>
          <w:p w14:paraId="33D0BD7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573</w:t>
            </w:r>
          </w:p>
        </w:tc>
        <w:tc>
          <w:tcPr>
            <w:tcW w:w="982" w:type="dxa"/>
            <w:noWrap/>
            <w:hideMark/>
          </w:tcPr>
          <w:p w14:paraId="6A00D46B"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2339</w:t>
            </w:r>
          </w:p>
        </w:tc>
        <w:tc>
          <w:tcPr>
            <w:tcW w:w="962" w:type="dxa"/>
            <w:noWrap/>
            <w:hideMark/>
          </w:tcPr>
          <w:p w14:paraId="3CE1FF70"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869%</w:t>
            </w:r>
          </w:p>
        </w:tc>
      </w:tr>
      <w:tr w:rsidR="00E24BD3" w:rsidRPr="001C7E6A" w14:paraId="253AD8A7" w14:textId="77777777" w:rsidTr="00E24BD3">
        <w:trPr>
          <w:trHeight w:val="209"/>
        </w:trPr>
        <w:tc>
          <w:tcPr>
            <w:cnfStyle w:val="001000000000" w:firstRow="0" w:lastRow="0" w:firstColumn="1" w:lastColumn="0" w:oddVBand="0" w:evenVBand="0" w:oddHBand="0" w:evenHBand="0" w:firstRowFirstColumn="0" w:firstRowLastColumn="0" w:lastRowFirstColumn="0" w:lastRowLastColumn="0"/>
            <w:tcW w:w="941" w:type="dxa"/>
            <w:noWrap/>
            <w:hideMark/>
          </w:tcPr>
          <w:p w14:paraId="41158FB1"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11.2</w:t>
            </w:r>
          </w:p>
        </w:tc>
        <w:tc>
          <w:tcPr>
            <w:tcW w:w="3880" w:type="dxa"/>
            <w:hideMark/>
          </w:tcPr>
          <w:p w14:paraId="73365011"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szkół i placówek kształcenia zawodowego doposażonych w programie w sprzęt i materiały dydaktyczne niezbędne do realizacji kształcenia zawodowego</w:t>
            </w:r>
          </w:p>
        </w:tc>
        <w:tc>
          <w:tcPr>
            <w:tcW w:w="850" w:type="dxa"/>
            <w:noWrap/>
            <w:hideMark/>
          </w:tcPr>
          <w:p w14:paraId="05AA830E"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296</w:t>
            </w:r>
          </w:p>
        </w:tc>
        <w:tc>
          <w:tcPr>
            <w:tcW w:w="709" w:type="dxa"/>
            <w:noWrap/>
            <w:hideMark/>
          </w:tcPr>
          <w:p w14:paraId="797272B2"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67</w:t>
            </w:r>
          </w:p>
        </w:tc>
        <w:tc>
          <w:tcPr>
            <w:tcW w:w="709" w:type="dxa"/>
            <w:noWrap/>
            <w:hideMark/>
          </w:tcPr>
          <w:p w14:paraId="36A702DD"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442%</w:t>
            </w:r>
          </w:p>
        </w:tc>
        <w:tc>
          <w:tcPr>
            <w:tcW w:w="850" w:type="dxa"/>
            <w:noWrap/>
            <w:hideMark/>
          </w:tcPr>
          <w:p w14:paraId="402596DA"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7D18F65E"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41B077CC"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2 164 059,94 zł </w:t>
            </w:r>
          </w:p>
        </w:tc>
        <w:tc>
          <w:tcPr>
            <w:tcW w:w="850" w:type="dxa"/>
            <w:vMerge/>
            <w:hideMark/>
          </w:tcPr>
          <w:p w14:paraId="29F0AC7F"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1164062"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DB0A494"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1CA6855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€503 269,75 </w:t>
            </w:r>
          </w:p>
        </w:tc>
        <w:tc>
          <w:tcPr>
            <w:tcW w:w="851" w:type="dxa"/>
            <w:noWrap/>
            <w:hideMark/>
          </w:tcPr>
          <w:p w14:paraId="3B56A164"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96</w:t>
            </w:r>
          </w:p>
        </w:tc>
        <w:tc>
          <w:tcPr>
            <w:tcW w:w="982" w:type="dxa"/>
            <w:noWrap/>
            <w:hideMark/>
          </w:tcPr>
          <w:p w14:paraId="057A4F0D"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392</w:t>
            </w:r>
          </w:p>
        </w:tc>
        <w:tc>
          <w:tcPr>
            <w:tcW w:w="962" w:type="dxa"/>
            <w:noWrap/>
            <w:hideMark/>
          </w:tcPr>
          <w:p w14:paraId="40375168"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585%</w:t>
            </w:r>
          </w:p>
        </w:tc>
      </w:tr>
      <w:tr w:rsidR="00E24BD3" w:rsidRPr="001C7E6A" w14:paraId="2EA6AFAA" w14:textId="77777777" w:rsidTr="00593B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41" w:type="dxa"/>
            <w:noWrap/>
            <w:hideMark/>
          </w:tcPr>
          <w:p w14:paraId="5D963849"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11.2</w:t>
            </w:r>
          </w:p>
        </w:tc>
        <w:tc>
          <w:tcPr>
            <w:tcW w:w="3880" w:type="dxa"/>
            <w:hideMark/>
          </w:tcPr>
          <w:p w14:paraId="66FA3C82"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uczniów objętych wsparciem w zakresie rozwijania kompetencji kluczowych lub umiejętności uniwersalnych niezbędnych na rynku pracy w programie</w:t>
            </w:r>
          </w:p>
        </w:tc>
        <w:tc>
          <w:tcPr>
            <w:tcW w:w="850" w:type="dxa"/>
            <w:noWrap/>
            <w:hideMark/>
          </w:tcPr>
          <w:p w14:paraId="28F027F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455</w:t>
            </w:r>
          </w:p>
        </w:tc>
        <w:tc>
          <w:tcPr>
            <w:tcW w:w="709" w:type="dxa"/>
            <w:noWrap/>
            <w:hideMark/>
          </w:tcPr>
          <w:p w14:paraId="2039CEF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1897</w:t>
            </w:r>
          </w:p>
        </w:tc>
        <w:tc>
          <w:tcPr>
            <w:tcW w:w="709" w:type="dxa"/>
            <w:noWrap/>
            <w:hideMark/>
          </w:tcPr>
          <w:p w14:paraId="64C51E29"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24%</w:t>
            </w:r>
          </w:p>
        </w:tc>
        <w:tc>
          <w:tcPr>
            <w:tcW w:w="850" w:type="dxa"/>
            <w:noWrap/>
            <w:hideMark/>
          </w:tcPr>
          <w:p w14:paraId="7922FB95"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1442</w:t>
            </w:r>
          </w:p>
        </w:tc>
        <w:tc>
          <w:tcPr>
            <w:tcW w:w="992" w:type="dxa"/>
            <w:vMerge/>
            <w:hideMark/>
          </w:tcPr>
          <w:p w14:paraId="4E1A8A86"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B411935"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1 407 828,01 zł </w:t>
            </w:r>
          </w:p>
        </w:tc>
        <w:tc>
          <w:tcPr>
            <w:tcW w:w="850" w:type="dxa"/>
            <w:vMerge/>
            <w:hideMark/>
          </w:tcPr>
          <w:p w14:paraId="3B7100FD"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93FB1C3"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B938D7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06A6B905"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€327 401,86 </w:t>
            </w:r>
          </w:p>
        </w:tc>
        <w:tc>
          <w:tcPr>
            <w:tcW w:w="851" w:type="dxa"/>
            <w:noWrap/>
            <w:hideMark/>
          </w:tcPr>
          <w:p w14:paraId="45149D6D"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148</w:t>
            </w:r>
          </w:p>
        </w:tc>
        <w:tc>
          <w:tcPr>
            <w:tcW w:w="982" w:type="dxa"/>
            <w:noWrap/>
            <w:hideMark/>
          </w:tcPr>
          <w:p w14:paraId="42E849A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603</w:t>
            </w:r>
          </w:p>
        </w:tc>
        <w:tc>
          <w:tcPr>
            <w:tcW w:w="962" w:type="dxa"/>
            <w:noWrap/>
            <w:hideMark/>
          </w:tcPr>
          <w:p w14:paraId="645F149D"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32%</w:t>
            </w:r>
          </w:p>
        </w:tc>
      </w:tr>
      <w:tr w:rsidR="00E24BD3" w:rsidRPr="001C7E6A" w14:paraId="6DEFB339" w14:textId="77777777" w:rsidTr="00E24BD3">
        <w:trPr>
          <w:trHeight w:val="122"/>
        </w:trPr>
        <w:tc>
          <w:tcPr>
            <w:cnfStyle w:val="001000000000" w:firstRow="0" w:lastRow="0" w:firstColumn="1" w:lastColumn="0" w:oddVBand="0" w:evenVBand="0" w:oddHBand="0" w:evenHBand="0" w:firstRowFirstColumn="0" w:firstRowLastColumn="0" w:lastRowFirstColumn="0" w:lastRowLastColumn="0"/>
            <w:tcW w:w="941" w:type="dxa"/>
            <w:noWrap/>
            <w:hideMark/>
          </w:tcPr>
          <w:p w14:paraId="4BADE46C"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11.2</w:t>
            </w:r>
          </w:p>
        </w:tc>
        <w:tc>
          <w:tcPr>
            <w:tcW w:w="3880" w:type="dxa"/>
            <w:hideMark/>
          </w:tcPr>
          <w:p w14:paraId="6920F101"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uczniów, którzy nabyli kompetencje kluczowe lub umiejętności uniwersalne niezbędne na rynku pracy po opuszczeniu programu</w:t>
            </w:r>
          </w:p>
        </w:tc>
        <w:tc>
          <w:tcPr>
            <w:tcW w:w="850" w:type="dxa"/>
            <w:noWrap/>
            <w:hideMark/>
          </w:tcPr>
          <w:p w14:paraId="2FCA912D"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364</w:t>
            </w:r>
          </w:p>
        </w:tc>
        <w:tc>
          <w:tcPr>
            <w:tcW w:w="709" w:type="dxa"/>
            <w:noWrap/>
            <w:hideMark/>
          </w:tcPr>
          <w:p w14:paraId="09302EB6"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1043</w:t>
            </w:r>
          </w:p>
        </w:tc>
        <w:tc>
          <w:tcPr>
            <w:tcW w:w="709" w:type="dxa"/>
            <w:noWrap/>
            <w:hideMark/>
          </w:tcPr>
          <w:p w14:paraId="187CBAE9"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35%</w:t>
            </w:r>
          </w:p>
        </w:tc>
        <w:tc>
          <w:tcPr>
            <w:tcW w:w="850" w:type="dxa"/>
            <w:noWrap/>
            <w:hideMark/>
          </w:tcPr>
          <w:p w14:paraId="041B385E"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679</w:t>
            </w:r>
          </w:p>
        </w:tc>
        <w:tc>
          <w:tcPr>
            <w:tcW w:w="992" w:type="dxa"/>
            <w:vMerge/>
            <w:hideMark/>
          </w:tcPr>
          <w:p w14:paraId="234E18B6"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616B831"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1 759 785,01 zł </w:t>
            </w:r>
          </w:p>
        </w:tc>
        <w:tc>
          <w:tcPr>
            <w:tcW w:w="850" w:type="dxa"/>
            <w:vMerge/>
            <w:hideMark/>
          </w:tcPr>
          <w:p w14:paraId="30A4DA83"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F5F9B99"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1E10569"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40997C43"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€409 252,33 </w:t>
            </w:r>
          </w:p>
        </w:tc>
        <w:tc>
          <w:tcPr>
            <w:tcW w:w="851" w:type="dxa"/>
            <w:noWrap/>
            <w:hideMark/>
          </w:tcPr>
          <w:p w14:paraId="5B40FE7D"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118</w:t>
            </w:r>
          </w:p>
        </w:tc>
        <w:tc>
          <w:tcPr>
            <w:tcW w:w="982" w:type="dxa"/>
            <w:noWrap/>
            <w:hideMark/>
          </w:tcPr>
          <w:p w14:paraId="676FEDAE"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482</w:t>
            </w:r>
          </w:p>
        </w:tc>
        <w:tc>
          <w:tcPr>
            <w:tcW w:w="962" w:type="dxa"/>
            <w:noWrap/>
            <w:hideMark/>
          </w:tcPr>
          <w:p w14:paraId="4BFE181B"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46%</w:t>
            </w:r>
          </w:p>
        </w:tc>
      </w:tr>
      <w:tr w:rsidR="00E24BD3" w:rsidRPr="001C7E6A" w14:paraId="0EBC285A" w14:textId="77777777" w:rsidTr="00593B7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41" w:type="dxa"/>
            <w:noWrap/>
            <w:hideMark/>
          </w:tcPr>
          <w:p w14:paraId="1FBB95BC"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11.3</w:t>
            </w:r>
          </w:p>
        </w:tc>
        <w:tc>
          <w:tcPr>
            <w:tcW w:w="3880" w:type="dxa"/>
            <w:hideMark/>
          </w:tcPr>
          <w:p w14:paraId="7A6C02DE"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osób, które uzyskały kwalifikacje w ramach pozaszkolnych form kształcenia</w:t>
            </w:r>
          </w:p>
        </w:tc>
        <w:tc>
          <w:tcPr>
            <w:tcW w:w="850" w:type="dxa"/>
            <w:noWrap/>
            <w:hideMark/>
          </w:tcPr>
          <w:p w14:paraId="1CB6F9F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30091</w:t>
            </w:r>
          </w:p>
        </w:tc>
        <w:tc>
          <w:tcPr>
            <w:tcW w:w="709" w:type="dxa"/>
            <w:noWrap/>
            <w:hideMark/>
          </w:tcPr>
          <w:p w14:paraId="32A0EB6D"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709</w:t>
            </w:r>
          </w:p>
        </w:tc>
        <w:tc>
          <w:tcPr>
            <w:tcW w:w="709" w:type="dxa"/>
            <w:noWrap/>
            <w:hideMark/>
          </w:tcPr>
          <w:p w14:paraId="627474E2"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4244%</w:t>
            </w:r>
          </w:p>
        </w:tc>
        <w:tc>
          <w:tcPr>
            <w:tcW w:w="850" w:type="dxa"/>
            <w:noWrap/>
            <w:hideMark/>
          </w:tcPr>
          <w:p w14:paraId="28B4FC76"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42460618"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364AEA6"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21 287,49 zł </w:t>
            </w:r>
          </w:p>
        </w:tc>
        <w:tc>
          <w:tcPr>
            <w:tcW w:w="850" w:type="dxa"/>
            <w:vMerge/>
            <w:hideMark/>
          </w:tcPr>
          <w:p w14:paraId="188CC74F"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BC6F398"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A7BFC83"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119315D1"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€ 4 950,58 </w:t>
            </w:r>
          </w:p>
        </w:tc>
        <w:tc>
          <w:tcPr>
            <w:tcW w:w="851" w:type="dxa"/>
            <w:noWrap/>
            <w:hideMark/>
          </w:tcPr>
          <w:p w14:paraId="52B8BFCD"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9755</w:t>
            </w:r>
          </w:p>
        </w:tc>
        <w:tc>
          <w:tcPr>
            <w:tcW w:w="982" w:type="dxa"/>
            <w:noWrap/>
            <w:hideMark/>
          </w:tcPr>
          <w:p w14:paraId="14A30340"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39846</w:t>
            </w:r>
          </w:p>
        </w:tc>
        <w:tc>
          <w:tcPr>
            <w:tcW w:w="962" w:type="dxa"/>
            <w:noWrap/>
            <w:hideMark/>
          </w:tcPr>
          <w:p w14:paraId="4CC077A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5620%</w:t>
            </w:r>
          </w:p>
        </w:tc>
      </w:tr>
      <w:tr w:rsidR="00E24BD3" w:rsidRPr="001C7E6A" w14:paraId="050762C9" w14:textId="77777777" w:rsidTr="00E24BD3">
        <w:trPr>
          <w:trHeight w:val="147"/>
        </w:trPr>
        <w:tc>
          <w:tcPr>
            <w:cnfStyle w:val="001000000000" w:firstRow="0" w:lastRow="0" w:firstColumn="1" w:lastColumn="0" w:oddVBand="0" w:evenVBand="0" w:oddHBand="0" w:evenHBand="0" w:firstRowFirstColumn="0" w:firstRowLastColumn="0" w:lastRowFirstColumn="0" w:lastRowLastColumn="0"/>
            <w:tcW w:w="941" w:type="dxa"/>
            <w:noWrap/>
            <w:hideMark/>
          </w:tcPr>
          <w:p w14:paraId="6364CBE0"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11.2</w:t>
            </w:r>
          </w:p>
        </w:tc>
        <w:tc>
          <w:tcPr>
            <w:tcW w:w="3880" w:type="dxa"/>
            <w:hideMark/>
          </w:tcPr>
          <w:p w14:paraId="2CEE3FA5"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szkół i placówek kształcenia zawodowego wykorzystujących doposażenie zakupione dzięki EFS</w:t>
            </w:r>
          </w:p>
        </w:tc>
        <w:tc>
          <w:tcPr>
            <w:tcW w:w="850" w:type="dxa"/>
            <w:noWrap/>
            <w:hideMark/>
          </w:tcPr>
          <w:p w14:paraId="4B0C6CA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299</w:t>
            </w:r>
          </w:p>
        </w:tc>
        <w:tc>
          <w:tcPr>
            <w:tcW w:w="709" w:type="dxa"/>
            <w:noWrap/>
            <w:hideMark/>
          </w:tcPr>
          <w:p w14:paraId="36B199C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67</w:t>
            </w:r>
          </w:p>
        </w:tc>
        <w:tc>
          <w:tcPr>
            <w:tcW w:w="709" w:type="dxa"/>
            <w:noWrap/>
            <w:hideMark/>
          </w:tcPr>
          <w:p w14:paraId="5665A0A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446%</w:t>
            </w:r>
          </w:p>
        </w:tc>
        <w:tc>
          <w:tcPr>
            <w:tcW w:w="850" w:type="dxa"/>
            <w:noWrap/>
            <w:hideMark/>
          </w:tcPr>
          <w:p w14:paraId="13D18223"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677A2D2A" w14:textId="77777777" w:rsidR="00357502" w:rsidRPr="00E24BD3"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552383C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2 142 346,97 zł </w:t>
            </w:r>
          </w:p>
        </w:tc>
        <w:tc>
          <w:tcPr>
            <w:tcW w:w="850" w:type="dxa"/>
            <w:vMerge/>
            <w:hideMark/>
          </w:tcPr>
          <w:p w14:paraId="4E83CCED"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1597332"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FA5097F"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096A4028"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€498 220,22 </w:t>
            </w:r>
          </w:p>
        </w:tc>
        <w:tc>
          <w:tcPr>
            <w:tcW w:w="851" w:type="dxa"/>
            <w:noWrap/>
            <w:hideMark/>
          </w:tcPr>
          <w:p w14:paraId="4C2BEB0A"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97</w:t>
            </w:r>
          </w:p>
        </w:tc>
        <w:tc>
          <w:tcPr>
            <w:tcW w:w="982" w:type="dxa"/>
            <w:noWrap/>
            <w:hideMark/>
          </w:tcPr>
          <w:p w14:paraId="4BE4B46D"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396</w:t>
            </w:r>
          </w:p>
        </w:tc>
        <w:tc>
          <w:tcPr>
            <w:tcW w:w="962" w:type="dxa"/>
            <w:noWrap/>
            <w:hideMark/>
          </w:tcPr>
          <w:p w14:paraId="1FEA929D" w14:textId="77777777" w:rsidR="00357502" w:rsidRPr="00E24BD3" w:rsidRDefault="00357502" w:rsidP="003E5E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591%</w:t>
            </w:r>
          </w:p>
        </w:tc>
      </w:tr>
      <w:tr w:rsidR="00E24BD3" w:rsidRPr="001C7E6A" w14:paraId="64D0C6ED" w14:textId="77777777" w:rsidTr="00593B7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41" w:type="dxa"/>
            <w:noWrap/>
            <w:hideMark/>
          </w:tcPr>
          <w:p w14:paraId="07657305" w14:textId="77777777" w:rsidR="00357502" w:rsidRPr="00E24BD3" w:rsidRDefault="00357502" w:rsidP="00DF64C7">
            <w:pPr>
              <w:jc w:val="left"/>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11.2</w:t>
            </w:r>
          </w:p>
        </w:tc>
        <w:tc>
          <w:tcPr>
            <w:tcW w:w="3880" w:type="dxa"/>
            <w:hideMark/>
          </w:tcPr>
          <w:p w14:paraId="59FA2A8E"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Liczba nauczycieli kształcenia zawodowego oraz instruktorów praktycznej nauki zawodu, którzy uzyskali kwalifikacje lub nabyli kompetencje po opuszczeniu programu</w:t>
            </w:r>
          </w:p>
        </w:tc>
        <w:tc>
          <w:tcPr>
            <w:tcW w:w="850" w:type="dxa"/>
            <w:noWrap/>
            <w:hideMark/>
          </w:tcPr>
          <w:p w14:paraId="6D3F7C13"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1672</w:t>
            </w:r>
          </w:p>
        </w:tc>
        <w:tc>
          <w:tcPr>
            <w:tcW w:w="709" w:type="dxa"/>
            <w:noWrap/>
            <w:hideMark/>
          </w:tcPr>
          <w:p w14:paraId="3787D3B9"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215</w:t>
            </w:r>
          </w:p>
        </w:tc>
        <w:tc>
          <w:tcPr>
            <w:tcW w:w="709" w:type="dxa"/>
            <w:noWrap/>
            <w:hideMark/>
          </w:tcPr>
          <w:p w14:paraId="70D22C8E"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778%</w:t>
            </w:r>
          </w:p>
        </w:tc>
        <w:tc>
          <w:tcPr>
            <w:tcW w:w="850" w:type="dxa"/>
            <w:noWrap/>
            <w:hideMark/>
          </w:tcPr>
          <w:p w14:paraId="4A04474F"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Wskaźnik osiągnięty</w:t>
            </w:r>
          </w:p>
        </w:tc>
        <w:tc>
          <w:tcPr>
            <w:tcW w:w="992" w:type="dxa"/>
            <w:vMerge/>
            <w:hideMark/>
          </w:tcPr>
          <w:p w14:paraId="21308821" w14:textId="77777777" w:rsidR="00357502" w:rsidRPr="00E24BD3"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5DE31914"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383 111,09 zł </w:t>
            </w:r>
          </w:p>
        </w:tc>
        <w:tc>
          <w:tcPr>
            <w:tcW w:w="850" w:type="dxa"/>
            <w:vMerge/>
            <w:hideMark/>
          </w:tcPr>
          <w:p w14:paraId="6C45EBDB"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176175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A6B065B"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hideMark/>
          </w:tcPr>
          <w:p w14:paraId="36DF940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 xml:space="preserve"> € 89 095,60 </w:t>
            </w:r>
          </w:p>
        </w:tc>
        <w:tc>
          <w:tcPr>
            <w:tcW w:w="851" w:type="dxa"/>
            <w:noWrap/>
            <w:hideMark/>
          </w:tcPr>
          <w:p w14:paraId="3A3F52AC"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542</w:t>
            </w:r>
          </w:p>
        </w:tc>
        <w:tc>
          <w:tcPr>
            <w:tcW w:w="982" w:type="dxa"/>
            <w:noWrap/>
            <w:hideMark/>
          </w:tcPr>
          <w:p w14:paraId="2A5360CF"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2214</w:t>
            </w:r>
          </w:p>
        </w:tc>
        <w:tc>
          <w:tcPr>
            <w:tcW w:w="962" w:type="dxa"/>
            <w:noWrap/>
            <w:hideMark/>
          </w:tcPr>
          <w:p w14:paraId="5BB5B43F" w14:textId="77777777" w:rsidR="00357502" w:rsidRPr="00E24BD3" w:rsidRDefault="00357502" w:rsidP="003E5E3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E24BD3">
              <w:rPr>
                <w:rFonts w:ascii="Calibri" w:eastAsia="Times New Roman" w:hAnsi="Calibri" w:cs="Calibri"/>
                <w:color w:val="000000"/>
                <w:sz w:val="12"/>
                <w:szCs w:val="12"/>
                <w:lang w:eastAsia="pl-PL"/>
              </w:rPr>
              <w:t>1030%</w:t>
            </w:r>
          </w:p>
        </w:tc>
      </w:tr>
    </w:tbl>
    <w:p w14:paraId="386C5D78" w14:textId="77777777" w:rsidR="00357502" w:rsidRPr="00E24BD3" w:rsidRDefault="00357502" w:rsidP="00DF64C7">
      <w:pPr>
        <w:pStyle w:val="podpisrdailustracji"/>
        <w:spacing w:line="271" w:lineRule="auto"/>
        <w:jc w:val="left"/>
      </w:pPr>
      <w:r w:rsidRPr="00E24BD3">
        <w:t xml:space="preserve">Źródło: </w:t>
      </w:r>
      <w:r>
        <w:t>opracowanie własne na podstawie: dokumentu pn. Realizacja Regionalnego Programu Operacyjnego Województwa Śląskiego 2014-2020 – stan na dzień 14 października 2019 r. oraz danych pozyskanych z SL (na dzień 1.10.2019 r.).</w:t>
      </w:r>
    </w:p>
    <w:p w14:paraId="304AA999" w14:textId="77777777" w:rsidR="00357502" w:rsidRDefault="00357502" w:rsidP="00DF64C7">
      <w:pPr>
        <w:pStyle w:val="podpisrdailustracji"/>
        <w:spacing w:line="271" w:lineRule="auto"/>
        <w:jc w:val="left"/>
        <w:rPr>
          <w:rStyle w:val="Odwoanieintensywne"/>
        </w:rPr>
      </w:pPr>
    </w:p>
    <w:p w14:paraId="3B5926BA" w14:textId="77777777" w:rsidR="00357502" w:rsidRDefault="00357502" w:rsidP="00DF64C7">
      <w:pPr>
        <w:pStyle w:val="Legenda"/>
        <w:spacing w:line="271" w:lineRule="auto"/>
        <w:jc w:val="left"/>
      </w:pPr>
      <w:r>
        <w:br w:type="column"/>
        <w:t xml:space="preserve">Tabela </w:t>
      </w:r>
      <w:r w:rsidR="00842E62">
        <w:t>42.</w:t>
      </w:r>
      <w:r>
        <w:t xml:space="preserve"> Analiza prawdopodobieństwa </w:t>
      </w:r>
      <w:r w:rsidR="001763D6">
        <w:t xml:space="preserve">osiągnięcia </w:t>
      </w:r>
      <w:r>
        <w:t>wskaźników wg. scenariusza nr 2 (EUR = 4,01 zł)</w:t>
      </w:r>
    </w:p>
    <w:tbl>
      <w:tblPr>
        <w:tblStyle w:val="Tabelasiatki4akcent61"/>
        <w:tblW w:w="15695" w:type="dxa"/>
        <w:tblInd w:w="-318" w:type="dxa"/>
        <w:tblLayout w:type="fixed"/>
        <w:tblLook w:val="04A0" w:firstRow="1" w:lastRow="0" w:firstColumn="1" w:lastColumn="0" w:noHBand="0" w:noVBand="1"/>
        <w:tblCaption w:val="Analiza prawdopodobieństwa osiągnięcia wskaźników wg. scenariusza nr 2 (EUR = 4,01 zł)"/>
        <w:tblDescription w:val="Tabela przedstawia analizę prawdopodobieństwa osięgniecia wskaźników wg scenariusza zakładajacego średnia wartość EUR na poziomie 4,01 PLN. Analiza sporządzona została wg stanu na 14.10.2019 r. Najniższy potencjalny poziom realizacji wskaźników docelowych przypadł na wskaźnik &quot;Liczba osób uczestniczących w szkolnych formach kształcenia w programie&quot; (Działanie 11.3) i wyniósł 19%."/>
      </w:tblPr>
      <w:tblGrid>
        <w:gridCol w:w="941"/>
        <w:gridCol w:w="3880"/>
        <w:gridCol w:w="850"/>
        <w:gridCol w:w="709"/>
        <w:gridCol w:w="709"/>
        <w:gridCol w:w="850"/>
        <w:gridCol w:w="992"/>
        <w:gridCol w:w="851"/>
        <w:gridCol w:w="850"/>
        <w:gridCol w:w="709"/>
        <w:gridCol w:w="709"/>
        <w:gridCol w:w="850"/>
        <w:gridCol w:w="851"/>
        <w:gridCol w:w="982"/>
        <w:gridCol w:w="962"/>
      </w:tblGrid>
      <w:tr w:rsidR="00E24BD3" w:rsidRPr="001C7E6A" w14:paraId="4988800B" w14:textId="77777777" w:rsidTr="002529E9">
        <w:trPr>
          <w:cnfStyle w:val="100000000000" w:firstRow="1" w:lastRow="0" w:firstColumn="0" w:lastColumn="0" w:oddVBand="0" w:evenVBand="0" w:oddHBand="0" w:evenHBand="0" w:firstRowFirstColumn="0" w:firstRowLastColumn="0" w:lastRowFirstColumn="0" w:lastRowLastColumn="0"/>
          <w:trHeight w:val="1320"/>
          <w:tblHead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662F86BC"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Działanie</w:t>
            </w:r>
          </w:p>
        </w:tc>
        <w:tc>
          <w:tcPr>
            <w:tcW w:w="3880" w:type="dxa"/>
            <w:noWrap/>
            <w:hideMark/>
          </w:tcPr>
          <w:p w14:paraId="4850B9FB"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w:t>
            </w:r>
          </w:p>
        </w:tc>
        <w:tc>
          <w:tcPr>
            <w:tcW w:w="850" w:type="dxa"/>
            <w:hideMark/>
          </w:tcPr>
          <w:p w14:paraId="5BFBAA4C"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Wartość aktualna wskaźnika na podstawie podpisanych umów</w:t>
            </w:r>
            <w:r>
              <w:rPr>
                <w:rFonts w:ascii="Calibri" w:eastAsia="Times New Roman" w:hAnsi="Calibri" w:cs="Calibri"/>
                <w:color w:val="000000"/>
                <w:sz w:val="12"/>
                <w:szCs w:val="12"/>
                <w:lang w:eastAsia="pl-PL"/>
              </w:rPr>
              <w:t xml:space="preserve"> – na dzień 1.10.2019</w:t>
            </w:r>
          </w:p>
        </w:tc>
        <w:tc>
          <w:tcPr>
            <w:tcW w:w="709" w:type="dxa"/>
            <w:hideMark/>
          </w:tcPr>
          <w:p w14:paraId="60C116D3"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Wartość docelowa (2023)</w:t>
            </w:r>
          </w:p>
        </w:tc>
        <w:tc>
          <w:tcPr>
            <w:tcW w:w="709" w:type="dxa"/>
            <w:hideMark/>
          </w:tcPr>
          <w:p w14:paraId="6A958819"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realizacji </w:t>
            </w:r>
          </w:p>
        </w:tc>
        <w:tc>
          <w:tcPr>
            <w:tcW w:w="850" w:type="dxa"/>
            <w:hideMark/>
          </w:tcPr>
          <w:p w14:paraId="0593130F"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Pozostała wartośc wskaźników do osiągnięcia</w:t>
            </w:r>
          </w:p>
        </w:tc>
        <w:tc>
          <w:tcPr>
            <w:tcW w:w="992" w:type="dxa"/>
            <w:hideMark/>
          </w:tcPr>
          <w:p w14:paraId="764ED01B"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Wartość podpisanych umów o dofinansowanie (PLN)</w:t>
            </w:r>
          </w:p>
        </w:tc>
        <w:tc>
          <w:tcPr>
            <w:tcW w:w="851" w:type="dxa"/>
            <w:hideMark/>
          </w:tcPr>
          <w:p w14:paraId="48929BB6"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Koszt osiągnięcia 1 jednostki wskaźnika </w:t>
            </w:r>
            <w:r>
              <w:rPr>
                <w:rFonts w:ascii="Calibri" w:eastAsia="Times New Roman" w:hAnsi="Calibri" w:cs="Calibri"/>
                <w:color w:val="000000"/>
                <w:sz w:val="12"/>
                <w:szCs w:val="12"/>
                <w:lang w:eastAsia="pl-PL"/>
              </w:rPr>
              <w:br/>
            </w:r>
            <w:r w:rsidRPr="00A13922">
              <w:rPr>
                <w:rFonts w:ascii="Calibri" w:eastAsia="Times New Roman" w:hAnsi="Calibri" w:cs="Calibri"/>
                <w:color w:val="000000"/>
                <w:sz w:val="12"/>
                <w:szCs w:val="12"/>
                <w:lang w:eastAsia="pl-PL"/>
              </w:rPr>
              <w:t>(PLN)</w:t>
            </w:r>
          </w:p>
        </w:tc>
        <w:tc>
          <w:tcPr>
            <w:tcW w:w="850" w:type="dxa"/>
            <w:hideMark/>
          </w:tcPr>
          <w:p w14:paraId="3B6C715B"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Alokacja podstawowa (PLN)</w:t>
            </w:r>
          </w:p>
        </w:tc>
        <w:tc>
          <w:tcPr>
            <w:tcW w:w="709" w:type="dxa"/>
            <w:hideMark/>
          </w:tcPr>
          <w:p w14:paraId="4A457A89"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Alokacja pozostała (PLN)</w:t>
            </w:r>
          </w:p>
        </w:tc>
        <w:tc>
          <w:tcPr>
            <w:tcW w:w="709" w:type="dxa"/>
            <w:hideMark/>
          </w:tcPr>
          <w:p w14:paraId="667AC8BC"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Alokacja pozostała (EUR)</w:t>
            </w:r>
          </w:p>
        </w:tc>
        <w:tc>
          <w:tcPr>
            <w:tcW w:w="850" w:type="dxa"/>
            <w:hideMark/>
          </w:tcPr>
          <w:p w14:paraId="0F73D4E1"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Koszt osiągnięcia 1 jednostki wskaźnika </w:t>
            </w:r>
            <w:r>
              <w:rPr>
                <w:rFonts w:ascii="Calibri" w:eastAsia="Times New Roman" w:hAnsi="Calibri" w:cs="Calibri"/>
                <w:color w:val="000000"/>
                <w:sz w:val="12"/>
                <w:szCs w:val="12"/>
                <w:lang w:eastAsia="pl-PL"/>
              </w:rPr>
              <w:br/>
            </w:r>
            <w:r w:rsidRPr="00A13922">
              <w:rPr>
                <w:rFonts w:ascii="Calibri" w:eastAsia="Times New Roman" w:hAnsi="Calibri" w:cs="Calibri"/>
                <w:color w:val="000000"/>
                <w:sz w:val="12"/>
                <w:szCs w:val="12"/>
                <w:lang w:eastAsia="pl-PL"/>
              </w:rPr>
              <w:t>(EUR)</w:t>
            </w:r>
          </w:p>
        </w:tc>
        <w:tc>
          <w:tcPr>
            <w:tcW w:w="851" w:type="dxa"/>
            <w:hideMark/>
          </w:tcPr>
          <w:p w14:paraId="69BA6386"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jednostek wskaźnika możliwych do osiągnięcia dzięki pozostałej alokacji</w:t>
            </w:r>
          </w:p>
        </w:tc>
        <w:tc>
          <w:tcPr>
            <w:tcW w:w="982" w:type="dxa"/>
            <w:hideMark/>
          </w:tcPr>
          <w:p w14:paraId="2E88F6D4"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Suma osiągniętej wartości wskaźnika i wartości możliwej do osiągnięcia na podstawie pozostałej alokacji</w:t>
            </w:r>
          </w:p>
        </w:tc>
        <w:tc>
          <w:tcPr>
            <w:tcW w:w="962" w:type="dxa"/>
            <w:hideMark/>
          </w:tcPr>
          <w:p w14:paraId="5771F31D" w14:textId="77777777" w:rsidR="00915AF8" w:rsidRPr="00A13922"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Potencjalny poziom realizacji wskaźników docelowych</w:t>
            </w:r>
          </w:p>
        </w:tc>
      </w:tr>
      <w:tr w:rsidR="00E24BD3" w:rsidRPr="001C7E6A" w14:paraId="61BA75E1" w14:textId="77777777" w:rsidTr="00CE371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941" w:type="dxa"/>
            <w:noWrap/>
            <w:hideMark/>
          </w:tcPr>
          <w:p w14:paraId="14A4FE0A"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12.1, 12.2</w:t>
            </w:r>
          </w:p>
        </w:tc>
        <w:tc>
          <w:tcPr>
            <w:tcW w:w="3880" w:type="dxa"/>
            <w:hideMark/>
          </w:tcPr>
          <w:p w14:paraId="18B28985"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Potencjał objętej wsparciem infrastruktury w zakresie opieki nad dziećmi lub infrastruktury edukacyjnej</w:t>
            </w:r>
          </w:p>
        </w:tc>
        <w:tc>
          <w:tcPr>
            <w:tcW w:w="850" w:type="dxa"/>
            <w:noWrap/>
            <w:hideMark/>
          </w:tcPr>
          <w:p w14:paraId="14527C86"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32329</w:t>
            </w:r>
          </w:p>
        </w:tc>
        <w:tc>
          <w:tcPr>
            <w:tcW w:w="709" w:type="dxa"/>
            <w:noWrap/>
            <w:hideMark/>
          </w:tcPr>
          <w:p w14:paraId="3B7FE5EA"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40940</w:t>
            </w:r>
          </w:p>
        </w:tc>
        <w:tc>
          <w:tcPr>
            <w:tcW w:w="709" w:type="dxa"/>
            <w:noWrap/>
            <w:hideMark/>
          </w:tcPr>
          <w:p w14:paraId="34A4158E"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79%</w:t>
            </w:r>
          </w:p>
        </w:tc>
        <w:tc>
          <w:tcPr>
            <w:tcW w:w="850" w:type="dxa"/>
            <w:noWrap/>
            <w:hideMark/>
          </w:tcPr>
          <w:p w14:paraId="15DBB05F"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8611</w:t>
            </w:r>
          </w:p>
        </w:tc>
        <w:tc>
          <w:tcPr>
            <w:tcW w:w="992" w:type="dxa"/>
            <w:vMerge w:val="restart"/>
            <w:noWrap/>
            <w:hideMark/>
          </w:tcPr>
          <w:p w14:paraId="2809E070"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316 596 373,00 zł </w:t>
            </w:r>
          </w:p>
        </w:tc>
        <w:tc>
          <w:tcPr>
            <w:tcW w:w="851" w:type="dxa"/>
            <w:noWrap/>
            <w:hideMark/>
          </w:tcPr>
          <w:p w14:paraId="1DF3FDCF"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9 792,95 zł </w:t>
            </w:r>
          </w:p>
        </w:tc>
        <w:tc>
          <w:tcPr>
            <w:tcW w:w="850" w:type="dxa"/>
            <w:vMerge w:val="restart"/>
            <w:noWrap/>
            <w:hideMark/>
          </w:tcPr>
          <w:p w14:paraId="345CAED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351 343 724,00 zł </w:t>
            </w:r>
          </w:p>
        </w:tc>
        <w:tc>
          <w:tcPr>
            <w:tcW w:w="709" w:type="dxa"/>
            <w:vMerge w:val="restart"/>
            <w:noWrap/>
            <w:hideMark/>
          </w:tcPr>
          <w:p w14:paraId="62AD24C2"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34 747 351,00 zł </w:t>
            </w:r>
          </w:p>
        </w:tc>
        <w:tc>
          <w:tcPr>
            <w:tcW w:w="709" w:type="dxa"/>
            <w:vMerge w:val="restart"/>
            <w:noWrap/>
            <w:vAlign w:val="bottom"/>
            <w:hideMark/>
          </w:tcPr>
          <w:p w14:paraId="27680377"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8 665 174,81 zł </w:t>
            </w:r>
          </w:p>
        </w:tc>
        <w:tc>
          <w:tcPr>
            <w:tcW w:w="850" w:type="dxa"/>
            <w:noWrap/>
            <w:vAlign w:val="bottom"/>
            <w:hideMark/>
          </w:tcPr>
          <w:p w14:paraId="5C59AFAA"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€2 277,43 </w:t>
            </w:r>
          </w:p>
        </w:tc>
        <w:tc>
          <w:tcPr>
            <w:tcW w:w="851" w:type="dxa"/>
            <w:noWrap/>
            <w:vAlign w:val="bottom"/>
            <w:hideMark/>
          </w:tcPr>
          <w:p w14:paraId="77B4F8E0"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3805</w:t>
            </w:r>
          </w:p>
        </w:tc>
        <w:tc>
          <w:tcPr>
            <w:tcW w:w="982" w:type="dxa"/>
            <w:noWrap/>
            <w:vAlign w:val="bottom"/>
            <w:hideMark/>
          </w:tcPr>
          <w:p w14:paraId="74BCADB2"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36134</w:t>
            </w:r>
          </w:p>
        </w:tc>
        <w:tc>
          <w:tcPr>
            <w:tcW w:w="962" w:type="dxa"/>
            <w:noWrap/>
            <w:vAlign w:val="bottom"/>
            <w:hideMark/>
          </w:tcPr>
          <w:p w14:paraId="05607D7A"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88%</w:t>
            </w:r>
          </w:p>
        </w:tc>
      </w:tr>
      <w:tr w:rsidR="00915AF8" w:rsidRPr="001C7E6A" w14:paraId="38225BB1" w14:textId="77777777" w:rsidTr="00CE3714">
        <w:trPr>
          <w:trHeight w:val="142"/>
        </w:trPr>
        <w:tc>
          <w:tcPr>
            <w:cnfStyle w:val="001000000000" w:firstRow="0" w:lastRow="0" w:firstColumn="1" w:lastColumn="0" w:oddVBand="0" w:evenVBand="0" w:oddHBand="0" w:evenHBand="0" w:firstRowFirstColumn="0" w:firstRowLastColumn="0" w:lastRowFirstColumn="0" w:lastRowLastColumn="0"/>
            <w:tcW w:w="941" w:type="dxa"/>
            <w:noWrap/>
            <w:hideMark/>
          </w:tcPr>
          <w:p w14:paraId="49491A4B" w14:textId="77777777" w:rsidR="00915AF8" w:rsidRPr="00A13922" w:rsidRDefault="006D2EDA" w:rsidP="00DF64C7">
            <w:pPr>
              <w:spacing w:line="240" w:lineRule="auto"/>
              <w:jc w:val="left"/>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12.1</w:t>
            </w:r>
          </w:p>
        </w:tc>
        <w:tc>
          <w:tcPr>
            <w:tcW w:w="3880" w:type="dxa"/>
            <w:hideMark/>
          </w:tcPr>
          <w:p w14:paraId="14829C1F"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wspartych obiektów infrastruktury przedszkolnej</w:t>
            </w:r>
          </w:p>
        </w:tc>
        <w:tc>
          <w:tcPr>
            <w:tcW w:w="850" w:type="dxa"/>
            <w:noWrap/>
            <w:hideMark/>
          </w:tcPr>
          <w:p w14:paraId="71AC01D0"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71</w:t>
            </w:r>
          </w:p>
        </w:tc>
        <w:tc>
          <w:tcPr>
            <w:tcW w:w="709" w:type="dxa"/>
            <w:noWrap/>
            <w:hideMark/>
          </w:tcPr>
          <w:p w14:paraId="6ECE7D60"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50</w:t>
            </w:r>
          </w:p>
        </w:tc>
        <w:tc>
          <w:tcPr>
            <w:tcW w:w="709" w:type="dxa"/>
            <w:noWrap/>
            <w:hideMark/>
          </w:tcPr>
          <w:p w14:paraId="02ACAC9D"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142</w:t>
            </w:r>
            <w:r w:rsidRPr="00A13922">
              <w:rPr>
                <w:rFonts w:ascii="Calibri" w:eastAsia="Times New Roman" w:hAnsi="Calibri" w:cs="Calibri"/>
                <w:color w:val="000000"/>
                <w:sz w:val="12"/>
                <w:szCs w:val="12"/>
                <w:lang w:eastAsia="pl-PL"/>
              </w:rPr>
              <w:t>%</w:t>
            </w:r>
          </w:p>
        </w:tc>
        <w:tc>
          <w:tcPr>
            <w:tcW w:w="850" w:type="dxa"/>
            <w:noWrap/>
            <w:hideMark/>
          </w:tcPr>
          <w:p w14:paraId="3566A355"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21</w:t>
            </w:r>
          </w:p>
        </w:tc>
        <w:tc>
          <w:tcPr>
            <w:tcW w:w="992" w:type="dxa"/>
            <w:vMerge/>
            <w:hideMark/>
          </w:tcPr>
          <w:p w14:paraId="3D94B25F"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C8BC3BA"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6 331 927,46 zł </w:t>
            </w:r>
          </w:p>
        </w:tc>
        <w:tc>
          <w:tcPr>
            <w:tcW w:w="850" w:type="dxa"/>
            <w:vMerge/>
            <w:hideMark/>
          </w:tcPr>
          <w:p w14:paraId="68E0688C"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417A29F"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19C6667C"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B5669C7"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€ 1 472 541,27 </w:t>
            </w:r>
          </w:p>
        </w:tc>
        <w:tc>
          <w:tcPr>
            <w:tcW w:w="851" w:type="dxa"/>
            <w:noWrap/>
            <w:vAlign w:val="bottom"/>
            <w:hideMark/>
          </w:tcPr>
          <w:p w14:paraId="6D24E31D"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w:t>
            </w:r>
          </w:p>
        </w:tc>
        <w:tc>
          <w:tcPr>
            <w:tcW w:w="982" w:type="dxa"/>
            <w:noWrap/>
            <w:vAlign w:val="bottom"/>
            <w:hideMark/>
          </w:tcPr>
          <w:p w14:paraId="3B29B810"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77</w:t>
            </w:r>
          </w:p>
        </w:tc>
        <w:tc>
          <w:tcPr>
            <w:tcW w:w="962" w:type="dxa"/>
            <w:noWrap/>
            <w:vAlign w:val="bottom"/>
            <w:hideMark/>
          </w:tcPr>
          <w:p w14:paraId="4A870046"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154%</w:t>
            </w:r>
          </w:p>
        </w:tc>
      </w:tr>
      <w:tr w:rsidR="008B4A53" w:rsidRPr="001C7E6A" w14:paraId="5D4969AA" w14:textId="77777777" w:rsidTr="00CE3714">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41" w:type="dxa"/>
            <w:noWrap/>
            <w:hideMark/>
          </w:tcPr>
          <w:p w14:paraId="19245C1C"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12.2</w:t>
            </w:r>
          </w:p>
        </w:tc>
        <w:tc>
          <w:tcPr>
            <w:tcW w:w="3880" w:type="dxa"/>
            <w:hideMark/>
          </w:tcPr>
          <w:p w14:paraId="22EE6A9A"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wspartych obiektów infrastruktury kształcenia zawodowego</w:t>
            </w:r>
          </w:p>
        </w:tc>
        <w:tc>
          <w:tcPr>
            <w:tcW w:w="850" w:type="dxa"/>
            <w:noWrap/>
            <w:hideMark/>
          </w:tcPr>
          <w:p w14:paraId="2F7C53EA"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136</w:t>
            </w:r>
          </w:p>
        </w:tc>
        <w:tc>
          <w:tcPr>
            <w:tcW w:w="709" w:type="dxa"/>
            <w:noWrap/>
            <w:hideMark/>
          </w:tcPr>
          <w:p w14:paraId="4FABF3CD"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52</w:t>
            </w:r>
          </w:p>
        </w:tc>
        <w:tc>
          <w:tcPr>
            <w:tcW w:w="709" w:type="dxa"/>
            <w:noWrap/>
            <w:hideMark/>
          </w:tcPr>
          <w:p w14:paraId="12B4D75E"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262</w:t>
            </w:r>
            <w:r w:rsidRPr="007275D1">
              <w:rPr>
                <w:rFonts w:ascii="Calibri" w:eastAsia="Times New Roman" w:hAnsi="Calibri" w:cs="Calibri"/>
                <w:color w:val="000000"/>
                <w:sz w:val="12"/>
                <w:szCs w:val="12"/>
                <w:lang w:eastAsia="pl-PL"/>
              </w:rPr>
              <w:t>%</w:t>
            </w:r>
          </w:p>
        </w:tc>
        <w:tc>
          <w:tcPr>
            <w:tcW w:w="850" w:type="dxa"/>
            <w:noWrap/>
            <w:hideMark/>
          </w:tcPr>
          <w:p w14:paraId="3EB6E719"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84</w:t>
            </w:r>
          </w:p>
        </w:tc>
        <w:tc>
          <w:tcPr>
            <w:tcW w:w="992" w:type="dxa"/>
            <w:vMerge/>
            <w:hideMark/>
          </w:tcPr>
          <w:p w14:paraId="09CC7B88"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4ABD4E5"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6 088 391,79 zł </w:t>
            </w:r>
          </w:p>
        </w:tc>
        <w:tc>
          <w:tcPr>
            <w:tcW w:w="850" w:type="dxa"/>
            <w:vMerge/>
            <w:hideMark/>
          </w:tcPr>
          <w:p w14:paraId="4F13096A"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285D1880"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1681BD0C"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0A3E20F9"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€ 1 415 905,07 </w:t>
            </w:r>
          </w:p>
        </w:tc>
        <w:tc>
          <w:tcPr>
            <w:tcW w:w="851" w:type="dxa"/>
            <w:noWrap/>
            <w:vAlign w:val="bottom"/>
            <w:hideMark/>
          </w:tcPr>
          <w:p w14:paraId="0C8398FF"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w:t>
            </w:r>
          </w:p>
        </w:tc>
        <w:tc>
          <w:tcPr>
            <w:tcW w:w="982" w:type="dxa"/>
            <w:noWrap/>
            <w:vAlign w:val="bottom"/>
            <w:hideMark/>
          </w:tcPr>
          <w:p w14:paraId="2F912C61"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142</w:t>
            </w:r>
          </w:p>
        </w:tc>
        <w:tc>
          <w:tcPr>
            <w:tcW w:w="962" w:type="dxa"/>
            <w:noWrap/>
            <w:vAlign w:val="bottom"/>
            <w:hideMark/>
          </w:tcPr>
          <w:p w14:paraId="6F60527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273%</w:t>
            </w:r>
          </w:p>
        </w:tc>
      </w:tr>
      <w:tr w:rsidR="00915AF8" w:rsidRPr="001C7E6A" w14:paraId="3C1765A1" w14:textId="77777777" w:rsidTr="00CE3714">
        <w:trPr>
          <w:trHeight w:val="83"/>
        </w:trPr>
        <w:tc>
          <w:tcPr>
            <w:cnfStyle w:val="001000000000" w:firstRow="0" w:lastRow="0" w:firstColumn="1" w:lastColumn="0" w:oddVBand="0" w:evenVBand="0" w:oddHBand="0" w:evenHBand="0" w:firstRowFirstColumn="0" w:firstRowLastColumn="0" w:lastRowFirstColumn="0" w:lastRowLastColumn="0"/>
            <w:tcW w:w="941" w:type="dxa"/>
            <w:noWrap/>
            <w:hideMark/>
          </w:tcPr>
          <w:p w14:paraId="64677A18"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12.3</w:t>
            </w:r>
          </w:p>
        </w:tc>
        <w:tc>
          <w:tcPr>
            <w:tcW w:w="3880" w:type="dxa"/>
            <w:hideMark/>
          </w:tcPr>
          <w:p w14:paraId="70C3D4AA"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odwiedzających Planetarium Śląskie ze zorganizowanych grup uczniowskich i przedszkolnych</w:t>
            </w:r>
          </w:p>
        </w:tc>
        <w:tc>
          <w:tcPr>
            <w:tcW w:w="850" w:type="dxa"/>
            <w:noWrap/>
            <w:hideMark/>
          </w:tcPr>
          <w:p w14:paraId="23C277D1"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156000</w:t>
            </w:r>
          </w:p>
        </w:tc>
        <w:tc>
          <w:tcPr>
            <w:tcW w:w="709" w:type="dxa"/>
            <w:noWrap/>
            <w:hideMark/>
          </w:tcPr>
          <w:p w14:paraId="767B62B7"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156000</w:t>
            </w:r>
          </w:p>
        </w:tc>
        <w:tc>
          <w:tcPr>
            <w:tcW w:w="709" w:type="dxa"/>
            <w:noWrap/>
            <w:hideMark/>
          </w:tcPr>
          <w:p w14:paraId="768705DB"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100%</w:t>
            </w:r>
          </w:p>
        </w:tc>
        <w:tc>
          <w:tcPr>
            <w:tcW w:w="850" w:type="dxa"/>
            <w:noWrap/>
            <w:hideMark/>
          </w:tcPr>
          <w:p w14:paraId="34F89AAB"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4052728E"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60182A9"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2 029,46 zł </w:t>
            </w:r>
          </w:p>
        </w:tc>
        <w:tc>
          <w:tcPr>
            <w:tcW w:w="850" w:type="dxa"/>
            <w:vMerge/>
            <w:hideMark/>
          </w:tcPr>
          <w:p w14:paraId="72FE5566"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221F1940"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1E187502"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2B4D8F84"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€ 471,97 </w:t>
            </w:r>
          </w:p>
        </w:tc>
        <w:tc>
          <w:tcPr>
            <w:tcW w:w="851" w:type="dxa"/>
            <w:noWrap/>
            <w:vAlign w:val="bottom"/>
            <w:hideMark/>
          </w:tcPr>
          <w:p w14:paraId="598780DC"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18360</w:t>
            </w:r>
          </w:p>
        </w:tc>
        <w:tc>
          <w:tcPr>
            <w:tcW w:w="982" w:type="dxa"/>
            <w:noWrap/>
            <w:vAlign w:val="bottom"/>
            <w:hideMark/>
          </w:tcPr>
          <w:p w14:paraId="3E6763D2"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174360</w:t>
            </w:r>
          </w:p>
        </w:tc>
        <w:tc>
          <w:tcPr>
            <w:tcW w:w="962" w:type="dxa"/>
            <w:noWrap/>
            <w:vAlign w:val="bottom"/>
            <w:hideMark/>
          </w:tcPr>
          <w:p w14:paraId="1F6D3859"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112%</w:t>
            </w:r>
          </w:p>
        </w:tc>
      </w:tr>
      <w:tr w:rsidR="00E24BD3" w:rsidRPr="001C7E6A" w14:paraId="2BE78BA7" w14:textId="77777777" w:rsidTr="00CE371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68A2AD46"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43DE43D3"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miejsc wychowania przedszkolnego dofinansowanych w programie</w:t>
            </w:r>
          </w:p>
        </w:tc>
        <w:tc>
          <w:tcPr>
            <w:tcW w:w="850" w:type="dxa"/>
            <w:noWrap/>
            <w:hideMark/>
          </w:tcPr>
          <w:p w14:paraId="40DCD6FC"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5768</w:t>
            </w:r>
          </w:p>
        </w:tc>
        <w:tc>
          <w:tcPr>
            <w:tcW w:w="709" w:type="dxa"/>
            <w:noWrap/>
            <w:hideMark/>
          </w:tcPr>
          <w:p w14:paraId="73305983"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3081</w:t>
            </w:r>
          </w:p>
        </w:tc>
        <w:tc>
          <w:tcPr>
            <w:tcW w:w="709" w:type="dxa"/>
            <w:noWrap/>
            <w:hideMark/>
          </w:tcPr>
          <w:p w14:paraId="20E6D9DF"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187%</w:t>
            </w:r>
          </w:p>
        </w:tc>
        <w:tc>
          <w:tcPr>
            <w:tcW w:w="850" w:type="dxa"/>
            <w:noWrap/>
            <w:hideMark/>
          </w:tcPr>
          <w:p w14:paraId="53410D69"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val="restart"/>
            <w:noWrap/>
            <w:hideMark/>
          </w:tcPr>
          <w:p w14:paraId="01AC6757"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640 561 743,00 zł </w:t>
            </w:r>
          </w:p>
        </w:tc>
        <w:tc>
          <w:tcPr>
            <w:tcW w:w="851" w:type="dxa"/>
            <w:noWrap/>
            <w:hideMark/>
          </w:tcPr>
          <w:p w14:paraId="4E052130"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111 054,39 zł </w:t>
            </w:r>
          </w:p>
        </w:tc>
        <w:tc>
          <w:tcPr>
            <w:tcW w:w="850" w:type="dxa"/>
            <w:vMerge w:val="restart"/>
            <w:noWrap/>
            <w:hideMark/>
          </w:tcPr>
          <w:p w14:paraId="35D70B34"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848 226 009,00 zł </w:t>
            </w:r>
          </w:p>
        </w:tc>
        <w:tc>
          <w:tcPr>
            <w:tcW w:w="709" w:type="dxa"/>
            <w:vMerge w:val="restart"/>
            <w:noWrap/>
            <w:hideMark/>
          </w:tcPr>
          <w:p w14:paraId="15D58F6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207 664 266,00 zł </w:t>
            </w:r>
          </w:p>
        </w:tc>
        <w:tc>
          <w:tcPr>
            <w:tcW w:w="709" w:type="dxa"/>
            <w:vMerge w:val="restart"/>
            <w:noWrap/>
            <w:vAlign w:val="bottom"/>
            <w:hideMark/>
          </w:tcPr>
          <w:p w14:paraId="3CEC11A7"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51 786 600,00 zł </w:t>
            </w:r>
          </w:p>
        </w:tc>
        <w:tc>
          <w:tcPr>
            <w:tcW w:w="850" w:type="dxa"/>
            <w:noWrap/>
            <w:vAlign w:val="bottom"/>
            <w:hideMark/>
          </w:tcPr>
          <w:p w14:paraId="476E1154"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€ 25 826,60 </w:t>
            </w:r>
          </w:p>
        </w:tc>
        <w:tc>
          <w:tcPr>
            <w:tcW w:w="851" w:type="dxa"/>
            <w:noWrap/>
            <w:vAlign w:val="bottom"/>
            <w:hideMark/>
          </w:tcPr>
          <w:p w14:paraId="649B9F4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2 005,16 </w:t>
            </w:r>
          </w:p>
        </w:tc>
        <w:tc>
          <w:tcPr>
            <w:tcW w:w="982" w:type="dxa"/>
            <w:noWrap/>
            <w:vAlign w:val="bottom"/>
            <w:hideMark/>
          </w:tcPr>
          <w:p w14:paraId="413B3A5E"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7773</w:t>
            </w:r>
          </w:p>
        </w:tc>
        <w:tc>
          <w:tcPr>
            <w:tcW w:w="962" w:type="dxa"/>
            <w:noWrap/>
            <w:vAlign w:val="bottom"/>
            <w:hideMark/>
          </w:tcPr>
          <w:p w14:paraId="183B097C"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252%</w:t>
            </w:r>
          </w:p>
        </w:tc>
      </w:tr>
      <w:tr w:rsidR="00915AF8" w:rsidRPr="001C7E6A" w14:paraId="2EABB6F3" w14:textId="77777777" w:rsidTr="00CE3714">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6CE54295"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323841D2"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dzieci objętych w ramach programu dodatkowymi zajęciami zwiększającymi ich szanse edukacyjne w edukacji przedszkolnej</w:t>
            </w:r>
          </w:p>
        </w:tc>
        <w:tc>
          <w:tcPr>
            <w:tcW w:w="850" w:type="dxa"/>
            <w:noWrap/>
            <w:hideMark/>
          </w:tcPr>
          <w:p w14:paraId="3341DA26"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13944</w:t>
            </w:r>
          </w:p>
        </w:tc>
        <w:tc>
          <w:tcPr>
            <w:tcW w:w="709" w:type="dxa"/>
            <w:noWrap/>
            <w:hideMark/>
          </w:tcPr>
          <w:p w14:paraId="005ABAE0"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13984</w:t>
            </w:r>
          </w:p>
        </w:tc>
        <w:tc>
          <w:tcPr>
            <w:tcW w:w="709" w:type="dxa"/>
            <w:noWrap/>
            <w:hideMark/>
          </w:tcPr>
          <w:p w14:paraId="33BFD966"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100%</w:t>
            </w:r>
          </w:p>
        </w:tc>
        <w:tc>
          <w:tcPr>
            <w:tcW w:w="850" w:type="dxa"/>
            <w:noWrap/>
            <w:hideMark/>
          </w:tcPr>
          <w:p w14:paraId="6203F678"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40</w:t>
            </w:r>
          </w:p>
        </w:tc>
        <w:tc>
          <w:tcPr>
            <w:tcW w:w="992" w:type="dxa"/>
            <w:vMerge/>
            <w:hideMark/>
          </w:tcPr>
          <w:p w14:paraId="4D134EB5"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8BF4BEB"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45 938,16 zł </w:t>
            </w:r>
          </w:p>
        </w:tc>
        <w:tc>
          <w:tcPr>
            <w:tcW w:w="850" w:type="dxa"/>
            <w:vMerge/>
            <w:hideMark/>
          </w:tcPr>
          <w:p w14:paraId="5DD0723A"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20BAFEA7"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0C80F81"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5607A29A"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€ 10 683,29 </w:t>
            </w:r>
          </w:p>
        </w:tc>
        <w:tc>
          <w:tcPr>
            <w:tcW w:w="851" w:type="dxa"/>
            <w:noWrap/>
            <w:vAlign w:val="bottom"/>
            <w:hideMark/>
          </w:tcPr>
          <w:p w14:paraId="7DF5C682"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4 847,44 </w:t>
            </w:r>
          </w:p>
        </w:tc>
        <w:tc>
          <w:tcPr>
            <w:tcW w:w="982" w:type="dxa"/>
            <w:noWrap/>
            <w:vAlign w:val="bottom"/>
            <w:hideMark/>
          </w:tcPr>
          <w:p w14:paraId="58CD5DE4"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18791</w:t>
            </w:r>
          </w:p>
        </w:tc>
        <w:tc>
          <w:tcPr>
            <w:tcW w:w="962" w:type="dxa"/>
            <w:noWrap/>
            <w:vAlign w:val="bottom"/>
            <w:hideMark/>
          </w:tcPr>
          <w:p w14:paraId="5997C69F"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134%</w:t>
            </w:r>
          </w:p>
        </w:tc>
      </w:tr>
      <w:tr w:rsidR="008B4A53" w:rsidRPr="001C7E6A" w14:paraId="57B23A7F" w14:textId="77777777" w:rsidTr="00CE371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0C96656B"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00BD64E2"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objętych wsparciem w zakresie rozwijania kompetencji kluczowych lub umiejętności uniwersalnych niezbędnych na rynku pracy w programie</w:t>
            </w:r>
          </w:p>
        </w:tc>
        <w:tc>
          <w:tcPr>
            <w:tcW w:w="850" w:type="dxa"/>
            <w:noWrap/>
            <w:hideMark/>
          </w:tcPr>
          <w:p w14:paraId="7CD3EF9D"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85561</w:t>
            </w:r>
          </w:p>
        </w:tc>
        <w:tc>
          <w:tcPr>
            <w:tcW w:w="709" w:type="dxa"/>
            <w:noWrap/>
            <w:hideMark/>
          </w:tcPr>
          <w:p w14:paraId="699C5F1B"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46366</w:t>
            </w:r>
          </w:p>
        </w:tc>
        <w:tc>
          <w:tcPr>
            <w:tcW w:w="709" w:type="dxa"/>
            <w:noWrap/>
            <w:hideMark/>
          </w:tcPr>
          <w:p w14:paraId="2EF98AF7"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185%</w:t>
            </w:r>
          </w:p>
        </w:tc>
        <w:tc>
          <w:tcPr>
            <w:tcW w:w="850" w:type="dxa"/>
            <w:noWrap/>
            <w:hideMark/>
          </w:tcPr>
          <w:p w14:paraId="3654FEBF"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75BDB721"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A2773B7"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7 486,61 zł </w:t>
            </w:r>
          </w:p>
        </w:tc>
        <w:tc>
          <w:tcPr>
            <w:tcW w:w="850" w:type="dxa"/>
            <w:vMerge/>
            <w:hideMark/>
          </w:tcPr>
          <w:p w14:paraId="268ED75F"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0E93193"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1D1FBAFB"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554FC35"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€1 741,07 </w:t>
            </w:r>
          </w:p>
        </w:tc>
        <w:tc>
          <w:tcPr>
            <w:tcW w:w="851" w:type="dxa"/>
            <w:noWrap/>
            <w:vAlign w:val="bottom"/>
            <w:hideMark/>
          </w:tcPr>
          <w:p w14:paraId="085C72F8"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29 744,09 </w:t>
            </w:r>
          </w:p>
        </w:tc>
        <w:tc>
          <w:tcPr>
            <w:tcW w:w="982" w:type="dxa"/>
            <w:noWrap/>
            <w:vAlign w:val="bottom"/>
            <w:hideMark/>
          </w:tcPr>
          <w:p w14:paraId="5DB35548"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115305</w:t>
            </w:r>
          </w:p>
        </w:tc>
        <w:tc>
          <w:tcPr>
            <w:tcW w:w="962" w:type="dxa"/>
            <w:noWrap/>
            <w:vAlign w:val="bottom"/>
            <w:hideMark/>
          </w:tcPr>
          <w:p w14:paraId="43DB860B"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249%</w:t>
            </w:r>
          </w:p>
        </w:tc>
      </w:tr>
      <w:tr w:rsidR="00915AF8" w:rsidRPr="001C7E6A" w14:paraId="5F933794" w14:textId="77777777" w:rsidTr="00CE3714">
        <w:trPr>
          <w:trHeight w:val="360"/>
        </w:trPr>
        <w:tc>
          <w:tcPr>
            <w:cnfStyle w:val="001000000000" w:firstRow="0" w:lastRow="0" w:firstColumn="1" w:lastColumn="0" w:oddVBand="0" w:evenVBand="0" w:oddHBand="0" w:evenHBand="0" w:firstRowFirstColumn="0" w:firstRowLastColumn="0" w:lastRowFirstColumn="0" w:lastRowLastColumn="0"/>
            <w:tcW w:w="941" w:type="dxa"/>
            <w:noWrap/>
            <w:hideMark/>
          </w:tcPr>
          <w:p w14:paraId="6B7B068E"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69B76F6B"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których pracownie przedmiotowe zostały doposażone w programie</w:t>
            </w:r>
          </w:p>
        </w:tc>
        <w:tc>
          <w:tcPr>
            <w:tcW w:w="850" w:type="dxa"/>
            <w:noWrap/>
            <w:hideMark/>
          </w:tcPr>
          <w:p w14:paraId="3D3A4333"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657</w:t>
            </w:r>
          </w:p>
        </w:tc>
        <w:tc>
          <w:tcPr>
            <w:tcW w:w="709" w:type="dxa"/>
            <w:noWrap/>
            <w:hideMark/>
          </w:tcPr>
          <w:p w14:paraId="7F30C182"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148</w:t>
            </w:r>
          </w:p>
        </w:tc>
        <w:tc>
          <w:tcPr>
            <w:tcW w:w="709" w:type="dxa"/>
            <w:noWrap/>
            <w:hideMark/>
          </w:tcPr>
          <w:p w14:paraId="0C7C8B18"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444%</w:t>
            </w:r>
          </w:p>
        </w:tc>
        <w:tc>
          <w:tcPr>
            <w:tcW w:w="850" w:type="dxa"/>
            <w:noWrap/>
            <w:hideMark/>
          </w:tcPr>
          <w:p w14:paraId="20F0DCBB"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5350B093"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5992CB8C"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974 979,82 zł </w:t>
            </w:r>
          </w:p>
        </w:tc>
        <w:tc>
          <w:tcPr>
            <w:tcW w:w="850" w:type="dxa"/>
            <w:vMerge/>
            <w:hideMark/>
          </w:tcPr>
          <w:p w14:paraId="6F979305"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24F02CDD"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2CF5F27A"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72640424"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€ 226 739,49 </w:t>
            </w:r>
          </w:p>
        </w:tc>
        <w:tc>
          <w:tcPr>
            <w:tcW w:w="851" w:type="dxa"/>
            <w:noWrap/>
            <w:vAlign w:val="bottom"/>
            <w:hideMark/>
          </w:tcPr>
          <w:p w14:paraId="01FFC069"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228,40 </w:t>
            </w:r>
          </w:p>
        </w:tc>
        <w:tc>
          <w:tcPr>
            <w:tcW w:w="982" w:type="dxa"/>
            <w:noWrap/>
            <w:vAlign w:val="bottom"/>
            <w:hideMark/>
          </w:tcPr>
          <w:p w14:paraId="4B851BD7"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885</w:t>
            </w:r>
          </w:p>
        </w:tc>
        <w:tc>
          <w:tcPr>
            <w:tcW w:w="962" w:type="dxa"/>
            <w:noWrap/>
            <w:vAlign w:val="bottom"/>
            <w:hideMark/>
          </w:tcPr>
          <w:p w14:paraId="4C89DA94"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598%</w:t>
            </w:r>
          </w:p>
        </w:tc>
      </w:tr>
      <w:tr w:rsidR="008B4A53" w:rsidRPr="001C7E6A" w14:paraId="65C8D185" w14:textId="77777777" w:rsidTr="00CE371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41" w:type="dxa"/>
            <w:noWrap/>
            <w:hideMark/>
          </w:tcPr>
          <w:p w14:paraId="2DC82479"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722C0B86"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i placówek systemu oświaty wyposażonych w ramach programu w sprzęt TIK do prowadzenia zajęć edukacyjnych</w:t>
            </w:r>
          </w:p>
        </w:tc>
        <w:tc>
          <w:tcPr>
            <w:tcW w:w="850" w:type="dxa"/>
            <w:noWrap/>
            <w:hideMark/>
          </w:tcPr>
          <w:p w14:paraId="1EC2FE28"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749</w:t>
            </w:r>
          </w:p>
        </w:tc>
        <w:tc>
          <w:tcPr>
            <w:tcW w:w="709" w:type="dxa"/>
            <w:noWrap/>
            <w:hideMark/>
          </w:tcPr>
          <w:p w14:paraId="399CFC5B"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155</w:t>
            </w:r>
          </w:p>
        </w:tc>
        <w:tc>
          <w:tcPr>
            <w:tcW w:w="709" w:type="dxa"/>
            <w:noWrap/>
            <w:hideMark/>
          </w:tcPr>
          <w:p w14:paraId="5689EEE5"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483%</w:t>
            </w:r>
          </w:p>
        </w:tc>
        <w:tc>
          <w:tcPr>
            <w:tcW w:w="850" w:type="dxa"/>
            <w:noWrap/>
            <w:hideMark/>
          </w:tcPr>
          <w:p w14:paraId="049EBE1B"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58EFCF66"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2F461B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855 222,62 zł </w:t>
            </w:r>
          </w:p>
        </w:tc>
        <w:tc>
          <w:tcPr>
            <w:tcW w:w="850" w:type="dxa"/>
            <w:vMerge/>
            <w:hideMark/>
          </w:tcPr>
          <w:p w14:paraId="74562F6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29666967"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58E6681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1A34F641"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€ 198 888,98 </w:t>
            </w:r>
          </w:p>
        </w:tc>
        <w:tc>
          <w:tcPr>
            <w:tcW w:w="851" w:type="dxa"/>
            <w:noWrap/>
            <w:vAlign w:val="bottom"/>
            <w:hideMark/>
          </w:tcPr>
          <w:p w14:paraId="7CD7EDA8"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260,38 </w:t>
            </w:r>
          </w:p>
        </w:tc>
        <w:tc>
          <w:tcPr>
            <w:tcW w:w="982" w:type="dxa"/>
            <w:noWrap/>
            <w:vAlign w:val="bottom"/>
            <w:hideMark/>
          </w:tcPr>
          <w:p w14:paraId="02C54244"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1009</w:t>
            </w:r>
          </w:p>
        </w:tc>
        <w:tc>
          <w:tcPr>
            <w:tcW w:w="962" w:type="dxa"/>
            <w:noWrap/>
            <w:vAlign w:val="bottom"/>
            <w:hideMark/>
          </w:tcPr>
          <w:p w14:paraId="648BE479"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651%</w:t>
            </w:r>
          </w:p>
        </w:tc>
      </w:tr>
      <w:tr w:rsidR="00915AF8" w:rsidRPr="001C7E6A" w14:paraId="55EDDFC3" w14:textId="77777777" w:rsidTr="00CE3714">
        <w:trPr>
          <w:trHeight w:val="76"/>
        </w:trPr>
        <w:tc>
          <w:tcPr>
            <w:cnfStyle w:val="001000000000" w:firstRow="0" w:lastRow="0" w:firstColumn="1" w:lastColumn="0" w:oddVBand="0" w:evenVBand="0" w:oddHBand="0" w:evenHBand="0" w:firstRowFirstColumn="0" w:firstRowLastColumn="0" w:lastRowFirstColumn="0" w:lastRowLastColumn="0"/>
            <w:tcW w:w="941" w:type="dxa"/>
            <w:noWrap/>
            <w:hideMark/>
          </w:tcPr>
          <w:p w14:paraId="641ACACF"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72E34BD3"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którzy nabyli kompetencje kluczowe lub umiejętności uniwersalne niezbędne na rynku pracy po opuszczeniu programu</w:t>
            </w:r>
          </w:p>
        </w:tc>
        <w:tc>
          <w:tcPr>
            <w:tcW w:w="850" w:type="dxa"/>
            <w:noWrap/>
            <w:hideMark/>
          </w:tcPr>
          <w:p w14:paraId="14E0DBAF"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71815</w:t>
            </w:r>
          </w:p>
        </w:tc>
        <w:tc>
          <w:tcPr>
            <w:tcW w:w="709" w:type="dxa"/>
            <w:noWrap/>
            <w:hideMark/>
          </w:tcPr>
          <w:p w14:paraId="11589022"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27819</w:t>
            </w:r>
          </w:p>
        </w:tc>
        <w:tc>
          <w:tcPr>
            <w:tcW w:w="709" w:type="dxa"/>
            <w:noWrap/>
            <w:hideMark/>
          </w:tcPr>
          <w:p w14:paraId="0D9E2DBD"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258%</w:t>
            </w:r>
          </w:p>
        </w:tc>
        <w:tc>
          <w:tcPr>
            <w:tcW w:w="850" w:type="dxa"/>
            <w:noWrap/>
            <w:hideMark/>
          </w:tcPr>
          <w:p w14:paraId="084D66C8"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C6CC633"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3FC4734"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8 919,61 zł </w:t>
            </w:r>
          </w:p>
        </w:tc>
        <w:tc>
          <w:tcPr>
            <w:tcW w:w="850" w:type="dxa"/>
            <w:vMerge/>
            <w:hideMark/>
          </w:tcPr>
          <w:p w14:paraId="504463F7"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ABBDEE8"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46364DD"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3421526B"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€2 074,33 </w:t>
            </w:r>
          </w:p>
        </w:tc>
        <w:tc>
          <w:tcPr>
            <w:tcW w:w="851" w:type="dxa"/>
            <w:noWrap/>
            <w:vAlign w:val="bottom"/>
            <w:hideMark/>
          </w:tcPr>
          <w:p w14:paraId="7D63AE6E"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24 965,49 </w:t>
            </w:r>
          </w:p>
        </w:tc>
        <w:tc>
          <w:tcPr>
            <w:tcW w:w="982" w:type="dxa"/>
            <w:noWrap/>
            <w:vAlign w:val="bottom"/>
            <w:hideMark/>
          </w:tcPr>
          <w:p w14:paraId="7427B0D0"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96780</w:t>
            </w:r>
          </w:p>
        </w:tc>
        <w:tc>
          <w:tcPr>
            <w:tcW w:w="962" w:type="dxa"/>
            <w:noWrap/>
            <w:vAlign w:val="bottom"/>
            <w:hideMark/>
          </w:tcPr>
          <w:p w14:paraId="31B70955"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348%</w:t>
            </w:r>
          </w:p>
        </w:tc>
      </w:tr>
      <w:tr w:rsidR="008B4A53" w:rsidRPr="001C7E6A" w14:paraId="6B14F8EA" w14:textId="77777777" w:rsidTr="00CE371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21AE2C89"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31EF3E71"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w których pracowanie przedmiotowe wykorzystują doposażenie do prowadzenia zajęć edukacyjnych</w:t>
            </w:r>
          </w:p>
        </w:tc>
        <w:tc>
          <w:tcPr>
            <w:tcW w:w="850" w:type="dxa"/>
            <w:noWrap/>
            <w:hideMark/>
          </w:tcPr>
          <w:p w14:paraId="423B3125"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662</w:t>
            </w:r>
          </w:p>
        </w:tc>
        <w:tc>
          <w:tcPr>
            <w:tcW w:w="709" w:type="dxa"/>
            <w:noWrap/>
            <w:hideMark/>
          </w:tcPr>
          <w:p w14:paraId="73D925D7"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148</w:t>
            </w:r>
          </w:p>
        </w:tc>
        <w:tc>
          <w:tcPr>
            <w:tcW w:w="709" w:type="dxa"/>
            <w:noWrap/>
            <w:hideMark/>
          </w:tcPr>
          <w:p w14:paraId="6C8D9B4B"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447%</w:t>
            </w:r>
          </w:p>
        </w:tc>
        <w:tc>
          <w:tcPr>
            <w:tcW w:w="850" w:type="dxa"/>
            <w:noWrap/>
            <w:hideMark/>
          </w:tcPr>
          <w:p w14:paraId="0F8B858F"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768F756B"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8988C18"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967 615,93 zł </w:t>
            </w:r>
          </w:p>
        </w:tc>
        <w:tc>
          <w:tcPr>
            <w:tcW w:w="850" w:type="dxa"/>
            <w:vMerge/>
            <w:hideMark/>
          </w:tcPr>
          <w:p w14:paraId="0F43693C"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2828E7A8"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44BEF19"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30206E78"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€ 225 026,96 </w:t>
            </w:r>
          </w:p>
        </w:tc>
        <w:tc>
          <w:tcPr>
            <w:tcW w:w="851" w:type="dxa"/>
            <w:noWrap/>
            <w:vAlign w:val="bottom"/>
            <w:hideMark/>
          </w:tcPr>
          <w:p w14:paraId="673ACA02"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230,14 </w:t>
            </w:r>
          </w:p>
        </w:tc>
        <w:tc>
          <w:tcPr>
            <w:tcW w:w="982" w:type="dxa"/>
            <w:noWrap/>
            <w:vAlign w:val="bottom"/>
            <w:hideMark/>
          </w:tcPr>
          <w:p w14:paraId="55649574"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892</w:t>
            </w:r>
          </w:p>
        </w:tc>
        <w:tc>
          <w:tcPr>
            <w:tcW w:w="962" w:type="dxa"/>
            <w:noWrap/>
            <w:vAlign w:val="bottom"/>
            <w:hideMark/>
          </w:tcPr>
          <w:p w14:paraId="0EC65E1B"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603%</w:t>
            </w:r>
          </w:p>
        </w:tc>
      </w:tr>
      <w:tr w:rsidR="00915AF8" w:rsidRPr="001C7E6A" w14:paraId="3E6A33B1" w14:textId="77777777" w:rsidTr="00CE3714">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1E9E114F"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310AD78C"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i placówek systemu oświaty wykorzystujących sprzęt TIK do prowadzenia zajęć edukacyjnych</w:t>
            </w:r>
          </w:p>
        </w:tc>
        <w:tc>
          <w:tcPr>
            <w:tcW w:w="850" w:type="dxa"/>
            <w:noWrap/>
            <w:hideMark/>
          </w:tcPr>
          <w:p w14:paraId="07FBD328"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753</w:t>
            </w:r>
          </w:p>
        </w:tc>
        <w:tc>
          <w:tcPr>
            <w:tcW w:w="709" w:type="dxa"/>
            <w:noWrap/>
            <w:hideMark/>
          </w:tcPr>
          <w:p w14:paraId="62E048F8"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155</w:t>
            </w:r>
          </w:p>
        </w:tc>
        <w:tc>
          <w:tcPr>
            <w:tcW w:w="709" w:type="dxa"/>
            <w:noWrap/>
            <w:hideMark/>
          </w:tcPr>
          <w:p w14:paraId="515C4F13"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486%</w:t>
            </w:r>
          </w:p>
        </w:tc>
        <w:tc>
          <w:tcPr>
            <w:tcW w:w="850" w:type="dxa"/>
            <w:noWrap/>
            <w:hideMark/>
          </w:tcPr>
          <w:p w14:paraId="5D5264D7"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3CF37D3F"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418BE5D"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850 679,61 zł </w:t>
            </w:r>
          </w:p>
        </w:tc>
        <w:tc>
          <w:tcPr>
            <w:tcW w:w="850" w:type="dxa"/>
            <w:vMerge/>
            <w:hideMark/>
          </w:tcPr>
          <w:p w14:paraId="244BE5E1"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EBEB864"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5B48B07"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3A4655F3"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€ 197 832,47 </w:t>
            </w:r>
          </w:p>
        </w:tc>
        <w:tc>
          <w:tcPr>
            <w:tcW w:w="851" w:type="dxa"/>
            <w:noWrap/>
            <w:vAlign w:val="bottom"/>
            <w:hideMark/>
          </w:tcPr>
          <w:p w14:paraId="375C0CEA"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261,77 </w:t>
            </w:r>
          </w:p>
        </w:tc>
        <w:tc>
          <w:tcPr>
            <w:tcW w:w="982" w:type="dxa"/>
            <w:noWrap/>
            <w:vAlign w:val="bottom"/>
            <w:hideMark/>
          </w:tcPr>
          <w:p w14:paraId="61684B57"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1015</w:t>
            </w:r>
          </w:p>
        </w:tc>
        <w:tc>
          <w:tcPr>
            <w:tcW w:w="962" w:type="dxa"/>
            <w:noWrap/>
            <w:vAlign w:val="bottom"/>
            <w:hideMark/>
          </w:tcPr>
          <w:p w14:paraId="791F3CBE"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655%</w:t>
            </w:r>
          </w:p>
        </w:tc>
      </w:tr>
      <w:tr w:rsidR="008B4A53" w:rsidRPr="001C7E6A" w14:paraId="0C0E5246" w14:textId="77777777" w:rsidTr="00CE371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0B4DF215"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484CCEDE"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o niskich kwalifikacjach objętych wsparciem w programie</w:t>
            </w:r>
          </w:p>
        </w:tc>
        <w:tc>
          <w:tcPr>
            <w:tcW w:w="850" w:type="dxa"/>
            <w:noWrap/>
            <w:hideMark/>
          </w:tcPr>
          <w:p w14:paraId="45A9002D"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16241</w:t>
            </w:r>
          </w:p>
        </w:tc>
        <w:tc>
          <w:tcPr>
            <w:tcW w:w="709" w:type="dxa"/>
            <w:noWrap/>
            <w:hideMark/>
          </w:tcPr>
          <w:p w14:paraId="7F789CE7"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15412</w:t>
            </w:r>
          </w:p>
        </w:tc>
        <w:tc>
          <w:tcPr>
            <w:tcW w:w="709" w:type="dxa"/>
            <w:noWrap/>
            <w:hideMark/>
          </w:tcPr>
          <w:p w14:paraId="512852F6"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105%</w:t>
            </w:r>
          </w:p>
        </w:tc>
        <w:tc>
          <w:tcPr>
            <w:tcW w:w="850" w:type="dxa"/>
            <w:noWrap/>
            <w:hideMark/>
          </w:tcPr>
          <w:p w14:paraId="130389C0"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09C85130"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4DF4805"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39 441,03 zł </w:t>
            </w:r>
          </w:p>
        </w:tc>
        <w:tc>
          <w:tcPr>
            <w:tcW w:w="850" w:type="dxa"/>
            <w:vMerge/>
            <w:hideMark/>
          </w:tcPr>
          <w:p w14:paraId="64DAE0C0"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BED0609"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0F0D4A69"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0BEC4808"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€9 172,33 </w:t>
            </w:r>
          </w:p>
        </w:tc>
        <w:tc>
          <w:tcPr>
            <w:tcW w:w="851" w:type="dxa"/>
            <w:noWrap/>
            <w:vAlign w:val="bottom"/>
            <w:hideMark/>
          </w:tcPr>
          <w:p w14:paraId="029422FE"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5 645,96 </w:t>
            </w:r>
          </w:p>
        </w:tc>
        <w:tc>
          <w:tcPr>
            <w:tcW w:w="982" w:type="dxa"/>
            <w:noWrap/>
            <w:vAlign w:val="bottom"/>
            <w:hideMark/>
          </w:tcPr>
          <w:p w14:paraId="080F13B6"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21887</w:t>
            </w:r>
          </w:p>
        </w:tc>
        <w:tc>
          <w:tcPr>
            <w:tcW w:w="962" w:type="dxa"/>
            <w:noWrap/>
            <w:vAlign w:val="bottom"/>
            <w:hideMark/>
          </w:tcPr>
          <w:p w14:paraId="4573F1C1"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142%</w:t>
            </w:r>
          </w:p>
        </w:tc>
      </w:tr>
      <w:tr w:rsidR="00915AF8" w:rsidRPr="001C7E6A" w14:paraId="4CA0D131" w14:textId="77777777" w:rsidTr="00CE3714">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1C76F178"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1A1A3840"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w wieku 50 lat i więcej objętych wsparciem w programie</w:t>
            </w:r>
          </w:p>
        </w:tc>
        <w:tc>
          <w:tcPr>
            <w:tcW w:w="850" w:type="dxa"/>
            <w:noWrap/>
            <w:hideMark/>
          </w:tcPr>
          <w:p w14:paraId="7AECB6CE"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5879</w:t>
            </w:r>
          </w:p>
        </w:tc>
        <w:tc>
          <w:tcPr>
            <w:tcW w:w="709" w:type="dxa"/>
            <w:noWrap/>
            <w:hideMark/>
          </w:tcPr>
          <w:p w14:paraId="662DE895"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3626</w:t>
            </w:r>
          </w:p>
        </w:tc>
        <w:tc>
          <w:tcPr>
            <w:tcW w:w="709" w:type="dxa"/>
            <w:noWrap/>
            <w:hideMark/>
          </w:tcPr>
          <w:p w14:paraId="0A407DC4"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162%</w:t>
            </w:r>
          </w:p>
        </w:tc>
        <w:tc>
          <w:tcPr>
            <w:tcW w:w="850" w:type="dxa"/>
            <w:noWrap/>
            <w:hideMark/>
          </w:tcPr>
          <w:p w14:paraId="67256F50"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222C4939"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801DE89"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108 957,60 zł </w:t>
            </w:r>
          </w:p>
        </w:tc>
        <w:tc>
          <w:tcPr>
            <w:tcW w:w="850" w:type="dxa"/>
            <w:vMerge/>
            <w:hideMark/>
          </w:tcPr>
          <w:p w14:paraId="1AC2E48B"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1C679DE"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763E1D86"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47FFA2C1"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€ 25 338,98 </w:t>
            </w:r>
          </w:p>
        </w:tc>
        <w:tc>
          <w:tcPr>
            <w:tcW w:w="851" w:type="dxa"/>
            <w:noWrap/>
            <w:vAlign w:val="bottom"/>
            <w:hideMark/>
          </w:tcPr>
          <w:p w14:paraId="3513905E"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2 043,75 </w:t>
            </w:r>
          </w:p>
        </w:tc>
        <w:tc>
          <w:tcPr>
            <w:tcW w:w="982" w:type="dxa"/>
            <w:noWrap/>
            <w:vAlign w:val="bottom"/>
            <w:hideMark/>
          </w:tcPr>
          <w:p w14:paraId="4A964036"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7923</w:t>
            </w:r>
          </w:p>
        </w:tc>
        <w:tc>
          <w:tcPr>
            <w:tcW w:w="962" w:type="dxa"/>
            <w:noWrap/>
            <w:vAlign w:val="bottom"/>
            <w:hideMark/>
          </w:tcPr>
          <w:p w14:paraId="012A3E33"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218%</w:t>
            </w:r>
          </w:p>
        </w:tc>
      </w:tr>
      <w:tr w:rsidR="008B4A53" w:rsidRPr="001C7E6A" w14:paraId="34EA14A0" w14:textId="77777777" w:rsidTr="00CE371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41" w:type="dxa"/>
            <w:noWrap/>
            <w:hideMark/>
          </w:tcPr>
          <w:p w14:paraId="50861426"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42BFE8D2"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w wieku 25 lat i więcej objętych wsparciem w programie</w:t>
            </w:r>
          </w:p>
        </w:tc>
        <w:tc>
          <w:tcPr>
            <w:tcW w:w="850" w:type="dxa"/>
            <w:noWrap/>
            <w:hideMark/>
          </w:tcPr>
          <w:p w14:paraId="57539329"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26435</w:t>
            </w:r>
          </w:p>
        </w:tc>
        <w:tc>
          <w:tcPr>
            <w:tcW w:w="709" w:type="dxa"/>
            <w:noWrap/>
            <w:hideMark/>
          </w:tcPr>
          <w:p w14:paraId="3C4161B0"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14506</w:t>
            </w:r>
          </w:p>
        </w:tc>
        <w:tc>
          <w:tcPr>
            <w:tcW w:w="709" w:type="dxa"/>
            <w:noWrap/>
            <w:hideMark/>
          </w:tcPr>
          <w:p w14:paraId="334D75F4"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182%</w:t>
            </w:r>
          </w:p>
        </w:tc>
        <w:tc>
          <w:tcPr>
            <w:tcW w:w="850" w:type="dxa"/>
            <w:noWrap/>
            <w:hideMark/>
          </w:tcPr>
          <w:p w14:paraId="3DB2E363"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2CA2D53"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1399341"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24 231,58 zł </w:t>
            </w:r>
          </w:p>
        </w:tc>
        <w:tc>
          <w:tcPr>
            <w:tcW w:w="850" w:type="dxa"/>
            <w:vMerge/>
            <w:hideMark/>
          </w:tcPr>
          <w:p w14:paraId="48D3171A"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52A2F43"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1E640FFC"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7FC5E693"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€5 635,25 </w:t>
            </w:r>
          </w:p>
        </w:tc>
        <w:tc>
          <w:tcPr>
            <w:tcW w:w="851" w:type="dxa"/>
            <w:noWrap/>
            <w:vAlign w:val="bottom"/>
            <w:hideMark/>
          </w:tcPr>
          <w:p w14:paraId="662B7FCC"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9 189,76 </w:t>
            </w:r>
          </w:p>
        </w:tc>
        <w:tc>
          <w:tcPr>
            <w:tcW w:w="982" w:type="dxa"/>
            <w:noWrap/>
            <w:vAlign w:val="bottom"/>
            <w:hideMark/>
          </w:tcPr>
          <w:p w14:paraId="2DD2B29E"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35625</w:t>
            </w:r>
          </w:p>
        </w:tc>
        <w:tc>
          <w:tcPr>
            <w:tcW w:w="962" w:type="dxa"/>
            <w:noWrap/>
            <w:vAlign w:val="bottom"/>
            <w:hideMark/>
          </w:tcPr>
          <w:p w14:paraId="071B1465"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246%</w:t>
            </w:r>
          </w:p>
        </w:tc>
      </w:tr>
      <w:tr w:rsidR="00915AF8" w:rsidRPr="001C7E6A" w14:paraId="243247F8" w14:textId="77777777" w:rsidTr="00CE3714">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1325FEDE"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33AF3BBA"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o niskich kwalifikacjach, które uzyskały lub nabyły kompetencje po opuszczeniu programu</w:t>
            </w:r>
          </w:p>
        </w:tc>
        <w:tc>
          <w:tcPr>
            <w:tcW w:w="850" w:type="dxa"/>
            <w:noWrap/>
            <w:hideMark/>
          </w:tcPr>
          <w:p w14:paraId="6493276F"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11750</w:t>
            </w:r>
          </w:p>
        </w:tc>
        <w:tc>
          <w:tcPr>
            <w:tcW w:w="709" w:type="dxa"/>
            <w:noWrap/>
            <w:hideMark/>
          </w:tcPr>
          <w:p w14:paraId="7C5CB77F"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9247</w:t>
            </w:r>
          </w:p>
        </w:tc>
        <w:tc>
          <w:tcPr>
            <w:tcW w:w="709" w:type="dxa"/>
            <w:noWrap/>
            <w:hideMark/>
          </w:tcPr>
          <w:p w14:paraId="0BF86BBD"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127%</w:t>
            </w:r>
          </w:p>
        </w:tc>
        <w:tc>
          <w:tcPr>
            <w:tcW w:w="850" w:type="dxa"/>
            <w:noWrap/>
            <w:hideMark/>
          </w:tcPr>
          <w:p w14:paraId="5449FB04"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352F9BA0"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E72146D"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54 515,89 zł </w:t>
            </w:r>
          </w:p>
        </w:tc>
        <w:tc>
          <w:tcPr>
            <w:tcW w:w="850" w:type="dxa"/>
            <w:vMerge/>
            <w:hideMark/>
          </w:tcPr>
          <w:p w14:paraId="7986887D"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92F1D05"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5F791B29"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4413E5A3"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€ 12 678,11 </w:t>
            </w:r>
          </w:p>
        </w:tc>
        <w:tc>
          <w:tcPr>
            <w:tcW w:w="851" w:type="dxa"/>
            <w:noWrap/>
            <w:vAlign w:val="bottom"/>
            <w:hideMark/>
          </w:tcPr>
          <w:p w14:paraId="4A5D6DB7"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4 084,72 </w:t>
            </w:r>
          </w:p>
        </w:tc>
        <w:tc>
          <w:tcPr>
            <w:tcW w:w="982" w:type="dxa"/>
            <w:noWrap/>
            <w:vAlign w:val="bottom"/>
            <w:hideMark/>
          </w:tcPr>
          <w:p w14:paraId="7D46D49A"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15835</w:t>
            </w:r>
          </w:p>
        </w:tc>
        <w:tc>
          <w:tcPr>
            <w:tcW w:w="962" w:type="dxa"/>
            <w:noWrap/>
            <w:vAlign w:val="bottom"/>
            <w:hideMark/>
          </w:tcPr>
          <w:p w14:paraId="215710F5"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171%</w:t>
            </w:r>
          </w:p>
        </w:tc>
      </w:tr>
      <w:tr w:rsidR="008B4A53" w:rsidRPr="001C7E6A" w14:paraId="60D8CF8B" w14:textId="77777777" w:rsidTr="00CE371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37FFBB14"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68B8BAC4"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w wieku 50 lat i więcej, które uzyskały kwalifikacje lub nabyły kompetencje po opuszczeniu programu</w:t>
            </w:r>
          </w:p>
        </w:tc>
        <w:tc>
          <w:tcPr>
            <w:tcW w:w="850" w:type="dxa"/>
            <w:noWrap/>
            <w:hideMark/>
          </w:tcPr>
          <w:p w14:paraId="11E1DC81"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4266</w:t>
            </w:r>
          </w:p>
        </w:tc>
        <w:tc>
          <w:tcPr>
            <w:tcW w:w="709" w:type="dxa"/>
            <w:noWrap/>
            <w:hideMark/>
          </w:tcPr>
          <w:p w14:paraId="20D4F88A"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2176</w:t>
            </w:r>
          </w:p>
        </w:tc>
        <w:tc>
          <w:tcPr>
            <w:tcW w:w="709" w:type="dxa"/>
            <w:noWrap/>
            <w:hideMark/>
          </w:tcPr>
          <w:p w14:paraId="254F7809"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196%</w:t>
            </w:r>
          </w:p>
        </w:tc>
        <w:tc>
          <w:tcPr>
            <w:tcW w:w="850" w:type="dxa"/>
            <w:noWrap/>
            <w:hideMark/>
          </w:tcPr>
          <w:p w14:paraId="74BCCA0F"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09A084A8"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E0DE763"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150 155,12 zł </w:t>
            </w:r>
          </w:p>
        </w:tc>
        <w:tc>
          <w:tcPr>
            <w:tcW w:w="850" w:type="dxa"/>
            <w:vMerge/>
            <w:hideMark/>
          </w:tcPr>
          <w:p w14:paraId="2672B04F"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8E29D8B"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8C2A4FA"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E3FEF99"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€ 34 919,80 </w:t>
            </w:r>
          </w:p>
        </w:tc>
        <w:tc>
          <w:tcPr>
            <w:tcW w:w="851" w:type="dxa"/>
            <w:noWrap/>
            <w:vAlign w:val="bottom"/>
            <w:hideMark/>
          </w:tcPr>
          <w:p w14:paraId="25D7A630"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1 483,02 </w:t>
            </w:r>
          </w:p>
        </w:tc>
        <w:tc>
          <w:tcPr>
            <w:tcW w:w="982" w:type="dxa"/>
            <w:noWrap/>
            <w:vAlign w:val="bottom"/>
            <w:hideMark/>
          </w:tcPr>
          <w:p w14:paraId="5D0F3E9A"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5749</w:t>
            </w:r>
          </w:p>
        </w:tc>
        <w:tc>
          <w:tcPr>
            <w:tcW w:w="962" w:type="dxa"/>
            <w:noWrap/>
            <w:vAlign w:val="bottom"/>
            <w:hideMark/>
          </w:tcPr>
          <w:p w14:paraId="2CE17882"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264%</w:t>
            </w:r>
          </w:p>
        </w:tc>
      </w:tr>
      <w:tr w:rsidR="00915AF8" w:rsidRPr="001C7E6A" w14:paraId="5101A514" w14:textId="77777777" w:rsidTr="00CE3714">
        <w:trPr>
          <w:trHeight w:val="360"/>
        </w:trPr>
        <w:tc>
          <w:tcPr>
            <w:cnfStyle w:val="001000000000" w:firstRow="0" w:lastRow="0" w:firstColumn="1" w:lastColumn="0" w:oddVBand="0" w:evenVBand="0" w:oddHBand="0" w:evenHBand="0" w:firstRowFirstColumn="0" w:firstRowLastColumn="0" w:lastRowFirstColumn="0" w:lastRowLastColumn="0"/>
            <w:tcW w:w="941" w:type="dxa"/>
            <w:noWrap/>
            <w:hideMark/>
          </w:tcPr>
          <w:p w14:paraId="789EE9CD"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037C434E"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Liczba osób w wieku 25 lat i więcej, które uzyskały kwalifikacje lub nabyły kompetencje po opuszczeniu </w:t>
            </w:r>
          </w:p>
        </w:tc>
        <w:tc>
          <w:tcPr>
            <w:tcW w:w="850" w:type="dxa"/>
            <w:noWrap/>
            <w:hideMark/>
          </w:tcPr>
          <w:p w14:paraId="512EB51E"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19154</w:t>
            </w:r>
          </w:p>
        </w:tc>
        <w:tc>
          <w:tcPr>
            <w:tcW w:w="709" w:type="dxa"/>
            <w:noWrap/>
            <w:hideMark/>
          </w:tcPr>
          <w:p w14:paraId="07E71911"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8704</w:t>
            </w:r>
          </w:p>
        </w:tc>
        <w:tc>
          <w:tcPr>
            <w:tcW w:w="709" w:type="dxa"/>
            <w:noWrap/>
            <w:hideMark/>
          </w:tcPr>
          <w:p w14:paraId="47B95A7F"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220%</w:t>
            </w:r>
          </w:p>
        </w:tc>
        <w:tc>
          <w:tcPr>
            <w:tcW w:w="850" w:type="dxa"/>
            <w:noWrap/>
            <w:hideMark/>
          </w:tcPr>
          <w:p w14:paraId="2CD19241"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7EE49277"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21D3CAAE"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33 442,71 zł </w:t>
            </w:r>
          </w:p>
        </w:tc>
        <w:tc>
          <w:tcPr>
            <w:tcW w:w="850" w:type="dxa"/>
            <w:vMerge/>
            <w:hideMark/>
          </w:tcPr>
          <w:p w14:paraId="55133AF8"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DCA1A0D"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2D565C62"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522F883"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€7 777,38 </w:t>
            </w:r>
          </w:p>
        </w:tc>
        <w:tc>
          <w:tcPr>
            <w:tcW w:w="851" w:type="dxa"/>
            <w:noWrap/>
            <w:vAlign w:val="bottom"/>
            <w:hideMark/>
          </w:tcPr>
          <w:p w14:paraId="09A49C6D"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6 658,62 </w:t>
            </w:r>
          </w:p>
        </w:tc>
        <w:tc>
          <w:tcPr>
            <w:tcW w:w="982" w:type="dxa"/>
            <w:noWrap/>
            <w:vAlign w:val="bottom"/>
            <w:hideMark/>
          </w:tcPr>
          <w:p w14:paraId="0B11A51E"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25813</w:t>
            </w:r>
          </w:p>
        </w:tc>
        <w:tc>
          <w:tcPr>
            <w:tcW w:w="962" w:type="dxa"/>
            <w:noWrap/>
            <w:vAlign w:val="bottom"/>
            <w:hideMark/>
          </w:tcPr>
          <w:p w14:paraId="3EF8271F"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297%</w:t>
            </w:r>
          </w:p>
        </w:tc>
      </w:tr>
      <w:tr w:rsidR="008B4A53" w:rsidRPr="001C7E6A" w14:paraId="2EA41578" w14:textId="77777777" w:rsidTr="00CE371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4726E1C8"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39B0969D"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szkół i placówek kształcenia zawodowego uczestniczących w stażach i praktykach u pracodawcy</w:t>
            </w:r>
          </w:p>
        </w:tc>
        <w:tc>
          <w:tcPr>
            <w:tcW w:w="850" w:type="dxa"/>
            <w:noWrap/>
            <w:hideMark/>
          </w:tcPr>
          <w:p w14:paraId="468EE086"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13401</w:t>
            </w:r>
          </w:p>
        </w:tc>
        <w:tc>
          <w:tcPr>
            <w:tcW w:w="709" w:type="dxa"/>
            <w:noWrap/>
            <w:hideMark/>
          </w:tcPr>
          <w:p w14:paraId="72484633"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6066</w:t>
            </w:r>
          </w:p>
        </w:tc>
        <w:tc>
          <w:tcPr>
            <w:tcW w:w="709" w:type="dxa"/>
            <w:noWrap/>
            <w:hideMark/>
          </w:tcPr>
          <w:p w14:paraId="59BA0458" w14:textId="77777777" w:rsidR="00915AF8" w:rsidRPr="00A13922" w:rsidRDefault="00915AF8" w:rsidP="003E5E3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221%</w:t>
            </w:r>
          </w:p>
        </w:tc>
        <w:tc>
          <w:tcPr>
            <w:tcW w:w="850" w:type="dxa"/>
            <w:noWrap/>
            <w:hideMark/>
          </w:tcPr>
          <w:p w14:paraId="50457A83"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479C590"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E9CF437"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47 799,55 zł </w:t>
            </w:r>
          </w:p>
        </w:tc>
        <w:tc>
          <w:tcPr>
            <w:tcW w:w="850" w:type="dxa"/>
            <w:vMerge/>
            <w:hideMark/>
          </w:tcPr>
          <w:p w14:paraId="06519FBA"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4694976"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5633F1C2"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21CE7AAB"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€ 11 116,17 </w:t>
            </w:r>
          </w:p>
        </w:tc>
        <w:tc>
          <w:tcPr>
            <w:tcW w:w="851" w:type="dxa"/>
            <w:noWrap/>
            <w:vAlign w:val="bottom"/>
            <w:hideMark/>
          </w:tcPr>
          <w:p w14:paraId="0944A7C6"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4 658,67 </w:t>
            </w:r>
          </w:p>
        </w:tc>
        <w:tc>
          <w:tcPr>
            <w:tcW w:w="982" w:type="dxa"/>
            <w:noWrap/>
            <w:vAlign w:val="bottom"/>
            <w:hideMark/>
          </w:tcPr>
          <w:p w14:paraId="29E50C81"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18060</w:t>
            </w:r>
          </w:p>
        </w:tc>
        <w:tc>
          <w:tcPr>
            <w:tcW w:w="962" w:type="dxa"/>
            <w:noWrap/>
            <w:vAlign w:val="bottom"/>
            <w:hideMark/>
          </w:tcPr>
          <w:p w14:paraId="531D85D5"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298%</w:t>
            </w:r>
          </w:p>
        </w:tc>
      </w:tr>
      <w:tr w:rsidR="00915AF8" w:rsidRPr="001C7E6A" w14:paraId="16409FD3" w14:textId="77777777" w:rsidTr="00CE3714">
        <w:trPr>
          <w:trHeight w:val="114"/>
        </w:trPr>
        <w:tc>
          <w:tcPr>
            <w:cnfStyle w:val="001000000000" w:firstRow="0" w:lastRow="0" w:firstColumn="1" w:lastColumn="0" w:oddVBand="0" w:evenVBand="0" w:oddHBand="0" w:evenHBand="0" w:firstRowFirstColumn="0" w:firstRowLastColumn="0" w:lastRowFirstColumn="0" w:lastRowLastColumn="0"/>
            <w:tcW w:w="941" w:type="dxa"/>
            <w:noWrap/>
            <w:hideMark/>
          </w:tcPr>
          <w:p w14:paraId="67D8754F"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11.3</w:t>
            </w:r>
          </w:p>
        </w:tc>
        <w:tc>
          <w:tcPr>
            <w:tcW w:w="3880" w:type="dxa"/>
            <w:hideMark/>
          </w:tcPr>
          <w:p w14:paraId="761933EF"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uczestniczących w pozaszkolnych formach kształcenia w programie</w:t>
            </w:r>
          </w:p>
        </w:tc>
        <w:tc>
          <w:tcPr>
            <w:tcW w:w="850" w:type="dxa"/>
            <w:noWrap/>
            <w:hideMark/>
          </w:tcPr>
          <w:p w14:paraId="3FEA48AB"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37597</w:t>
            </w:r>
          </w:p>
        </w:tc>
        <w:tc>
          <w:tcPr>
            <w:tcW w:w="709" w:type="dxa"/>
            <w:noWrap/>
            <w:hideMark/>
          </w:tcPr>
          <w:p w14:paraId="19F290E1"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4729</w:t>
            </w:r>
          </w:p>
        </w:tc>
        <w:tc>
          <w:tcPr>
            <w:tcW w:w="709" w:type="dxa"/>
            <w:noWrap/>
            <w:hideMark/>
          </w:tcPr>
          <w:p w14:paraId="09ACC987" w14:textId="77777777" w:rsidR="00915AF8" w:rsidRPr="00A13922" w:rsidRDefault="00915AF8" w:rsidP="003E5E3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795%</w:t>
            </w:r>
          </w:p>
        </w:tc>
        <w:tc>
          <w:tcPr>
            <w:tcW w:w="850" w:type="dxa"/>
            <w:noWrap/>
            <w:hideMark/>
          </w:tcPr>
          <w:p w14:paraId="44BC05F3"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7C3D272C"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5114B267"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17 037,58 zł </w:t>
            </w:r>
          </w:p>
        </w:tc>
        <w:tc>
          <w:tcPr>
            <w:tcW w:w="850" w:type="dxa"/>
            <w:vMerge/>
            <w:hideMark/>
          </w:tcPr>
          <w:p w14:paraId="220CF728"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67275EC"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5022C802"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15FD66E"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€3 962,23 </w:t>
            </w:r>
          </w:p>
        </w:tc>
        <w:tc>
          <w:tcPr>
            <w:tcW w:w="851" w:type="dxa"/>
            <w:noWrap/>
            <w:vAlign w:val="bottom"/>
            <w:hideMark/>
          </w:tcPr>
          <w:p w14:paraId="34B234C5"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13 070,07 </w:t>
            </w:r>
          </w:p>
        </w:tc>
        <w:tc>
          <w:tcPr>
            <w:tcW w:w="982" w:type="dxa"/>
            <w:noWrap/>
            <w:vAlign w:val="bottom"/>
            <w:hideMark/>
          </w:tcPr>
          <w:p w14:paraId="339F383E"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50667</w:t>
            </w:r>
          </w:p>
        </w:tc>
        <w:tc>
          <w:tcPr>
            <w:tcW w:w="962" w:type="dxa"/>
            <w:noWrap/>
            <w:vAlign w:val="bottom"/>
            <w:hideMark/>
          </w:tcPr>
          <w:p w14:paraId="7E3D71B8"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1071%</w:t>
            </w:r>
          </w:p>
        </w:tc>
      </w:tr>
      <w:tr w:rsidR="008B4A53" w:rsidRPr="001C7E6A" w14:paraId="4F62789E" w14:textId="77777777" w:rsidTr="00CE3714">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941" w:type="dxa"/>
            <w:noWrap/>
            <w:hideMark/>
          </w:tcPr>
          <w:p w14:paraId="48401E6B"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11.3</w:t>
            </w:r>
          </w:p>
        </w:tc>
        <w:tc>
          <w:tcPr>
            <w:tcW w:w="3880" w:type="dxa"/>
            <w:hideMark/>
          </w:tcPr>
          <w:p w14:paraId="5EDBD49F"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podmiotów realizujących zadania centrum kształcenia zawodowego i ustawicznego objętych wsparciem w programie</w:t>
            </w:r>
          </w:p>
        </w:tc>
        <w:tc>
          <w:tcPr>
            <w:tcW w:w="850" w:type="dxa"/>
            <w:noWrap/>
            <w:hideMark/>
          </w:tcPr>
          <w:p w14:paraId="3278CB3A"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w:t>
            </w:r>
          </w:p>
        </w:tc>
        <w:tc>
          <w:tcPr>
            <w:tcW w:w="709" w:type="dxa"/>
            <w:noWrap/>
            <w:hideMark/>
          </w:tcPr>
          <w:p w14:paraId="5F194663"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2</w:t>
            </w:r>
          </w:p>
        </w:tc>
        <w:tc>
          <w:tcPr>
            <w:tcW w:w="709" w:type="dxa"/>
            <w:noWrap/>
            <w:hideMark/>
          </w:tcPr>
          <w:p w14:paraId="67AE2765"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100</w:t>
            </w:r>
            <w:r w:rsidRPr="00A13922">
              <w:rPr>
                <w:rFonts w:ascii="Calibri" w:eastAsia="Times New Roman" w:hAnsi="Calibri" w:cs="Calibri"/>
                <w:color w:val="000000"/>
                <w:sz w:val="12"/>
                <w:szCs w:val="12"/>
                <w:lang w:eastAsia="pl-PL"/>
              </w:rPr>
              <w:t>%</w:t>
            </w:r>
          </w:p>
        </w:tc>
        <w:tc>
          <w:tcPr>
            <w:tcW w:w="850" w:type="dxa"/>
            <w:noWrap/>
            <w:hideMark/>
          </w:tcPr>
          <w:p w14:paraId="1F2A28F5"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Wskaźnik osiągnięty</w:t>
            </w:r>
          </w:p>
        </w:tc>
        <w:tc>
          <w:tcPr>
            <w:tcW w:w="992" w:type="dxa"/>
            <w:vMerge/>
            <w:hideMark/>
          </w:tcPr>
          <w:p w14:paraId="2F71FB9F"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42CEDA94"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320 280 871,50 zł </w:t>
            </w:r>
          </w:p>
        </w:tc>
        <w:tc>
          <w:tcPr>
            <w:tcW w:w="850" w:type="dxa"/>
            <w:vMerge/>
            <w:hideMark/>
          </w:tcPr>
          <w:p w14:paraId="14A4351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A9648B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72716521"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0341A78A"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€ 74 483 923,60 </w:t>
            </w:r>
          </w:p>
        </w:tc>
        <w:tc>
          <w:tcPr>
            <w:tcW w:w="851" w:type="dxa"/>
            <w:noWrap/>
            <w:vAlign w:val="bottom"/>
            <w:hideMark/>
          </w:tcPr>
          <w:p w14:paraId="08C5190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0,70 </w:t>
            </w:r>
          </w:p>
        </w:tc>
        <w:tc>
          <w:tcPr>
            <w:tcW w:w="982" w:type="dxa"/>
            <w:noWrap/>
            <w:vAlign w:val="bottom"/>
            <w:hideMark/>
          </w:tcPr>
          <w:p w14:paraId="0C5EB8E2"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w:t>
            </w:r>
          </w:p>
        </w:tc>
        <w:tc>
          <w:tcPr>
            <w:tcW w:w="962" w:type="dxa"/>
            <w:noWrap/>
            <w:vAlign w:val="bottom"/>
            <w:hideMark/>
          </w:tcPr>
          <w:p w14:paraId="28E76034"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100%</w:t>
            </w:r>
          </w:p>
        </w:tc>
      </w:tr>
      <w:tr w:rsidR="00915AF8" w:rsidRPr="001C7E6A" w14:paraId="328E0D62" w14:textId="77777777" w:rsidTr="00CE3714">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0FBA3485"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11.3</w:t>
            </w:r>
          </w:p>
        </w:tc>
        <w:tc>
          <w:tcPr>
            <w:tcW w:w="3880" w:type="dxa"/>
            <w:hideMark/>
          </w:tcPr>
          <w:p w14:paraId="757D941A"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uczestniczących w szkolnych formach kształcenia w programie</w:t>
            </w:r>
          </w:p>
        </w:tc>
        <w:tc>
          <w:tcPr>
            <w:tcW w:w="850" w:type="dxa"/>
            <w:noWrap/>
            <w:hideMark/>
          </w:tcPr>
          <w:p w14:paraId="6DA795B7"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250</w:t>
            </w:r>
          </w:p>
        </w:tc>
        <w:tc>
          <w:tcPr>
            <w:tcW w:w="709" w:type="dxa"/>
            <w:noWrap/>
            <w:hideMark/>
          </w:tcPr>
          <w:p w14:paraId="51277974"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1804</w:t>
            </w:r>
          </w:p>
        </w:tc>
        <w:tc>
          <w:tcPr>
            <w:tcW w:w="709" w:type="dxa"/>
            <w:noWrap/>
            <w:hideMark/>
          </w:tcPr>
          <w:p w14:paraId="726B273C"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w:t>
            </w:r>
          </w:p>
        </w:tc>
        <w:tc>
          <w:tcPr>
            <w:tcW w:w="850" w:type="dxa"/>
            <w:noWrap/>
            <w:hideMark/>
          </w:tcPr>
          <w:p w14:paraId="13CD2FAC"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1554</w:t>
            </w:r>
          </w:p>
        </w:tc>
        <w:tc>
          <w:tcPr>
            <w:tcW w:w="992" w:type="dxa"/>
            <w:vMerge/>
            <w:hideMark/>
          </w:tcPr>
          <w:p w14:paraId="41AA8B29"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46A98E25"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2 562 246,97 zł </w:t>
            </w:r>
          </w:p>
        </w:tc>
        <w:tc>
          <w:tcPr>
            <w:tcW w:w="850" w:type="dxa"/>
            <w:vMerge/>
            <w:hideMark/>
          </w:tcPr>
          <w:p w14:paraId="71BEEAA5"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43CA78A"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5F42CAD"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362D6FE"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€ 595 871,39 </w:t>
            </w:r>
          </w:p>
        </w:tc>
        <w:tc>
          <w:tcPr>
            <w:tcW w:w="851" w:type="dxa"/>
            <w:noWrap/>
            <w:vAlign w:val="bottom"/>
            <w:hideMark/>
          </w:tcPr>
          <w:p w14:paraId="61DEA88F"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€86,91 </w:t>
            </w:r>
          </w:p>
        </w:tc>
        <w:tc>
          <w:tcPr>
            <w:tcW w:w="982" w:type="dxa"/>
            <w:noWrap/>
            <w:vAlign w:val="bottom"/>
            <w:hideMark/>
          </w:tcPr>
          <w:p w14:paraId="35F5716F"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337</w:t>
            </w:r>
          </w:p>
        </w:tc>
        <w:tc>
          <w:tcPr>
            <w:tcW w:w="962" w:type="dxa"/>
            <w:noWrap/>
            <w:vAlign w:val="bottom"/>
            <w:hideMark/>
          </w:tcPr>
          <w:p w14:paraId="240D6FFD"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19%</w:t>
            </w:r>
          </w:p>
        </w:tc>
      </w:tr>
      <w:tr w:rsidR="008B4A53" w:rsidRPr="001C7E6A" w14:paraId="23DC6388" w14:textId="77777777" w:rsidTr="00CE3714">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941" w:type="dxa"/>
            <w:noWrap/>
            <w:hideMark/>
          </w:tcPr>
          <w:p w14:paraId="0EA44597"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4F0E754A"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nauczycieli kształcenia zawodowego oraz instruktorów praktycznej nauki zawodu objętych wsparciem w programie</w:t>
            </w:r>
          </w:p>
        </w:tc>
        <w:tc>
          <w:tcPr>
            <w:tcW w:w="850" w:type="dxa"/>
            <w:noWrap/>
            <w:hideMark/>
          </w:tcPr>
          <w:p w14:paraId="78B68400"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1766</w:t>
            </w:r>
          </w:p>
        </w:tc>
        <w:tc>
          <w:tcPr>
            <w:tcW w:w="709" w:type="dxa"/>
            <w:noWrap/>
            <w:hideMark/>
          </w:tcPr>
          <w:p w14:paraId="0CF2F854"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269</w:t>
            </w:r>
          </w:p>
        </w:tc>
        <w:tc>
          <w:tcPr>
            <w:tcW w:w="709" w:type="dxa"/>
            <w:noWrap/>
            <w:hideMark/>
          </w:tcPr>
          <w:p w14:paraId="602D5999"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657%</w:t>
            </w:r>
          </w:p>
        </w:tc>
        <w:tc>
          <w:tcPr>
            <w:tcW w:w="850" w:type="dxa"/>
            <w:noWrap/>
            <w:hideMark/>
          </w:tcPr>
          <w:p w14:paraId="46D32D6E"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2E82AF8D"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6957ED9"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362 718,99 zł </w:t>
            </w:r>
          </w:p>
        </w:tc>
        <w:tc>
          <w:tcPr>
            <w:tcW w:w="850" w:type="dxa"/>
            <w:vMerge/>
            <w:hideMark/>
          </w:tcPr>
          <w:p w14:paraId="103047BE"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273CEFA2"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7C1E8C0"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150AF1DB"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€ 84 353,25 </w:t>
            </w:r>
          </w:p>
        </w:tc>
        <w:tc>
          <w:tcPr>
            <w:tcW w:w="851" w:type="dxa"/>
            <w:noWrap/>
            <w:vAlign w:val="bottom"/>
            <w:hideMark/>
          </w:tcPr>
          <w:p w14:paraId="5FED2BCF"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€ 613,93 </w:t>
            </w:r>
          </w:p>
        </w:tc>
        <w:tc>
          <w:tcPr>
            <w:tcW w:w="982" w:type="dxa"/>
            <w:noWrap/>
            <w:vAlign w:val="bottom"/>
            <w:hideMark/>
          </w:tcPr>
          <w:p w14:paraId="28B68874"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2380</w:t>
            </w:r>
          </w:p>
        </w:tc>
        <w:tc>
          <w:tcPr>
            <w:tcW w:w="962" w:type="dxa"/>
            <w:noWrap/>
            <w:vAlign w:val="bottom"/>
            <w:hideMark/>
          </w:tcPr>
          <w:p w14:paraId="7D9DA553"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885%</w:t>
            </w:r>
          </w:p>
        </w:tc>
      </w:tr>
      <w:tr w:rsidR="00915AF8" w:rsidRPr="001C7E6A" w14:paraId="5991C499" w14:textId="77777777" w:rsidTr="00CE3714">
        <w:trPr>
          <w:trHeight w:val="209"/>
        </w:trPr>
        <w:tc>
          <w:tcPr>
            <w:cnfStyle w:val="001000000000" w:firstRow="0" w:lastRow="0" w:firstColumn="1" w:lastColumn="0" w:oddVBand="0" w:evenVBand="0" w:oddHBand="0" w:evenHBand="0" w:firstRowFirstColumn="0" w:firstRowLastColumn="0" w:lastRowFirstColumn="0" w:lastRowLastColumn="0"/>
            <w:tcW w:w="941" w:type="dxa"/>
            <w:noWrap/>
            <w:hideMark/>
          </w:tcPr>
          <w:p w14:paraId="58E30DFB"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199C2B28"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i placówek kształcenia zawodowego doposażonych w programie w sprzęt i materiały dydaktyczne niezbędne do realizacji kształcenia zawodowego</w:t>
            </w:r>
          </w:p>
        </w:tc>
        <w:tc>
          <w:tcPr>
            <w:tcW w:w="850" w:type="dxa"/>
            <w:noWrap/>
            <w:hideMark/>
          </w:tcPr>
          <w:p w14:paraId="17305043"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296</w:t>
            </w:r>
          </w:p>
        </w:tc>
        <w:tc>
          <w:tcPr>
            <w:tcW w:w="709" w:type="dxa"/>
            <w:noWrap/>
            <w:hideMark/>
          </w:tcPr>
          <w:p w14:paraId="3383CCB1"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67</w:t>
            </w:r>
          </w:p>
        </w:tc>
        <w:tc>
          <w:tcPr>
            <w:tcW w:w="709" w:type="dxa"/>
            <w:noWrap/>
            <w:hideMark/>
          </w:tcPr>
          <w:p w14:paraId="62507E89"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442%</w:t>
            </w:r>
          </w:p>
        </w:tc>
        <w:tc>
          <w:tcPr>
            <w:tcW w:w="850" w:type="dxa"/>
            <w:noWrap/>
            <w:hideMark/>
          </w:tcPr>
          <w:p w14:paraId="45133E9D"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0E55D5A5"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DF1CECC"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2 164 059,94 zł </w:t>
            </w:r>
          </w:p>
        </w:tc>
        <w:tc>
          <w:tcPr>
            <w:tcW w:w="850" w:type="dxa"/>
            <w:vMerge/>
            <w:hideMark/>
          </w:tcPr>
          <w:p w14:paraId="10970FE6"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E49AF58"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3BD86CB4"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78CF15E5"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€ 503 269,75 </w:t>
            </w:r>
          </w:p>
        </w:tc>
        <w:tc>
          <w:tcPr>
            <w:tcW w:w="851" w:type="dxa"/>
            <w:noWrap/>
            <w:vAlign w:val="bottom"/>
            <w:hideMark/>
          </w:tcPr>
          <w:p w14:paraId="3B87F099"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€ 102,90 </w:t>
            </w:r>
          </w:p>
        </w:tc>
        <w:tc>
          <w:tcPr>
            <w:tcW w:w="982" w:type="dxa"/>
            <w:noWrap/>
            <w:vAlign w:val="bottom"/>
            <w:hideMark/>
          </w:tcPr>
          <w:p w14:paraId="6925E18A"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399</w:t>
            </w:r>
          </w:p>
        </w:tc>
        <w:tc>
          <w:tcPr>
            <w:tcW w:w="962" w:type="dxa"/>
            <w:noWrap/>
            <w:vAlign w:val="bottom"/>
            <w:hideMark/>
          </w:tcPr>
          <w:p w14:paraId="6D4A61AB"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595%</w:t>
            </w:r>
          </w:p>
        </w:tc>
      </w:tr>
      <w:tr w:rsidR="008B4A53" w:rsidRPr="001C7E6A" w14:paraId="175CA4C6" w14:textId="77777777" w:rsidTr="00CE371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41" w:type="dxa"/>
            <w:noWrap/>
            <w:hideMark/>
          </w:tcPr>
          <w:p w14:paraId="482FF594"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72ECF9FE"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objętych wsparciem w zakresie rozwijania kompetencji kluczowych lub umiejętności uniwersalnych niezbędnych na rynku pracy w programie</w:t>
            </w:r>
          </w:p>
        </w:tc>
        <w:tc>
          <w:tcPr>
            <w:tcW w:w="850" w:type="dxa"/>
            <w:noWrap/>
            <w:hideMark/>
          </w:tcPr>
          <w:p w14:paraId="083F6D34"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455</w:t>
            </w:r>
          </w:p>
        </w:tc>
        <w:tc>
          <w:tcPr>
            <w:tcW w:w="709" w:type="dxa"/>
            <w:noWrap/>
            <w:hideMark/>
          </w:tcPr>
          <w:p w14:paraId="044D14F9"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1897</w:t>
            </w:r>
          </w:p>
        </w:tc>
        <w:tc>
          <w:tcPr>
            <w:tcW w:w="709" w:type="dxa"/>
            <w:noWrap/>
            <w:hideMark/>
          </w:tcPr>
          <w:p w14:paraId="1C2A46F6"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24%</w:t>
            </w:r>
          </w:p>
        </w:tc>
        <w:tc>
          <w:tcPr>
            <w:tcW w:w="850" w:type="dxa"/>
            <w:noWrap/>
            <w:hideMark/>
          </w:tcPr>
          <w:p w14:paraId="1CF10F2E"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1442</w:t>
            </w:r>
          </w:p>
        </w:tc>
        <w:tc>
          <w:tcPr>
            <w:tcW w:w="992" w:type="dxa"/>
            <w:vMerge/>
            <w:hideMark/>
          </w:tcPr>
          <w:p w14:paraId="66E019F2"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E5048A2"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1 407 828,01 zł </w:t>
            </w:r>
          </w:p>
        </w:tc>
        <w:tc>
          <w:tcPr>
            <w:tcW w:w="850" w:type="dxa"/>
            <w:vMerge/>
            <w:hideMark/>
          </w:tcPr>
          <w:p w14:paraId="28FF4206"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394AB7B"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59837C94"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244F0D03"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€ 327 401,86 </w:t>
            </w:r>
          </w:p>
        </w:tc>
        <w:tc>
          <w:tcPr>
            <w:tcW w:w="851" w:type="dxa"/>
            <w:noWrap/>
            <w:vAlign w:val="bottom"/>
            <w:hideMark/>
          </w:tcPr>
          <w:p w14:paraId="07B2FE5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€ 158,17 </w:t>
            </w:r>
          </w:p>
        </w:tc>
        <w:tc>
          <w:tcPr>
            <w:tcW w:w="982" w:type="dxa"/>
            <w:noWrap/>
            <w:vAlign w:val="bottom"/>
            <w:hideMark/>
          </w:tcPr>
          <w:p w14:paraId="78D4FA31"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613</w:t>
            </w:r>
          </w:p>
        </w:tc>
        <w:tc>
          <w:tcPr>
            <w:tcW w:w="962" w:type="dxa"/>
            <w:noWrap/>
            <w:vAlign w:val="bottom"/>
            <w:hideMark/>
          </w:tcPr>
          <w:p w14:paraId="1D8F23C9"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32%</w:t>
            </w:r>
          </w:p>
        </w:tc>
      </w:tr>
      <w:tr w:rsidR="00915AF8" w:rsidRPr="001C7E6A" w14:paraId="67DF9140" w14:textId="77777777" w:rsidTr="00CE3714">
        <w:trPr>
          <w:trHeight w:val="122"/>
        </w:trPr>
        <w:tc>
          <w:tcPr>
            <w:cnfStyle w:val="001000000000" w:firstRow="0" w:lastRow="0" w:firstColumn="1" w:lastColumn="0" w:oddVBand="0" w:evenVBand="0" w:oddHBand="0" w:evenHBand="0" w:firstRowFirstColumn="0" w:firstRowLastColumn="0" w:lastRowFirstColumn="0" w:lastRowLastColumn="0"/>
            <w:tcW w:w="941" w:type="dxa"/>
            <w:noWrap/>
            <w:hideMark/>
          </w:tcPr>
          <w:p w14:paraId="5829EFBC"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5BDED4CA"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którzy nabyli kompetencje kluczowe lub umiejętności uniwersalne niezbędne na rynku pracy po opuszczeniu programu</w:t>
            </w:r>
          </w:p>
        </w:tc>
        <w:tc>
          <w:tcPr>
            <w:tcW w:w="850" w:type="dxa"/>
            <w:noWrap/>
            <w:hideMark/>
          </w:tcPr>
          <w:p w14:paraId="0E962CE4"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364</w:t>
            </w:r>
          </w:p>
        </w:tc>
        <w:tc>
          <w:tcPr>
            <w:tcW w:w="709" w:type="dxa"/>
            <w:noWrap/>
            <w:hideMark/>
          </w:tcPr>
          <w:p w14:paraId="3244E2B2"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1043</w:t>
            </w:r>
          </w:p>
        </w:tc>
        <w:tc>
          <w:tcPr>
            <w:tcW w:w="709" w:type="dxa"/>
            <w:noWrap/>
            <w:hideMark/>
          </w:tcPr>
          <w:p w14:paraId="17B9A587"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35%</w:t>
            </w:r>
          </w:p>
        </w:tc>
        <w:tc>
          <w:tcPr>
            <w:tcW w:w="850" w:type="dxa"/>
            <w:noWrap/>
            <w:hideMark/>
          </w:tcPr>
          <w:p w14:paraId="480FDDDF"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679</w:t>
            </w:r>
          </w:p>
        </w:tc>
        <w:tc>
          <w:tcPr>
            <w:tcW w:w="992" w:type="dxa"/>
            <w:vMerge/>
            <w:hideMark/>
          </w:tcPr>
          <w:p w14:paraId="23BF85D6"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57E23B5"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1 759 785,01 zł </w:t>
            </w:r>
          </w:p>
        </w:tc>
        <w:tc>
          <w:tcPr>
            <w:tcW w:w="850" w:type="dxa"/>
            <w:vMerge/>
            <w:hideMark/>
          </w:tcPr>
          <w:p w14:paraId="532C9CBC"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185CB29"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34CFCF31"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234C68D6"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€ 409 252,33 </w:t>
            </w:r>
          </w:p>
        </w:tc>
        <w:tc>
          <w:tcPr>
            <w:tcW w:w="851" w:type="dxa"/>
            <w:noWrap/>
            <w:vAlign w:val="bottom"/>
            <w:hideMark/>
          </w:tcPr>
          <w:p w14:paraId="455EB202"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€ 126,54 </w:t>
            </w:r>
          </w:p>
        </w:tc>
        <w:tc>
          <w:tcPr>
            <w:tcW w:w="982" w:type="dxa"/>
            <w:noWrap/>
            <w:vAlign w:val="bottom"/>
            <w:hideMark/>
          </w:tcPr>
          <w:p w14:paraId="5CDFCF84"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491</w:t>
            </w:r>
          </w:p>
        </w:tc>
        <w:tc>
          <w:tcPr>
            <w:tcW w:w="962" w:type="dxa"/>
            <w:noWrap/>
            <w:vAlign w:val="bottom"/>
            <w:hideMark/>
          </w:tcPr>
          <w:p w14:paraId="1128DE29"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47%</w:t>
            </w:r>
          </w:p>
        </w:tc>
      </w:tr>
      <w:tr w:rsidR="008B4A53" w:rsidRPr="001C7E6A" w14:paraId="1165C3B5" w14:textId="77777777" w:rsidTr="00CE371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41" w:type="dxa"/>
            <w:noWrap/>
            <w:hideMark/>
          </w:tcPr>
          <w:p w14:paraId="06D43399"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11.3</w:t>
            </w:r>
          </w:p>
        </w:tc>
        <w:tc>
          <w:tcPr>
            <w:tcW w:w="3880" w:type="dxa"/>
            <w:hideMark/>
          </w:tcPr>
          <w:p w14:paraId="15CC24EA"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które uzyskały kwalifikacje w ramach pozaszkolnych form kształcenia</w:t>
            </w:r>
          </w:p>
        </w:tc>
        <w:tc>
          <w:tcPr>
            <w:tcW w:w="850" w:type="dxa"/>
            <w:noWrap/>
            <w:hideMark/>
          </w:tcPr>
          <w:p w14:paraId="53B0DE8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30091</w:t>
            </w:r>
          </w:p>
        </w:tc>
        <w:tc>
          <w:tcPr>
            <w:tcW w:w="709" w:type="dxa"/>
            <w:noWrap/>
            <w:hideMark/>
          </w:tcPr>
          <w:p w14:paraId="4356B43E"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709</w:t>
            </w:r>
          </w:p>
        </w:tc>
        <w:tc>
          <w:tcPr>
            <w:tcW w:w="709" w:type="dxa"/>
            <w:noWrap/>
            <w:hideMark/>
          </w:tcPr>
          <w:p w14:paraId="704D9360"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4244%</w:t>
            </w:r>
          </w:p>
        </w:tc>
        <w:tc>
          <w:tcPr>
            <w:tcW w:w="850" w:type="dxa"/>
            <w:noWrap/>
            <w:hideMark/>
          </w:tcPr>
          <w:p w14:paraId="6B1BB672"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213314E6"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FB57B2B"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21 287,49 zł </w:t>
            </w:r>
          </w:p>
        </w:tc>
        <w:tc>
          <w:tcPr>
            <w:tcW w:w="850" w:type="dxa"/>
            <w:vMerge/>
            <w:hideMark/>
          </w:tcPr>
          <w:p w14:paraId="304302A1"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5C8A472"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D59679B"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79E87601"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€4 950,58 </w:t>
            </w:r>
          </w:p>
        </w:tc>
        <w:tc>
          <w:tcPr>
            <w:tcW w:w="851" w:type="dxa"/>
            <w:noWrap/>
            <w:vAlign w:val="bottom"/>
            <w:hideMark/>
          </w:tcPr>
          <w:p w14:paraId="6603F641"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€ 10 460,72 </w:t>
            </w:r>
          </w:p>
        </w:tc>
        <w:tc>
          <w:tcPr>
            <w:tcW w:w="982" w:type="dxa"/>
            <w:noWrap/>
            <w:vAlign w:val="bottom"/>
            <w:hideMark/>
          </w:tcPr>
          <w:p w14:paraId="410AF90D"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40552</w:t>
            </w:r>
          </w:p>
        </w:tc>
        <w:tc>
          <w:tcPr>
            <w:tcW w:w="962" w:type="dxa"/>
            <w:noWrap/>
            <w:vAlign w:val="bottom"/>
            <w:hideMark/>
          </w:tcPr>
          <w:p w14:paraId="5D012E9A"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5720%</w:t>
            </w:r>
          </w:p>
        </w:tc>
      </w:tr>
      <w:tr w:rsidR="00915AF8" w:rsidRPr="001C7E6A" w14:paraId="018230E0" w14:textId="77777777" w:rsidTr="00CE3714">
        <w:trPr>
          <w:trHeight w:val="147"/>
        </w:trPr>
        <w:tc>
          <w:tcPr>
            <w:cnfStyle w:val="001000000000" w:firstRow="0" w:lastRow="0" w:firstColumn="1" w:lastColumn="0" w:oddVBand="0" w:evenVBand="0" w:oddHBand="0" w:evenHBand="0" w:firstRowFirstColumn="0" w:firstRowLastColumn="0" w:lastRowFirstColumn="0" w:lastRowLastColumn="0"/>
            <w:tcW w:w="941" w:type="dxa"/>
            <w:noWrap/>
            <w:hideMark/>
          </w:tcPr>
          <w:p w14:paraId="0811B09A"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29B0C01D"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i placówek kształcenia zawodowego wykorzystujących doposażenie zakupione dzięki EFS</w:t>
            </w:r>
          </w:p>
        </w:tc>
        <w:tc>
          <w:tcPr>
            <w:tcW w:w="850" w:type="dxa"/>
            <w:noWrap/>
            <w:hideMark/>
          </w:tcPr>
          <w:p w14:paraId="7CC6ECE7"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299</w:t>
            </w:r>
          </w:p>
        </w:tc>
        <w:tc>
          <w:tcPr>
            <w:tcW w:w="709" w:type="dxa"/>
            <w:noWrap/>
            <w:hideMark/>
          </w:tcPr>
          <w:p w14:paraId="767B47FC"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67</w:t>
            </w:r>
          </w:p>
        </w:tc>
        <w:tc>
          <w:tcPr>
            <w:tcW w:w="709" w:type="dxa"/>
            <w:noWrap/>
            <w:hideMark/>
          </w:tcPr>
          <w:p w14:paraId="7285884D"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446%</w:t>
            </w:r>
          </w:p>
        </w:tc>
        <w:tc>
          <w:tcPr>
            <w:tcW w:w="850" w:type="dxa"/>
            <w:noWrap/>
            <w:hideMark/>
          </w:tcPr>
          <w:p w14:paraId="07CAF89F"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0B0AEFA" w14:textId="77777777" w:rsidR="00915AF8" w:rsidRPr="00A13922"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5355DAC"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2 142 346,97 zł </w:t>
            </w:r>
          </w:p>
        </w:tc>
        <w:tc>
          <w:tcPr>
            <w:tcW w:w="850" w:type="dxa"/>
            <w:vMerge/>
            <w:hideMark/>
          </w:tcPr>
          <w:p w14:paraId="4B5779CF"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5E8CA5F"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7EA885FC"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22290EE8"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€ 498 220,22 </w:t>
            </w:r>
          </w:p>
        </w:tc>
        <w:tc>
          <w:tcPr>
            <w:tcW w:w="851" w:type="dxa"/>
            <w:noWrap/>
            <w:vAlign w:val="bottom"/>
            <w:hideMark/>
          </w:tcPr>
          <w:p w14:paraId="1C2DA596"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€ 103,94 </w:t>
            </w:r>
          </w:p>
        </w:tc>
        <w:tc>
          <w:tcPr>
            <w:tcW w:w="982" w:type="dxa"/>
            <w:noWrap/>
            <w:vAlign w:val="bottom"/>
            <w:hideMark/>
          </w:tcPr>
          <w:p w14:paraId="1E363406"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403</w:t>
            </w:r>
          </w:p>
        </w:tc>
        <w:tc>
          <w:tcPr>
            <w:tcW w:w="962" w:type="dxa"/>
            <w:noWrap/>
            <w:vAlign w:val="bottom"/>
            <w:hideMark/>
          </w:tcPr>
          <w:p w14:paraId="20769D6D" w14:textId="77777777" w:rsidR="00915AF8" w:rsidRPr="00A13922"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601%</w:t>
            </w:r>
          </w:p>
        </w:tc>
      </w:tr>
      <w:tr w:rsidR="008B4A53" w:rsidRPr="001C7E6A" w14:paraId="24C3884D" w14:textId="77777777" w:rsidTr="00CE371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41" w:type="dxa"/>
            <w:noWrap/>
            <w:hideMark/>
          </w:tcPr>
          <w:p w14:paraId="7A999F6B" w14:textId="77777777" w:rsidR="00915AF8" w:rsidRPr="00A13922" w:rsidRDefault="00915AF8" w:rsidP="00DF64C7">
            <w:pPr>
              <w:spacing w:line="240" w:lineRule="auto"/>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7285C5DA"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nauczycieli kształcenia zawodowego oraz instruktorów praktycznej nauki zawodu, którzy uzyskali kwalifikacje lub nabyli kompetencje po opuszczeniu programu</w:t>
            </w:r>
          </w:p>
        </w:tc>
        <w:tc>
          <w:tcPr>
            <w:tcW w:w="850" w:type="dxa"/>
            <w:noWrap/>
            <w:hideMark/>
          </w:tcPr>
          <w:p w14:paraId="11043CDA"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1672</w:t>
            </w:r>
          </w:p>
        </w:tc>
        <w:tc>
          <w:tcPr>
            <w:tcW w:w="709" w:type="dxa"/>
            <w:noWrap/>
            <w:hideMark/>
          </w:tcPr>
          <w:p w14:paraId="6A9F2606"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215</w:t>
            </w:r>
          </w:p>
        </w:tc>
        <w:tc>
          <w:tcPr>
            <w:tcW w:w="709" w:type="dxa"/>
            <w:noWrap/>
            <w:hideMark/>
          </w:tcPr>
          <w:p w14:paraId="7682A22C"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778%</w:t>
            </w:r>
          </w:p>
        </w:tc>
        <w:tc>
          <w:tcPr>
            <w:tcW w:w="850" w:type="dxa"/>
            <w:noWrap/>
            <w:hideMark/>
          </w:tcPr>
          <w:p w14:paraId="0C9464B4"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33E80477" w14:textId="77777777" w:rsidR="00915AF8" w:rsidRPr="00A13922"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700101C"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383 111,09 zł </w:t>
            </w:r>
          </w:p>
        </w:tc>
        <w:tc>
          <w:tcPr>
            <w:tcW w:w="850" w:type="dxa"/>
            <w:vMerge/>
            <w:hideMark/>
          </w:tcPr>
          <w:p w14:paraId="0876FBEF"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7ABB9AB"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71FEB7A6"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53D85609"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€ 89 095,60 </w:t>
            </w:r>
          </w:p>
        </w:tc>
        <w:tc>
          <w:tcPr>
            <w:tcW w:w="851" w:type="dxa"/>
            <w:noWrap/>
            <w:vAlign w:val="bottom"/>
            <w:hideMark/>
          </w:tcPr>
          <w:p w14:paraId="2D69857E"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€ 581,25 </w:t>
            </w:r>
          </w:p>
        </w:tc>
        <w:tc>
          <w:tcPr>
            <w:tcW w:w="982" w:type="dxa"/>
            <w:noWrap/>
            <w:vAlign w:val="bottom"/>
            <w:hideMark/>
          </w:tcPr>
          <w:p w14:paraId="4432EDAB"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2253</w:t>
            </w:r>
          </w:p>
        </w:tc>
        <w:tc>
          <w:tcPr>
            <w:tcW w:w="962" w:type="dxa"/>
            <w:noWrap/>
            <w:vAlign w:val="bottom"/>
            <w:hideMark/>
          </w:tcPr>
          <w:p w14:paraId="70D48A1E" w14:textId="77777777" w:rsidR="00915AF8" w:rsidRPr="00A13922"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1048%</w:t>
            </w:r>
          </w:p>
        </w:tc>
      </w:tr>
    </w:tbl>
    <w:p w14:paraId="7C50BEEC" w14:textId="77777777" w:rsidR="00357502" w:rsidRDefault="00357502" w:rsidP="00DF64C7">
      <w:pPr>
        <w:pStyle w:val="podpisrdailustracji"/>
        <w:spacing w:line="271" w:lineRule="auto"/>
        <w:jc w:val="left"/>
        <w:rPr>
          <w:rStyle w:val="Odwoanieintensywne"/>
        </w:rPr>
      </w:pPr>
      <w:r w:rsidRPr="00A13922">
        <w:t xml:space="preserve">Źródło: </w:t>
      </w:r>
      <w:r>
        <w:t>opracowanie własne na podstawie: dokumentu pn. Realizacja Regionalnego Programu Operacyjnego Województwa Śląskiego 2014-2020 – stan na dzień 14 października 2019 r. oraz danych pozyskanych z SL (na dzień 1.10.2019 r.).</w:t>
      </w:r>
    </w:p>
    <w:p w14:paraId="40B9527B" w14:textId="77777777" w:rsidR="00357502" w:rsidRDefault="00357502" w:rsidP="00DF64C7">
      <w:pPr>
        <w:pStyle w:val="Legenda"/>
        <w:spacing w:line="271" w:lineRule="auto"/>
        <w:jc w:val="left"/>
      </w:pPr>
      <w:r>
        <w:t xml:space="preserve">Tabela </w:t>
      </w:r>
      <w:r w:rsidR="00842E62">
        <w:t>43.</w:t>
      </w:r>
      <w:r>
        <w:t xml:space="preserve"> Analiza prawdopodobieństwa</w:t>
      </w:r>
      <w:r w:rsidR="001763D6">
        <w:t xml:space="preserve"> osiągnięcia</w:t>
      </w:r>
      <w:r>
        <w:t xml:space="preserve"> wskaźników wg. scenariusza nr 3 (EUR = 3,66</w:t>
      </w:r>
      <w:r>
        <w:rPr>
          <w:noProof/>
        </w:rPr>
        <w:t>)</w:t>
      </w:r>
    </w:p>
    <w:tbl>
      <w:tblPr>
        <w:tblStyle w:val="Tabelasiatki4akcent61"/>
        <w:tblW w:w="15695" w:type="dxa"/>
        <w:tblInd w:w="-318" w:type="dxa"/>
        <w:tblLayout w:type="fixed"/>
        <w:tblLook w:val="04A0" w:firstRow="1" w:lastRow="0" w:firstColumn="1" w:lastColumn="0" w:noHBand="0" w:noVBand="1"/>
        <w:tblCaption w:val="Analiza prawdopodobieństwa osiągnięcia wskaźników wg. scenariusza nr 2 (EUR = 3,66 zł)"/>
        <w:tblDescription w:val="Tabela przedstawia analizę prawdopodobieństwa osięgniecia wskaźników wg scenariusza zakładajacego średnia wartość EUR na poziomie 3,66 PLN. Analiza sporządzona została wg stanu na 14.10.2019 r. Najniższy potencjalny poziom realizacji wskaźników docelowych przypadł na wskaźnik &quot;Liczba osób uczestniczących w szkolnych formach kształcenia w programie&quot; (Działanie 11.3) i wyniósł 19%."/>
      </w:tblPr>
      <w:tblGrid>
        <w:gridCol w:w="941"/>
        <w:gridCol w:w="3880"/>
        <w:gridCol w:w="850"/>
        <w:gridCol w:w="709"/>
        <w:gridCol w:w="709"/>
        <w:gridCol w:w="850"/>
        <w:gridCol w:w="992"/>
        <w:gridCol w:w="851"/>
        <w:gridCol w:w="850"/>
        <w:gridCol w:w="709"/>
        <w:gridCol w:w="709"/>
        <w:gridCol w:w="850"/>
        <w:gridCol w:w="851"/>
        <w:gridCol w:w="982"/>
        <w:gridCol w:w="962"/>
      </w:tblGrid>
      <w:tr w:rsidR="00E24BD3" w:rsidRPr="001C7E6A" w14:paraId="3E691460" w14:textId="77777777" w:rsidTr="00593B77">
        <w:trPr>
          <w:cnfStyle w:val="100000000000" w:firstRow="1" w:lastRow="0" w:firstColumn="0" w:lastColumn="0" w:oddVBand="0" w:evenVBand="0" w:oddHBand="0" w:evenHBand="0" w:firstRowFirstColumn="0" w:firstRowLastColumn="0" w:lastRowFirstColumn="0" w:lastRowLastColumn="0"/>
          <w:trHeight w:val="977"/>
          <w:tblHead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209DFE25"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Działanie</w:t>
            </w:r>
          </w:p>
        </w:tc>
        <w:tc>
          <w:tcPr>
            <w:tcW w:w="3880" w:type="dxa"/>
            <w:noWrap/>
            <w:hideMark/>
          </w:tcPr>
          <w:p w14:paraId="682B9387"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w:t>
            </w:r>
          </w:p>
        </w:tc>
        <w:tc>
          <w:tcPr>
            <w:tcW w:w="850" w:type="dxa"/>
            <w:hideMark/>
          </w:tcPr>
          <w:p w14:paraId="6AC783D2"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Wartość aktualna wskaźnika na podstawie podpisanych umów</w:t>
            </w:r>
            <w:r>
              <w:rPr>
                <w:rFonts w:ascii="Calibri" w:eastAsia="Times New Roman" w:hAnsi="Calibri" w:cs="Calibri"/>
                <w:color w:val="000000"/>
                <w:sz w:val="12"/>
                <w:szCs w:val="12"/>
                <w:lang w:eastAsia="pl-PL"/>
              </w:rPr>
              <w:t xml:space="preserve"> – na dzień 1.10.2019</w:t>
            </w:r>
          </w:p>
        </w:tc>
        <w:tc>
          <w:tcPr>
            <w:tcW w:w="709" w:type="dxa"/>
            <w:hideMark/>
          </w:tcPr>
          <w:p w14:paraId="03191112"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Wartość docelowa (2023)</w:t>
            </w:r>
          </w:p>
        </w:tc>
        <w:tc>
          <w:tcPr>
            <w:tcW w:w="709" w:type="dxa"/>
            <w:hideMark/>
          </w:tcPr>
          <w:p w14:paraId="73B083BA"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realizacji </w:t>
            </w:r>
          </w:p>
        </w:tc>
        <w:tc>
          <w:tcPr>
            <w:tcW w:w="850" w:type="dxa"/>
            <w:hideMark/>
          </w:tcPr>
          <w:p w14:paraId="55BA6C82"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Pozostała wartośc wskaźników do osiągnięcia</w:t>
            </w:r>
          </w:p>
        </w:tc>
        <w:tc>
          <w:tcPr>
            <w:tcW w:w="992" w:type="dxa"/>
            <w:hideMark/>
          </w:tcPr>
          <w:p w14:paraId="6BE1A465"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Wartość podpisanych umów o dofinansowanie (PLN)</w:t>
            </w:r>
          </w:p>
        </w:tc>
        <w:tc>
          <w:tcPr>
            <w:tcW w:w="851" w:type="dxa"/>
            <w:hideMark/>
          </w:tcPr>
          <w:p w14:paraId="4A6CA97B"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Koszt osiągnięcia 1 jednostki wskaźnika </w:t>
            </w:r>
            <w:r>
              <w:rPr>
                <w:rFonts w:ascii="Calibri" w:eastAsia="Times New Roman" w:hAnsi="Calibri" w:cs="Calibri"/>
                <w:color w:val="000000"/>
                <w:sz w:val="12"/>
                <w:szCs w:val="12"/>
                <w:lang w:eastAsia="pl-PL"/>
              </w:rPr>
              <w:br/>
            </w:r>
            <w:r w:rsidRPr="00A13922">
              <w:rPr>
                <w:rFonts w:ascii="Calibri" w:eastAsia="Times New Roman" w:hAnsi="Calibri" w:cs="Calibri"/>
                <w:color w:val="000000"/>
                <w:sz w:val="12"/>
                <w:szCs w:val="12"/>
                <w:lang w:eastAsia="pl-PL"/>
              </w:rPr>
              <w:t>(PLN)</w:t>
            </w:r>
          </w:p>
        </w:tc>
        <w:tc>
          <w:tcPr>
            <w:tcW w:w="850" w:type="dxa"/>
            <w:hideMark/>
          </w:tcPr>
          <w:p w14:paraId="45AEB803"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Alokacja podstawowa (PLN)</w:t>
            </w:r>
          </w:p>
        </w:tc>
        <w:tc>
          <w:tcPr>
            <w:tcW w:w="709" w:type="dxa"/>
            <w:hideMark/>
          </w:tcPr>
          <w:p w14:paraId="5AD62D3F"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Alokacja pozostała (PLN)</w:t>
            </w:r>
          </w:p>
        </w:tc>
        <w:tc>
          <w:tcPr>
            <w:tcW w:w="709" w:type="dxa"/>
            <w:hideMark/>
          </w:tcPr>
          <w:p w14:paraId="6592A1C7"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Alokacja pozostała (EUR)</w:t>
            </w:r>
          </w:p>
        </w:tc>
        <w:tc>
          <w:tcPr>
            <w:tcW w:w="850" w:type="dxa"/>
            <w:hideMark/>
          </w:tcPr>
          <w:p w14:paraId="45552B9B"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Koszt osiągnięcia 1 jednostki wskaźnika </w:t>
            </w:r>
            <w:r>
              <w:rPr>
                <w:rFonts w:ascii="Calibri" w:eastAsia="Times New Roman" w:hAnsi="Calibri" w:cs="Calibri"/>
                <w:color w:val="000000"/>
                <w:sz w:val="12"/>
                <w:szCs w:val="12"/>
                <w:lang w:eastAsia="pl-PL"/>
              </w:rPr>
              <w:br/>
            </w:r>
            <w:r w:rsidRPr="00A13922">
              <w:rPr>
                <w:rFonts w:ascii="Calibri" w:eastAsia="Times New Roman" w:hAnsi="Calibri" w:cs="Calibri"/>
                <w:color w:val="000000"/>
                <w:sz w:val="12"/>
                <w:szCs w:val="12"/>
                <w:lang w:eastAsia="pl-PL"/>
              </w:rPr>
              <w:t>(EUR)</w:t>
            </w:r>
          </w:p>
        </w:tc>
        <w:tc>
          <w:tcPr>
            <w:tcW w:w="851" w:type="dxa"/>
            <w:hideMark/>
          </w:tcPr>
          <w:p w14:paraId="6F76AAC1"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jednostek wskaźnika możliwych do osiągnięcia dzięki pozostałej alokacji</w:t>
            </w:r>
          </w:p>
        </w:tc>
        <w:tc>
          <w:tcPr>
            <w:tcW w:w="982" w:type="dxa"/>
            <w:hideMark/>
          </w:tcPr>
          <w:p w14:paraId="368198F6"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Suma osiągniętej wartości wskaźnika i wartości możliwej do osiągnięcia na podstawie pozostałej alokacji</w:t>
            </w:r>
          </w:p>
        </w:tc>
        <w:tc>
          <w:tcPr>
            <w:tcW w:w="962" w:type="dxa"/>
            <w:hideMark/>
          </w:tcPr>
          <w:p w14:paraId="24D5F01B" w14:textId="77777777" w:rsidR="00357502" w:rsidRPr="00A13922" w:rsidRDefault="00357502"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Potencjalny poziom realizacji wskaźników docelowych</w:t>
            </w:r>
          </w:p>
        </w:tc>
      </w:tr>
      <w:tr w:rsidR="00E24BD3" w:rsidRPr="001C7E6A" w14:paraId="2A2C85E4" w14:textId="77777777" w:rsidTr="00E24BD3">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941" w:type="dxa"/>
            <w:noWrap/>
            <w:hideMark/>
          </w:tcPr>
          <w:p w14:paraId="603F752C"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12.1, 12.2</w:t>
            </w:r>
          </w:p>
        </w:tc>
        <w:tc>
          <w:tcPr>
            <w:tcW w:w="3880" w:type="dxa"/>
            <w:hideMark/>
          </w:tcPr>
          <w:p w14:paraId="7D7F1211"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Potencjał objętej wsparciem infrastruktury w zakresie opieki nad dziećmi lub infrastruktury edukacyjnej</w:t>
            </w:r>
          </w:p>
        </w:tc>
        <w:tc>
          <w:tcPr>
            <w:tcW w:w="850" w:type="dxa"/>
            <w:noWrap/>
            <w:hideMark/>
          </w:tcPr>
          <w:p w14:paraId="0EE50466"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32329</w:t>
            </w:r>
          </w:p>
        </w:tc>
        <w:tc>
          <w:tcPr>
            <w:tcW w:w="709" w:type="dxa"/>
            <w:noWrap/>
            <w:hideMark/>
          </w:tcPr>
          <w:p w14:paraId="02E67807"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40940</w:t>
            </w:r>
          </w:p>
        </w:tc>
        <w:tc>
          <w:tcPr>
            <w:tcW w:w="709" w:type="dxa"/>
            <w:noWrap/>
            <w:hideMark/>
          </w:tcPr>
          <w:p w14:paraId="5E975625"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79%</w:t>
            </w:r>
          </w:p>
        </w:tc>
        <w:tc>
          <w:tcPr>
            <w:tcW w:w="850" w:type="dxa"/>
            <w:noWrap/>
            <w:hideMark/>
          </w:tcPr>
          <w:p w14:paraId="6ED0ACB9"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8611</w:t>
            </w:r>
          </w:p>
        </w:tc>
        <w:tc>
          <w:tcPr>
            <w:tcW w:w="992" w:type="dxa"/>
            <w:vMerge w:val="restart"/>
            <w:noWrap/>
            <w:hideMark/>
          </w:tcPr>
          <w:p w14:paraId="567F1989"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316 596 373,00 zł </w:t>
            </w:r>
          </w:p>
        </w:tc>
        <w:tc>
          <w:tcPr>
            <w:tcW w:w="851" w:type="dxa"/>
            <w:noWrap/>
            <w:hideMark/>
          </w:tcPr>
          <w:p w14:paraId="65037F00"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9 792,95 zł </w:t>
            </w:r>
          </w:p>
        </w:tc>
        <w:tc>
          <w:tcPr>
            <w:tcW w:w="850" w:type="dxa"/>
            <w:vMerge w:val="restart"/>
            <w:noWrap/>
            <w:hideMark/>
          </w:tcPr>
          <w:p w14:paraId="522C01DC"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351 343 724,00 zł </w:t>
            </w:r>
          </w:p>
        </w:tc>
        <w:tc>
          <w:tcPr>
            <w:tcW w:w="709" w:type="dxa"/>
            <w:vMerge w:val="restart"/>
            <w:noWrap/>
            <w:hideMark/>
          </w:tcPr>
          <w:p w14:paraId="7D502D1C"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34 747 351,00 zł </w:t>
            </w:r>
          </w:p>
        </w:tc>
        <w:tc>
          <w:tcPr>
            <w:tcW w:w="709" w:type="dxa"/>
            <w:vMerge w:val="restart"/>
            <w:noWrap/>
            <w:vAlign w:val="bottom"/>
            <w:hideMark/>
          </w:tcPr>
          <w:p w14:paraId="07DF835C"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€9 493 811,75 </w:t>
            </w:r>
          </w:p>
        </w:tc>
        <w:tc>
          <w:tcPr>
            <w:tcW w:w="850" w:type="dxa"/>
            <w:noWrap/>
            <w:vAlign w:val="bottom"/>
            <w:hideMark/>
          </w:tcPr>
          <w:p w14:paraId="24BF2163"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€ 2 277,43 </w:t>
            </w:r>
          </w:p>
        </w:tc>
        <w:tc>
          <w:tcPr>
            <w:tcW w:w="851" w:type="dxa"/>
            <w:noWrap/>
            <w:vAlign w:val="bottom"/>
            <w:hideMark/>
          </w:tcPr>
          <w:p w14:paraId="537098F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4169</w:t>
            </w:r>
          </w:p>
        </w:tc>
        <w:tc>
          <w:tcPr>
            <w:tcW w:w="982" w:type="dxa"/>
            <w:noWrap/>
            <w:vAlign w:val="bottom"/>
            <w:hideMark/>
          </w:tcPr>
          <w:p w14:paraId="21A86EC8"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36498</w:t>
            </w:r>
          </w:p>
        </w:tc>
        <w:tc>
          <w:tcPr>
            <w:tcW w:w="962" w:type="dxa"/>
            <w:noWrap/>
            <w:vAlign w:val="bottom"/>
            <w:hideMark/>
          </w:tcPr>
          <w:p w14:paraId="55AEB397"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89%</w:t>
            </w:r>
          </w:p>
        </w:tc>
      </w:tr>
      <w:tr w:rsidR="00357502" w:rsidRPr="001C7E6A" w14:paraId="65F06298" w14:textId="77777777" w:rsidTr="00E24BD3">
        <w:trPr>
          <w:trHeight w:val="142"/>
        </w:trPr>
        <w:tc>
          <w:tcPr>
            <w:cnfStyle w:val="001000000000" w:firstRow="0" w:lastRow="0" w:firstColumn="1" w:lastColumn="0" w:oddVBand="0" w:evenVBand="0" w:oddHBand="0" w:evenHBand="0" w:firstRowFirstColumn="0" w:firstRowLastColumn="0" w:lastRowFirstColumn="0" w:lastRowLastColumn="0"/>
            <w:tcW w:w="941" w:type="dxa"/>
            <w:noWrap/>
            <w:hideMark/>
          </w:tcPr>
          <w:p w14:paraId="09195419" w14:textId="77777777" w:rsidR="00357502" w:rsidRPr="00A13922" w:rsidRDefault="006D2EDA" w:rsidP="00DF64C7">
            <w:pPr>
              <w:jc w:val="left"/>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12.1</w:t>
            </w:r>
          </w:p>
        </w:tc>
        <w:tc>
          <w:tcPr>
            <w:tcW w:w="3880" w:type="dxa"/>
            <w:hideMark/>
          </w:tcPr>
          <w:p w14:paraId="2BBBF583"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wspartych obiektów infrastruktury przedszkolnej</w:t>
            </w:r>
          </w:p>
        </w:tc>
        <w:tc>
          <w:tcPr>
            <w:tcW w:w="850" w:type="dxa"/>
            <w:noWrap/>
            <w:hideMark/>
          </w:tcPr>
          <w:p w14:paraId="64C65F6E"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50</w:t>
            </w:r>
          </w:p>
        </w:tc>
        <w:tc>
          <w:tcPr>
            <w:tcW w:w="709" w:type="dxa"/>
            <w:noWrap/>
            <w:hideMark/>
          </w:tcPr>
          <w:p w14:paraId="2947EBA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71</w:t>
            </w:r>
          </w:p>
        </w:tc>
        <w:tc>
          <w:tcPr>
            <w:tcW w:w="709" w:type="dxa"/>
            <w:noWrap/>
            <w:hideMark/>
          </w:tcPr>
          <w:p w14:paraId="4729618E"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70%</w:t>
            </w:r>
          </w:p>
        </w:tc>
        <w:tc>
          <w:tcPr>
            <w:tcW w:w="850" w:type="dxa"/>
            <w:noWrap/>
            <w:hideMark/>
          </w:tcPr>
          <w:p w14:paraId="19905B4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21</w:t>
            </w:r>
          </w:p>
        </w:tc>
        <w:tc>
          <w:tcPr>
            <w:tcW w:w="992" w:type="dxa"/>
            <w:vMerge/>
            <w:hideMark/>
          </w:tcPr>
          <w:p w14:paraId="520A92B3"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AAACA0B"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6 331 927,46 zł </w:t>
            </w:r>
          </w:p>
        </w:tc>
        <w:tc>
          <w:tcPr>
            <w:tcW w:w="850" w:type="dxa"/>
            <w:vMerge/>
            <w:hideMark/>
          </w:tcPr>
          <w:p w14:paraId="05161337"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AEBEB57"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07B03197"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0D6B1E30"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€1 472 541,27 </w:t>
            </w:r>
          </w:p>
        </w:tc>
        <w:tc>
          <w:tcPr>
            <w:tcW w:w="851" w:type="dxa"/>
            <w:noWrap/>
            <w:vAlign w:val="bottom"/>
            <w:hideMark/>
          </w:tcPr>
          <w:p w14:paraId="6171D0FB"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w:t>
            </w:r>
          </w:p>
        </w:tc>
        <w:tc>
          <w:tcPr>
            <w:tcW w:w="982" w:type="dxa"/>
            <w:noWrap/>
            <w:vAlign w:val="bottom"/>
            <w:hideMark/>
          </w:tcPr>
          <w:p w14:paraId="666B1A34"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56</w:t>
            </w:r>
          </w:p>
        </w:tc>
        <w:tc>
          <w:tcPr>
            <w:tcW w:w="962" w:type="dxa"/>
            <w:noWrap/>
            <w:vAlign w:val="bottom"/>
            <w:hideMark/>
          </w:tcPr>
          <w:p w14:paraId="35D921B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80%</w:t>
            </w:r>
          </w:p>
        </w:tc>
      </w:tr>
      <w:tr w:rsidR="008B4A53" w:rsidRPr="001C7E6A" w14:paraId="1E5819F6" w14:textId="77777777" w:rsidTr="00593B77">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41" w:type="dxa"/>
            <w:noWrap/>
            <w:hideMark/>
          </w:tcPr>
          <w:p w14:paraId="520342A0"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12.2</w:t>
            </w:r>
          </w:p>
        </w:tc>
        <w:tc>
          <w:tcPr>
            <w:tcW w:w="3880" w:type="dxa"/>
            <w:hideMark/>
          </w:tcPr>
          <w:p w14:paraId="621FD30F"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wspartych obiektów infrastruktury kształcenia zawodowego</w:t>
            </w:r>
          </w:p>
        </w:tc>
        <w:tc>
          <w:tcPr>
            <w:tcW w:w="850" w:type="dxa"/>
            <w:noWrap/>
            <w:hideMark/>
          </w:tcPr>
          <w:p w14:paraId="79F0C59B"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52</w:t>
            </w:r>
          </w:p>
        </w:tc>
        <w:tc>
          <w:tcPr>
            <w:tcW w:w="709" w:type="dxa"/>
            <w:noWrap/>
            <w:hideMark/>
          </w:tcPr>
          <w:p w14:paraId="24D9BF60"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136</w:t>
            </w:r>
          </w:p>
        </w:tc>
        <w:tc>
          <w:tcPr>
            <w:tcW w:w="709" w:type="dxa"/>
            <w:noWrap/>
            <w:hideMark/>
          </w:tcPr>
          <w:p w14:paraId="508F8749"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38%</w:t>
            </w:r>
          </w:p>
        </w:tc>
        <w:tc>
          <w:tcPr>
            <w:tcW w:w="850" w:type="dxa"/>
            <w:noWrap/>
            <w:hideMark/>
          </w:tcPr>
          <w:p w14:paraId="2D45EB50"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84</w:t>
            </w:r>
          </w:p>
        </w:tc>
        <w:tc>
          <w:tcPr>
            <w:tcW w:w="992" w:type="dxa"/>
            <w:vMerge/>
            <w:hideMark/>
          </w:tcPr>
          <w:p w14:paraId="6E613633"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22693013"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6 088 391,79 zł </w:t>
            </w:r>
          </w:p>
        </w:tc>
        <w:tc>
          <w:tcPr>
            <w:tcW w:w="850" w:type="dxa"/>
            <w:vMerge/>
            <w:hideMark/>
          </w:tcPr>
          <w:p w14:paraId="386611F5"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ECBC1AA"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29D1728C"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3242BE4"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€1 415 905,07 </w:t>
            </w:r>
          </w:p>
        </w:tc>
        <w:tc>
          <w:tcPr>
            <w:tcW w:w="851" w:type="dxa"/>
            <w:noWrap/>
            <w:vAlign w:val="bottom"/>
            <w:hideMark/>
          </w:tcPr>
          <w:p w14:paraId="7DB4AB28"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7</w:t>
            </w:r>
          </w:p>
        </w:tc>
        <w:tc>
          <w:tcPr>
            <w:tcW w:w="982" w:type="dxa"/>
            <w:noWrap/>
            <w:vAlign w:val="bottom"/>
            <w:hideMark/>
          </w:tcPr>
          <w:p w14:paraId="17171BDD"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59</w:t>
            </w:r>
          </w:p>
        </w:tc>
        <w:tc>
          <w:tcPr>
            <w:tcW w:w="962" w:type="dxa"/>
            <w:noWrap/>
            <w:vAlign w:val="bottom"/>
            <w:hideMark/>
          </w:tcPr>
          <w:p w14:paraId="6C94AA59"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43%</w:t>
            </w:r>
          </w:p>
        </w:tc>
      </w:tr>
      <w:tr w:rsidR="00357502" w:rsidRPr="001C7E6A" w14:paraId="5326C215" w14:textId="77777777" w:rsidTr="00E24BD3">
        <w:trPr>
          <w:trHeight w:val="83"/>
        </w:trPr>
        <w:tc>
          <w:tcPr>
            <w:cnfStyle w:val="001000000000" w:firstRow="0" w:lastRow="0" w:firstColumn="1" w:lastColumn="0" w:oddVBand="0" w:evenVBand="0" w:oddHBand="0" w:evenHBand="0" w:firstRowFirstColumn="0" w:firstRowLastColumn="0" w:lastRowFirstColumn="0" w:lastRowLastColumn="0"/>
            <w:tcW w:w="941" w:type="dxa"/>
            <w:noWrap/>
            <w:hideMark/>
          </w:tcPr>
          <w:p w14:paraId="34E8AF23"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12.3</w:t>
            </w:r>
          </w:p>
        </w:tc>
        <w:tc>
          <w:tcPr>
            <w:tcW w:w="3880" w:type="dxa"/>
            <w:hideMark/>
          </w:tcPr>
          <w:p w14:paraId="5D93911A"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odwiedzających Planetarium Śląskie ze zorganizowanych grup uczniowskich i przedszkolnych</w:t>
            </w:r>
          </w:p>
        </w:tc>
        <w:tc>
          <w:tcPr>
            <w:tcW w:w="850" w:type="dxa"/>
            <w:noWrap/>
            <w:hideMark/>
          </w:tcPr>
          <w:p w14:paraId="013285EA"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156000</w:t>
            </w:r>
          </w:p>
        </w:tc>
        <w:tc>
          <w:tcPr>
            <w:tcW w:w="709" w:type="dxa"/>
            <w:noWrap/>
            <w:hideMark/>
          </w:tcPr>
          <w:p w14:paraId="0A4811F7"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156000</w:t>
            </w:r>
          </w:p>
        </w:tc>
        <w:tc>
          <w:tcPr>
            <w:tcW w:w="709" w:type="dxa"/>
            <w:noWrap/>
            <w:hideMark/>
          </w:tcPr>
          <w:p w14:paraId="09E5EDCD"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100%</w:t>
            </w:r>
          </w:p>
        </w:tc>
        <w:tc>
          <w:tcPr>
            <w:tcW w:w="850" w:type="dxa"/>
            <w:noWrap/>
            <w:hideMark/>
          </w:tcPr>
          <w:p w14:paraId="54E091DF"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464909A4"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B03B0D7"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2 029,46 zł </w:t>
            </w:r>
          </w:p>
        </w:tc>
        <w:tc>
          <w:tcPr>
            <w:tcW w:w="850" w:type="dxa"/>
            <w:vMerge/>
            <w:hideMark/>
          </w:tcPr>
          <w:p w14:paraId="57A4274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F82F24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D949B4D"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7916C431"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€471,97 </w:t>
            </w:r>
          </w:p>
        </w:tc>
        <w:tc>
          <w:tcPr>
            <w:tcW w:w="851" w:type="dxa"/>
            <w:noWrap/>
            <w:vAlign w:val="bottom"/>
            <w:hideMark/>
          </w:tcPr>
          <w:p w14:paraId="7971894D"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20115</w:t>
            </w:r>
          </w:p>
        </w:tc>
        <w:tc>
          <w:tcPr>
            <w:tcW w:w="982" w:type="dxa"/>
            <w:noWrap/>
            <w:vAlign w:val="bottom"/>
            <w:hideMark/>
          </w:tcPr>
          <w:p w14:paraId="13AD58C5"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176115</w:t>
            </w:r>
          </w:p>
        </w:tc>
        <w:tc>
          <w:tcPr>
            <w:tcW w:w="962" w:type="dxa"/>
            <w:noWrap/>
            <w:vAlign w:val="bottom"/>
            <w:hideMark/>
          </w:tcPr>
          <w:p w14:paraId="7C33328A"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113%</w:t>
            </w:r>
          </w:p>
        </w:tc>
      </w:tr>
      <w:tr w:rsidR="00E24BD3" w:rsidRPr="001C7E6A" w14:paraId="03C9740D" w14:textId="77777777" w:rsidTr="00E24BD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10F0737A"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738ACC9C"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miejsc wychowania przedszkolnego dofinansowanych w programie</w:t>
            </w:r>
          </w:p>
        </w:tc>
        <w:tc>
          <w:tcPr>
            <w:tcW w:w="850" w:type="dxa"/>
            <w:noWrap/>
            <w:hideMark/>
          </w:tcPr>
          <w:p w14:paraId="2ED86CD7"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5768</w:t>
            </w:r>
          </w:p>
        </w:tc>
        <w:tc>
          <w:tcPr>
            <w:tcW w:w="709" w:type="dxa"/>
            <w:noWrap/>
            <w:hideMark/>
          </w:tcPr>
          <w:p w14:paraId="3FD44ACC"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3081</w:t>
            </w:r>
          </w:p>
        </w:tc>
        <w:tc>
          <w:tcPr>
            <w:tcW w:w="709" w:type="dxa"/>
            <w:noWrap/>
            <w:hideMark/>
          </w:tcPr>
          <w:p w14:paraId="4E465404"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187%</w:t>
            </w:r>
          </w:p>
        </w:tc>
        <w:tc>
          <w:tcPr>
            <w:tcW w:w="850" w:type="dxa"/>
            <w:noWrap/>
            <w:hideMark/>
          </w:tcPr>
          <w:p w14:paraId="7B120A78"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val="restart"/>
            <w:noWrap/>
            <w:hideMark/>
          </w:tcPr>
          <w:p w14:paraId="7E28A8CF"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640 561 743,00 zł </w:t>
            </w:r>
          </w:p>
        </w:tc>
        <w:tc>
          <w:tcPr>
            <w:tcW w:w="851" w:type="dxa"/>
            <w:noWrap/>
            <w:hideMark/>
          </w:tcPr>
          <w:p w14:paraId="78E0F9EB"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111 054,39 zł </w:t>
            </w:r>
          </w:p>
        </w:tc>
        <w:tc>
          <w:tcPr>
            <w:tcW w:w="850" w:type="dxa"/>
            <w:vMerge w:val="restart"/>
            <w:noWrap/>
            <w:hideMark/>
          </w:tcPr>
          <w:p w14:paraId="69E09BCA"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848 226 009,00 zł </w:t>
            </w:r>
          </w:p>
        </w:tc>
        <w:tc>
          <w:tcPr>
            <w:tcW w:w="709" w:type="dxa"/>
            <w:vMerge w:val="restart"/>
            <w:noWrap/>
            <w:hideMark/>
          </w:tcPr>
          <w:p w14:paraId="68C5721E"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207 664 266,00 zł </w:t>
            </w:r>
          </w:p>
        </w:tc>
        <w:tc>
          <w:tcPr>
            <w:tcW w:w="709" w:type="dxa"/>
            <w:vMerge w:val="restart"/>
            <w:noWrap/>
            <w:vAlign w:val="bottom"/>
            <w:hideMark/>
          </w:tcPr>
          <w:p w14:paraId="79B7CBA7"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€ 56 738 870,49 </w:t>
            </w:r>
          </w:p>
        </w:tc>
        <w:tc>
          <w:tcPr>
            <w:tcW w:w="850" w:type="dxa"/>
            <w:noWrap/>
            <w:vAlign w:val="bottom"/>
            <w:hideMark/>
          </w:tcPr>
          <w:p w14:paraId="1B0CAEF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€25 826,60 </w:t>
            </w:r>
          </w:p>
        </w:tc>
        <w:tc>
          <w:tcPr>
            <w:tcW w:w="851" w:type="dxa"/>
            <w:noWrap/>
            <w:vAlign w:val="bottom"/>
            <w:hideMark/>
          </w:tcPr>
          <w:p w14:paraId="50A03555"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2197</w:t>
            </w:r>
          </w:p>
        </w:tc>
        <w:tc>
          <w:tcPr>
            <w:tcW w:w="982" w:type="dxa"/>
            <w:noWrap/>
            <w:vAlign w:val="bottom"/>
            <w:hideMark/>
          </w:tcPr>
          <w:p w14:paraId="2D2AD94B"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7965</w:t>
            </w:r>
          </w:p>
        </w:tc>
        <w:tc>
          <w:tcPr>
            <w:tcW w:w="962" w:type="dxa"/>
            <w:noWrap/>
            <w:vAlign w:val="bottom"/>
            <w:hideMark/>
          </w:tcPr>
          <w:p w14:paraId="5FDEDCCC"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259%</w:t>
            </w:r>
          </w:p>
        </w:tc>
      </w:tr>
      <w:tr w:rsidR="00357502" w:rsidRPr="001C7E6A" w14:paraId="5007ED54" w14:textId="77777777" w:rsidTr="00E24BD3">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6275C673"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5B4B1EAA"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dzieci objętych w ramach programu dodatkowymi zajęciami zwiększającymi ich szanse edukacyjne w edukacji przedszkolnej</w:t>
            </w:r>
          </w:p>
        </w:tc>
        <w:tc>
          <w:tcPr>
            <w:tcW w:w="850" w:type="dxa"/>
            <w:noWrap/>
            <w:hideMark/>
          </w:tcPr>
          <w:p w14:paraId="6BE4476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13944</w:t>
            </w:r>
          </w:p>
        </w:tc>
        <w:tc>
          <w:tcPr>
            <w:tcW w:w="709" w:type="dxa"/>
            <w:noWrap/>
            <w:hideMark/>
          </w:tcPr>
          <w:p w14:paraId="2F935C76"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13984</w:t>
            </w:r>
          </w:p>
        </w:tc>
        <w:tc>
          <w:tcPr>
            <w:tcW w:w="709" w:type="dxa"/>
            <w:noWrap/>
            <w:hideMark/>
          </w:tcPr>
          <w:p w14:paraId="434ED709"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100%</w:t>
            </w:r>
          </w:p>
        </w:tc>
        <w:tc>
          <w:tcPr>
            <w:tcW w:w="850" w:type="dxa"/>
            <w:noWrap/>
            <w:hideMark/>
          </w:tcPr>
          <w:p w14:paraId="429C48A4"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40</w:t>
            </w:r>
          </w:p>
        </w:tc>
        <w:tc>
          <w:tcPr>
            <w:tcW w:w="992" w:type="dxa"/>
            <w:vMerge/>
            <w:hideMark/>
          </w:tcPr>
          <w:p w14:paraId="009B834A"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9085AD6"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45 938,16 zł </w:t>
            </w:r>
          </w:p>
        </w:tc>
        <w:tc>
          <w:tcPr>
            <w:tcW w:w="850" w:type="dxa"/>
            <w:vMerge/>
            <w:hideMark/>
          </w:tcPr>
          <w:p w14:paraId="0091C35A"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2FFF915"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1038CF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043F283"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€10 683,29 </w:t>
            </w:r>
          </w:p>
        </w:tc>
        <w:tc>
          <w:tcPr>
            <w:tcW w:w="851" w:type="dxa"/>
            <w:noWrap/>
            <w:vAlign w:val="bottom"/>
            <w:hideMark/>
          </w:tcPr>
          <w:p w14:paraId="29BB856D"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5311</w:t>
            </w:r>
          </w:p>
        </w:tc>
        <w:tc>
          <w:tcPr>
            <w:tcW w:w="982" w:type="dxa"/>
            <w:noWrap/>
            <w:vAlign w:val="bottom"/>
            <w:hideMark/>
          </w:tcPr>
          <w:p w14:paraId="19FA676A"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19255</w:t>
            </w:r>
          </w:p>
        </w:tc>
        <w:tc>
          <w:tcPr>
            <w:tcW w:w="962" w:type="dxa"/>
            <w:noWrap/>
            <w:vAlign w:val="bottom"/>
            <w:hideMark/>
          </w:tcPr>
          <w:p w14:paraId="365E058E"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138%</w:t>
            </w:r>
          </w:p>
        </w:tc>
      </w:tr>
      <w:tr w:rsidR="008B4A53" w:rsidRPr="001C7E6A" w14:paraId="1249926C" w14:textId="77777777" w:rsidTr="00593B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5B289A10"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3FAB3CE4"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objętych wsparciem w zakresie rozwijania kompetencji kluczowych lub umiejętności uniwersalnych niezbędnych na rynku pracy w programie</w:t>
            </w:r>
          </w:p>
        </w:tc>
        <w:tc>
          <w:tcPr>
            <w:tcW w:w="850" w:type="dxa"/>
            <w:noWrap/>
            <w:hideMark/>
          </w:tcPr>
          <w:p w14:paraId="274BD1F1"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85561</w:t>
            </w:r>
          </w:p>
        </w:tc>
        <w:tc>
          <w:tcPr>
            <w:tcW w:w="709" w:type="dxa"/>
            <w:noWrap/>
            <w:hideMark/>
          </w:tcPr>
          <w:p w14:paraId="22C1DF99"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46366</w:t>
            </w:r>
          </w:p>
        </w:tc>
        <w:tc>
          <w:tcPr>
            <w:tcW w:w="709" w:type="dxa"/>
            <w:noWrap/>
            <w:hideMark/>
          </w:tcPr>
          <w:p w14:paraId="02ABAA48"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185%</w:t>
            </w:r>
          </w:p>
        </w:tc>
        <w:tc>
          <w:tcPr>
            <w:tcW w:w="850" w:type="dxa"/>
            <w:noWrap/>
            <w:hideMark/>
          </w:tcPr>
          <w:p w14:paraId="0EB03A64"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9BCC495"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9CE3FB9"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7 486,61 zł </w:t>
            </w:r>
          </w:p>
        </w:tc>
        <w:tc>
          <w:tcPr>
            <w:tcW w:w="850" w:type="dxa"/>
            <w:vMerge/>
            <w:hideMark/>
          </w:tcPr>
          <w:p w14:paraId="786F93DD"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B8888A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FEE98B9"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2F65E460"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€ 1 741,07 </w:t>
            </w:r>
          </w:p>
        </w:tc>
        <w:tc>
          <w:tcPr>
            <w:tcW w:w="851" w:type="dxa"/>
            <w:noWrap/>
            <w:vAlign w:val="bottom"/>
            <w:hideMark/>
          </w:tcPr>
          <w:p w14:paraId="72F6F164"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32588</w:t>
            </w:r>
          </w:p>
        </w:tc>
        <w:tc>
          <w:tcPr>
            <w:tcW w:w="982" w:type="dxa"/>
            <w:noWrap/>
            <w:vAlign w:val="bottom"/>
            <w:hideMark/>
          </w:tcPr>
          <w:p w14:paraId="06978437"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118149</w:t>
            </w:r>
          </w:p>
        </w:tc>
        <w:tc>
          <w:tcPr>
            <w:tcW w:w="962" w:type="dxa"/>
            <w:noWrap/>
            <w:vAlign w:val="bottom"/>
            <w:hideMark/>
          </w:tcPr>
          <w:p w14:paraId="7DB7E14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255%</w:t>
            </w:r>
          </w:p>
        </w:tc>
      </w:tr>
      <w:tr w:rsidR="00357502" w:rsidRPr="001C7E6A" w14:paraId="6F7236B4" w14:textId="77777777" w:rsidTr="00E24BD3">
        <w:trPr>
          <w:trHeight w:val="360"/>
        </w:trPr>
        <w:tc>
          <w:tcPr>
            <w:cnfStyle w:val="001000000000" w:firstRow="0" w:lastRow="0" w:firstColumn="1" w:lastColumn="0" w:oddVBand="0" w:evenVBand="0" w:oddHBand="0" w:evenHBand="0" w:firstRowFirstColumn="0" w:firstRowLastColumn="0" w:lastRowFirstColumn="0" w:lastRowLastColumn="0"/>
            <w:tcW w:w="941" w:type="dxa"/>
            <w:noWrap/>
            <w:hideMark/>
          </w:tcPr>
          <w:p w14:paraId="2B82ED03"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58CB5345"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których pracownie przedmiotowe zostały doposażone w programie</w:t>
            </w:r>
          </w:p>
        </w:tc>
        <w:tc>
          <w:tcPr>
            <w:tcW w:w="850" w:type="dxa"/>
            <w:noWrap/>
            <w:hideMark/>
          </w:tcPr>
          <w:p w14:paraId="0B466D57"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657</w:t>
            </w:r>
          </w:p>
        </w:tc>
        <w:tc>
          <w:tcPr>
            <w:tcW w:w="709" w:type="dxa"/>
            <w:noWrap/>
            <w:hideMark/>
          </w:tcPr>
          <w:p w14:paraId="27DD4BF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148</w:t>
            </w:r>
          </w:p>
        </w:tc>
        <w:tc>
          <w:tcPr>
            <w:tcW w:w="709" w:type="dxa"/>
            <w:noWrap/>
            <w:hideMark/>
          </w:tcPr>
          <w:p w14:paraId="6FB826C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444%</w:t>
            </w:r>
          </w:p>
        </w:tc>
        <w:tc>
          <w:tcPr>
            <w:tcW w:w="850" w:type="dxa"/>
            <w:noWrap/>
            <w:hideMark/>
          </w:tcPr>
          <w:p w14:paraId="06B3CD20"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3AD106CA"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FFE35C4"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974 979,82 zł </w:t>
            </w:r>
          </w:p>
        </w:tc>
        <w:tc>
          <w:tcPr>
            <w:tcW w:w="850" w:type="dxa"/>
            <w:vMerge/>
            <w:hideMark/>
          </w:tcPr>
          <w:p w14:paraId="56619DDB"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9F1CBEC"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C29161E"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5F4260A0"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€226 739,49 </w:t>
            </w:r>
          </w:p>
        </w:tc>
        <w:tc>
          <w:tcPr>
            <w:tcW w:w="851" w:type="dxa"/>
            <w:noWrap/>
            <w:vAlign w:val="bottom"/>
            <w:hideMark/>
          </w:tcPr>
          <w:p w14:paraId="1081D144"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250</w:t>
            </w:r>
          </w:p>
        </w:tc>
        <w:tc>
          <w:tcPr>
            <w:tcW w:w="982" w:type="dxa"/>
            <w:noWrap/>
            <w:vAlign w:val="bottom"/>
            <w:hideMark/>
          </w:tcPr>
          <w:p w14:paraId="5F45C9D6"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907</w:t>
            </w:r>
          </w:p>
        </w:tc>
        <w:tc>
          <w:tcPr>
            <w:tcW w:w="962" w:type="dxa"/>
            <w:noWrap/>
            <w:vAlign w:val="bottom"/>
            <w:hideMark/>
          </w:tcPr>
          <w:p w14:paraId="135CF00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613%</w:t>
            </w:r>
          </w:p>
        </w:tc>
      </w:tr>
      <w:tr w:rsidR="008B4A53" w:rsidRPr="001C7E6A" w14:paraId="35080D83" w14:textId="77777777" w:rsidTr="00593B77">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41" w:type="dxa"/>
            <w:noWrap/>
            <w:hideMark/>
          </w:tcPr>
          <w:p w14:paraId="0BA98DA2"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02AB253F"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i placówek systemu oświaty wyposażonych w ramach programu w sprzęt TIK do prowadzenia zajęć edukacyjnych</w:t>
            </w:r>
          </w:p>
        </w:tc>
        <w:tc>
          <w:tcPr>
            <w:tcW w:w="850" w:type="dxa"/>
            <w:noWrap/>
            <w:hideMark/>
          </w:tcPr>
          <w:p w14:paraId="7AC0877F"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749</w:t>
            </w:r>
          </w:p>
        </w:tc>
        <w:tc>
          <w:tcPr>
            <w:tcW w:w="709" w:type="dxa"/>
            <w:noWrap/>
            <w:hideMark/>
          </w:tcPr>
          <w:p w14:paraId="471B1A6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155</w:t>
            </w:r>
          </w:p>
        </w:tc>
        <w:tc>
          <w:tcPr>
            <w:tcW w:w="709" w:type="dxa"/>
            <w:noWrap/>
            <w:hideMark/>
          </w:tcPr>
          <w:p w14:paraId="75D00D1F"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483%</w:t>
            </w:r>
          </w:p>
        </w:tc>
        <w:tc>
          <w:tcPr>
            <w:tcW w:w="850" w:type="dxa"/>
            <w:noWrap/>
            <w:hideMark/>
          </w:tcPr>
          <w:p w14:paraId="49945134"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59FC03F1"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4301C67"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855 222,62 zł </w:t>
            </w:r>
          </w:p>
        </w:tc>
        <w:tc>
          <w:tcPr>
            <w:tcW w:w="850" w:type="dxa"/>
            <w:vMerge/>
            <w:hideMark/>
          </w:tcPr>
          <w:p w14:paraId="34BE6BD1"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83B06F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5B863978"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47579C57"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€198 888,98 </w:t>
            </w:r>
          </w:p>
        </w:tc>
        <w:tc>
          <w:tcPr>
            <w:tcW w:w="851" w:type="dxa"/>
            <w:noWrap/>
            <w:vAlign w:val="bottom"/>
            <w:hideMark/>
          </w:tcPr>
          <w:p w14:paraId="07159717"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285</w:t>
            </w:r>
          </w:p>
        </w:tc>
        <w:tc>
          <w:tcPr>
            <w:tcW w:w="982" w:type="dxa"/>
            <w:noWrap/>
            <w:vAlign w:val="bottom"/>
            <w:hideMark/>
          </w:tcPr>
          <w:p w14:paraId="62520CE5"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1034</w:t>
            </w:r>
          </w:p>
        </w:tc>
        <w:tc>
          <w:tcPr>
            <w:tcW w:w="962" w:type="dxa"/>
            <w:noWrap/>
            <w:vAlign w:val="bottom"/>
            <w:hideMark/>
          </w:tcPr>
          <w:p w14:paraId="00C5883C"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667%</w:t>
            </w:r>
          </w:p>
        </w:tc>
      </w:tr>
      <w:tr w:rsidR="00357502" w:rsidRPr="001C7E6A" w14:paraId="4E2D710E" w14:textId="77777777" w:rsidTr="00E24BD3">
        <w:trPr>
          <w:trHeight w:val="76"/>
        </w:trPr>
        <w:tc>
          <w:tcPr>
            <w:cnfStyle w:val="001000000000" w:firstRow="0" w:lastRow="0" w:firstColumn="1" w:lastColumn="0" w:oddVBand="0" w:evenVBand="0" w:oddHBand="0" w:evenHBand="0" w:firstRowFirstColumn="0" w:firstRowLastColumn="0" w:lastRowFirstColumn="0" w:lastRowLastColumn="0"/>
            <w:tcW w:w="941" w:type="dxa"/>
            <w:noWrap/>
            <w:hideMark/>
          </w:tcPr>
          <w:p w14:paraId="10FB1869"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0BE42D81"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którzy nabyli kompetencje kluczowe lub umiejętności uniwersalne niezbędne na rynku pracy po opuszczeniu programu</w:t>
            </w:r>
          </w:p>
        </w:tc>
        <w:tc>
          <w:tcPr>
            <w:tcW w:w="850" w:type="dxa"/>
            <w:noWrap/>
            <w:hideMark/>
          </w:tcPr>
          <w:p w14:paraId="4BB2764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71815</w:t>
            </w:r>
          </w:p>
        </w:tc>
        <w:tc>
          <w:tcPr>
            <w:tcW w:w="709" w:type="dxa"/>
            <w:noWrap/>
            <w:hideMark/>
          </w:tcPr>
          <w:p w14:paraId="1870842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27819</w:t>
            </w:r>
          </w:p>
        </w:tc>
        <w:tc>
          <w:tcPr>
            <w:tcW w:w="709" w:type="dxa"/>
            <w:noWrap/>
            <w:hideMark/>
          </w:tcPr>
          <w:p w14:paraId="2F89D196"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258%</w:t>
            </w:r>
          </w:p>
        </w:tc>
        <w:tc>
          <w:tcPr>
            <w:tcW w:w="850" w:type="dxa"/>
            <w:noWrap/>
            <w:hideMark/>
          </w:tcPr>
          <w:p w14:paraId="553A3B09"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35F7B66A"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B1DDACB"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8 919,61 zł </w:t>
            </w:r>
          </w:p>
        </w:tc>
        <w:tc>
          <w:tcPr>
            <w:tcW w:w="850" w:type="dxa"/>
            <w:vMerge/>
            <w:hideMark/>
          </w:tcPr>
          <w:p w14:paraId="435F993A"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5862D19"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77CE88E"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1DF26C93"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€ 2 074,33 </w:t>
            </w:r>
          </w:p>
        </w:tc>
        <w:tc>
          <w:tcPr>
            <w:tcW w:w="851" w:type="dxa"/>
            <w:noWrap/>
            <w:vAlign w:val="bottom"/>
            <w:hideMark/>
          </w:tcPr>
          <w:p w14:paraId="783C06D6"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27353</w:t>
            </w:r>
          </w:p>
        </w:tc>
        <w:tc>
          <w:tcPr>
            <w:tcW w:w="982" w:type="dxa"/>
            <w:noWrap/>
            <w:vAlign w:val="bottom"/>
            <w:hideMark/>
          </w:tcPr>
          <w:p w14:paraId="31DF2BDD"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99168</w:t>
            </w:r>
          </w:p>
        </w:tc>
        <w:tc>
          <w:tcPr>
            <w:tcW w:w="962" w:type="dxa"/>
            <w:noWrap/>
            <w:vAlign w:val="bottom"/>
            <w:hideMark/>
          </w:tcPr>
          <w:p w14:paraId="59A29B5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356%</w:t>
            </w:r>
          </w:p>
        </w:tc>
      </w:tr>
      <w:tr w:rsidR="008B4A53" w:rsidRPr="001C7E6A" w14:paraId="02792B44" w14:textId="77777777" w:rsidTr="00593B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4056FEE0"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647CBA94"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w których pracowanie przedmiotowe wykorzystują doposażenie do prowadzenia zajęć edukacyjnych</w:t>
            </w:r>
          </w:p>
        </w:tc>
        <w:tc>
          <w:tcPr>
            <w:tcW w:w="850" w:type="dxa"/>
            <w:noWrap/>
            <w:hideMark/>
          </w:tcPr>
          <w:p w14:paraId="200EAC7D"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662</w:t>
            </w:r>
          </w:p>
        </w:tc>
        <w:tc>
          <w:tcPr>
            <w:tcW w:w="709" w:type="dxa"/>
            <w:noWrap/>
            <w:hideMark/>
          </w:tcPr>
          <w:p w14:paraId="6DFC0063"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148</w:t>
            </w:r>
          </w:p>
        </w:tc>
        <w:tc>
          <w:tcPr>
            <w:tcW w:w="709" w:type="dxa"/>
            <w:noWrap/>
            <w:hideMark/>
          </w:tcPr>
          <w:p w14:paraId="77A7D304"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447%</w:t>
            </w:r>
          </w:p>
        </w:tc>
        <w:tc>
          <w:tcPr>
            <w:tcW w:w="850" w:type="dxa"/>
            <w:noWrap/>
            <w:hideMark/>
          </w:tcPr>
          <w:p w14:paraId="7C5746CC"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3B43F42D"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8FB23C3"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967 615,93 zł </w:t>
            </w:r>
          </w:p>
        </w:tc>
        <w:tc>
          <w:tcPr>
            <w:tcW w:w="850" w:type="dxa"/>
            <w:vMerge/>
            <w:hideMark/>
          </w:tcPr>
          <w:p w14:paraId="1597B946"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8AB6634"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27CC66F"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7D57FBE"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€225 026,96 </w:t>
            </w:r>
          </w:p>
        </w:tc>
        <w:tc>
          <w:tcPr>
            <w:tcW w:w="851" w:type="dxa"/>
            <w:noWrap/>
            <w:vAlign w:val="bottom"/>
            <w:hideMark/>
          </w:tcPr>
          <w:p w14:paraId="049279B0"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252</w:t>
            </w:r>
          </w:p>
        </w:tc>
        <w:tc>
          <w:tcPr>
            <w:tcW w:w="982" w:type="dxa"/>
            <w:noWrap/>
            <w:vAlign w:val="bottom"/>
            <w:hideMark/>
          </w:tcPr>
          <w:p w14:paraId="02530A5E"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914</w:t>
            </w:r>
          </w:p>
        </w:tc>
        <w:tc>
          <w:tcPr>
            <w:tcW w:w="962" w:type="dxa"/>
            <w:noWrap/>
            <w:vAlign w:val="bottom"/>
            <w:hideMark/>
          </w:tcPr>
          <w:p w14:paraId="46C158D1"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618%</w:t>
            </w:r>
          </w:p>
        </w:tc>
      </w:tr>
      <w:tr w:rsidR="00357502" w:rsidRPr="001C7E6A" w14:paraId="5193F001" w14:textId="77777777" w:rsidTr="00E24BD3">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7D7D71F1"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50892B21"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i placówek systemu oświaty wykorzystujących sprzęt TIK do prowadzenia zajęć edukacyjnych</w:t>
            </w:r>
          </w:p>
        </w:tc>
        <w:tc>
          <w:tcPr>
            <w:tcW w:w="850" w:type="dxa"/>
            <w:noWrap/>
            <w:hideMark/>
          </w:tcPr>
          <w:p w14:paraId="3948763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753</w:t>
            </w:r>
          </w:p>
        </w:tc>
        <w:tc>
          <w:tcPr>
            <w:tcW w:w="709" w:type="dxa"/>
            <w:noWrap/>
            <w:hideMark/>
          </w:tcPr>
          <w:p w14:paraId="2BEC050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155</w:t>
            </w:r>
          </w:p>
        </w:tc>
        <w:tc>
          <w:tcPr>
            <w:tcW w:w="709" w:type="dxa"/>
            <w:noWrap/>
            <w:hideMark/>
          </w:tcPr>
          <w:p w14:paraId="1889D0B6"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486%</w:t>
            </w:r>
          </w:p>
        </w:tc>
        <w:tc>
          <w:tcPr>
            <w:tcW w:w="850" w:type="dxa"/>
            <w:noWrap/>
            <w:hideMark/>
          </w:tcPr>
          <w:p w14:paraId="7A18908F"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B6EB1DE"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0AA4521"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850 679,61 zł </w:t>
            </w:r>
          </w:p>
        </w:tc>
        <w:tc>
          <w:tcPr>
            <w:tcW w:w="850" w:type="dxa"/>
            <w:vMerge/>
            <w:hideMark/>
          </w:tcPr>
          <w:p w14:paraId="1F2AAE4D"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36D7300"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58E1A0BA"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2DFD9E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€197 832,47 </w:t>
            </w:r>
          </w:p>
        </w:tc>
        <w:tc>
          <w:tcPr>
            <w:tcW w:w="851" w:type="dxa"/>
            <w:noWrap/>
            <w:vAlign w:val="bottom"/>
            <w:hideMark/>
          </w:tcPr>
          <w:p w14:paraId="40B881E9"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287</w:t>
            </w:r>
          </w:p>
        </w:tc>
        <w:tc>
          <w:tcPr>
            <w:tcW w:w="982" w:type="dxa"/>
            <w:noWrap/>
            <w:vAlign w:val="bottom"/>
            <w:hideMark/>
          </w:tcPr>
          <w:p w14:paraId="015CAA8E"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1040</w:t>
            </w:r>
          </w:p>
        </w:tc>
        <w:tc>
          <w:tcPr>
            <w:tcW w:w="962" w:type="dxa"/>
            <w:noWrap/>
            <w:vAlign w:val="bottom"/>
            <w:hideMark/>
          </w:tcPr>
          <w:p w14:paraId="5B07B41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671%</w:t>
            </w:r>
          </w:p>
        </w:tc>
      </w:tr>
      <w:tr w:rsidR="008B4A53" w:rsidRPr="001C7E6A" w14:paraId="0148FE5E" w14:textId="77777777" w:rsidTr="00593B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336B3706"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332AA0CB"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o niskich kwalifikacjach objętych wsparciem w programie</w:t>
            </w:r>
          </w:p>
        </w:tc>
        <w:tc>
          <w:tcPr>
            <w:tcW w:w="850" w:type="dxa"/>
            <w:noWrap/>
            <w:hideMark/>
          </w:tcPr>
          <w:p w14:paraId="05676DC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16241</w:t>
            </w:r>
          </w:p>
        </w:tc>
        <w:tc>
          <w:tcPr>
            <w:tcW w:w="709" w:type="dxa"/>
            <w:noWrap/>
            <w:hideMark/>
          </w:tcPr>
          <w:p w14:paraId="6BEA4F11"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15412</w:t>
            </w:r>
          </w:p>
        </w:tc>
        <w:tc>
          <w:tcPr>
            <w:tcW w:w="709" w:type="dxa"/>
            <w:noWrap/>
            <w:hideMark/>
          </w:tcPr>
          <w:p w14:paraId="16E823BB"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105%</w:t>
            </w:r>
          </w:p>
        </w:tc>
        <w:tc>
          <w:tcPr>
            <w:tcW w:w="850" w:type="dxa"/>
            <w:noWrap/>
            <w:hideMark/>
          </w:tcPr>
          <w:p w14:paraId="62AF8DC8"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03DF0B20"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EBA7975"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39 441,03 zł </w:t>
            </w:r>
          </w:p>
        </w:tc>
        <w:tc>
          <w:tcPr>
            <w:tcW w:w="850" w:type="dxa"/>
            <w:vMerge/>
            <w:hideMark/>
          </w:tcPr>
          <w:p w14:paraId="72D2452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7B31C1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7D48959C"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4A06EEA"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€ 9 172,33 </w:t>
            </w:r>
          </w:p>
        </w:tc>
        <w:tc>
          <w:tcPr>
            <w:tcW w:w="851" w:type="dxa"/>
            <w:noWrap/>
            <w:vAlign w:val="bottom"/>
            <w:hideMark/>
          </w:tcPr>
          <w:p w14:paraId="79CC00EA"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6186</w:t>
            </w:r>
          </w:p>
        </w:tc>
        <w:tc>
          <w:tcPr>
            <w:tcW w:w="982" w:type="dxa"/>
            <w:noWrap/>
            <w:vAlign w:val="bottom"/>
            <w:hideMark/>
          </w:tcPr>
          <w:p w14:paraId="224BFF28"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22427</w:t>
            </w:r>
          </w:p>
        </w:tc>
        <w:tc>
          <w:tcPr>
            <w:tcW w:w="962" w:type="dxa"/>
            <w:noWrap/>
            <w:vAlign w:val="bottom"/>
            <w:hideMark/>
          </w:tcPr>
          <w:p w14:paraId="5888559B"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146%</w:t>
            </w:r>
          </w:p>
        </w:tc>
      </w:tr>
      <w:tr w:rsidR="00357502" w:rsidRPr="001C7E6A" w14:paraId="6C384D01" w14:textId="77777777" w:rsidTr="00E24BD3">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68531491"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5648F643"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w wieku 50 lat i więcej objętych wsparciem w programie</w:t>
            </w:r>
          </w:p>
        </w:tc>
        <w:tc>
          <w:tcPr>
            <w:tcW w:w="850" w:type="dxa"/>
            <w:noWrap/>
            <w:hideMark/>
          </w:tcPr>
          <w:p w14:paraId="481C49B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5879</w:t>
            </w:r>
          </w:p>
        </w:tc>
        <w:tc>
          <w:tcPr>
            <w:tcW w:w="709" w:type="dxa"/>
            <w:noWrap/>
            <w:hideMark/>
          </w:tcPr>
          <w:p w14:paraId="00460353"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3626</w:t>
            </w:r>
          </w:p>
        </w:tc>
        <w:tc>
          <w:tcPr>
            <w:tcW w:w="709" w:type="dxa"/>
            <w:noWrap/>
            <w:hideMark/>
          </w:tcPr>
          <w:p w14:paraId="18FA3FF3"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162%</w:t>
            </w:r>
          </w:p>
        </w:tc>
        <w:tc>
          <w:tcPr>
            <w:tcW w:w="850" w:type="dxa"/>
            <w:noWrap/>
            <w:hideMark/>
          </w:tcPr>
          <w:p w14:paraId="53741AFB"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283BDEE4"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BE2965D"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108 957,60 zł </w:t>
            </w:r>
          </w:p>
        </w:tc>
        <w:tc>
          <w:tcPr>
            <w:tcW w:w="850" w:type="dxa"/>
            <w:vMerge/>
            <w:hideMark/>
          </w:tcPr>
          <w:p w14:paraId="5EAF36D7"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2D7B3C5"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281841FE"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45A8744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€25 338,98 </w:t>
            </w:r>
          </w:p>
        </w:tc>
        <w:tc>
          <w:tcPr>
            <w:tcW w:w="851" w:type="dxa"/>
            <w:noWrap/>
            <w:vAlign w:val="bottom"/>
            <w:hideMark/>
          </w:tcPr>
          <w:p w14:paraId="6A82CCAB"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2239</w:t>
            </w:r>
          </w:p>
        </w:tc>
        <w:tc>
          <w:tcPr>
            <w:tcW w:w="982" w:type="dxa"/>
            <w:noWrap/>
            <w:vAlign w:val="bottom"/>
            <w:hideMark/>
          </w:tcPr>
          <w:p w14:paraId="36F2B16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8118</w:t>
            </w:r>
          </w:p>
        </w:tc>
        <w:tc>
          <w:tcPr>
            <w:tcW w:w="962" w:type="dxa"/>
            <w:noWrap/>
            <w:vAlign w:val="bottom"/>
            <w:hideMark/>
          </w:tcPr>
          <w:p w14:paraId="178BE0B5"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224%</w:t>
            </w:r>
          </w:p>
        </w:tc>
      </w:tr>
      <w:tr w:rsidR="008B4A53" w:rsidRPr="001C7E6A" w14:paraId="3AD6E305" w14:textId="77777777" w:rsidTr="00593B77">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41" w:type="dxa"/>
            <w:noWrap/>
            <w:hideMark/>
          </w:tcPr>
          <w:p w14:paraId="46EF039E"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5A6A9FBC"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w wieku 25 lat i więcej objętych wsparciem w programie</w:t>
            </w:r>
          </w:p>
        </w:tc>
        <w:tc>
          <w:tcPr>
            <w:tcW w:w="850" w:type="dxa"/>
            <w:noWrap/>
            <w:hideMark/>
          </w:tcPr>
          <w:p w14:paraId="477ED93F"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26435</w:t>
            </w:r>
          </w:p>
        </w:tc>
        <w:tc>
          <w:tcPr>
            <w:tcW w:w="709" w:type="dxa"/>
            <w:noWrap/>
            <w:hideMark/>
          </w:tcPr>
          <w:p w14:paraId="68611994"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14506</w:t>
            </w:r>
          </w:p>
        </w:tc>
        <w:tc>
          <w:tcPr>
            <w:tcW w:w="709" w:type="dxa"/>
            <w:noWrap/>
            <w:hideMark/>
          </w:tcPr>
          <w:p w14:paraId="701F3ED8"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182%</w:t>
            </w:r>
          </w:p>
        </w:tc>
        <w:tc>
          <w:tcPr>
            <w:tcW w:w="850" w:type="dxa"/>
            <w:noWrap/>
            <w:hideMark/>
          </w:tcPr>
          <w:p w14:paraId="79BADCE0"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0B879AF"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020EF3E"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24 231,58 zł </w:t>
            </w:r>
          </w:p>
        </w:tc>
        <w:tc>
          <w:tcPr>
            <w:tcW w:w="850" w:type="dxa"/>
            <w:vMerge/>
            <w:hideMark/>
          </w:tcPr>
          <w:p w14:paraId="5A86C7A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FA56ED6"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0899F18B"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14D4274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€ 5 635,25 </w:t>
            </w:r>
          </w:p>
        </w:tc>
        <w:tc>
          <w:tcPr>
            <w:tcW w:w="851" w:type="dxa"/>
            <w:noWrap/>
            <w:vAlign w:val="bottom"/>
            <w:hideMark/>
          </w:tcPr>
          <w:p w14:paraId="29F2C693"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10069</w:t>
            </w:r>
          </w:p>
        </w:tc>
        <w:tc>
          <w:tcPr>
            <w:tcW w:w="982" w:type="dxa"/>
            <w:noWrap/>
            <w:vAlign w:val="bottom"/>
            <w:hideMark/>
          </w:tcPr>
          <w:p w14:paraId="61B8C6B3"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36504</w:t>
            </w:r>
          </w:p>
        </w:tc>
        <w:tc>
          <w:tcPr>
            <w:tcW w:w="962" w:type="dxa"/>
            <w:noWrap/>
            <w:vAlign w:val="bottom"/>
            <w:hideMark/>
          </w:tcPr>
          <w:p w14:paraId="08AB9DF1"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252%</w:t>
            </w:r>
          </w:p>
        </w:tc>
      </w:tr>
      <w:tr w:rsidR="00357502" w:rsidRPr="001C7E6A" w14:paraId="5F81C4E5" w14:textId="77777777" w:rsidTr="00E24BD3">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60D000B2"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26B78A40"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o niskich kwalifikacjach, które uzyskały lub nabyły kompetencje po opuszczeniu programu</w:t>
            </w:r>
          </w:p>
        </w:tc>
        <w:tc>
          <w:tcPr>
            <w:tcW w:w="850" w:type="dxa"/>
            <w:noWrap/>
            <w:hideMark/>
          </w:tcPr>
          <w:p w14:paraId="6A3F8E11"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11750</w:t>
            </w:r>
          </w:p>
        </w:tc>
        <w:tc>
          <w:tcPr>
            <w:tcW w:w="709" w:type="dxa"/>
            <w:noWrap/>
            <w:hideMark/>
          </w:tcPr>
          <w:p w14:paraId="233A13B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9247</w:t>
            </w:r>
          </w:p>
        </w:tc>
        <w:tc>
          <w:tcPr>
            <w:tcW w:w="709" w:type="dxa"/>
            <w:noWrap/>
            <w:hideMark/>
          </w:tcPr>
          <w:p w14:paraId="06124E43"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127%</w:t>
            </w:r>
          </w:p>
        </w:tc>
        <w:tc>
          <w:tcPr>
            <w:tcW w:w="850" w:type="dxa"/>
            <w:noWrap/>
            <w:hideMark/>
          </w:tcPr>
          <w:p w14:paraId="07511578"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4CB147C1"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481A8291"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54 515,89 zł </w:t>
            </w:r>
          </w:p>
        </w:tc>
        <w:tc>
          <w:tcPr>
            <w:tcW w:w="850" w:type="dxa"/>
            <w:vMerge/>
            <w:hideMark/>
          </w:tcPr>
          <w:p w14:paraId="3C0FCB25"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4F1157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FD0896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2E354B0E"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€12 678,11 </w:t>
            </w:r>
          </w:p>
        </w:tc>
        <w:tc>
          <w:tcPr>
            <w:tcW w:w="851" w:type="dxa"/>
            <w:noWrap/>
            <w:vAlign w:val="bottom"/>
            <w:hideMark/>
          </w:tcPr>
          <w:p w14:paraId="4D8D28E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4475</w:t>
            </w:r>
          </w:p>
        </w:tc>
        <w:tc>
          <w:tcPr>
            <w:tcW w:w="982" w:type="dxa"/>
            <w:noWrap/>
            <w:vAlign w:val="bottom"/>
            <w:hideMark/>
          </w:tcPr>
          <w:p w14:paraId="3B68324A"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16225</w:t>
            </w:r>
          </w:p>
        </w:tc>
        <w:tc>
          <w:tcPr>
            <w:tcW w:w="962" w:type="dxa"/>
            <w:noWrap/>
            <w:vAlign w:val="bottom"/>
            <w:hideMark/>
          </w:tcPr>
          <w:p w14:paraId="275E1614"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175%</w:t>
            </w:r>
          </w:p>
        </w:tc>
      </w:tr>
      <w:tr w:rsidR="008B4A53" w:rsidRPr="001C7E6A" w14:paraId="025F0568" w14:textId="77777777" w:rsidTr="00593B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106B77E9"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05E3DCA5"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w wieku 50 lat i więcej, które uzyskały kwalifikacje lub nabyły kompetencje po opuszczeniu programu</w:t>
            </w:r>
          </w:p>
        </w:tc>
        <w:tc>
          <w:tcPr>
            <w:tcW w:w="850" w:type="dxa"/>
            <w:noWrap/>
            <w:hideMark/>
          </w:tcPr>
          <w:p w14:paraId="119465DC"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4266</w:t>
            </w:r>
          </w:p>
        </w:tc>
        <w:tc>
          <w:tcPr>
            <w:tcW w:w="709" w:type="dxa"/>
            <w:noWrap/>
            <w:hideMark/>
          </w:tcPr>
          <w:p w14:paraId="05145A14"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2176</w:t>
            </w:r>
          </w:p>
        </w:tc>
        <w:tc>
          <w:tcPr>
            <w:tcW w:w="709" w:type="dxa"/>
            <w:noWrap/>
            <w:hideMark/>
          </w:tcPr>
          <w:p w14:paraId="78D06ABC"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196%</w:t>
            </w:r>
          </w:p>
        </w:tc>
        <w:tc>
          <w:tcPr>
            <w:tcW w:w="850" w:type="dxa"/>
            <w:noWrap/>
            <w:hideMark/>
          </w:tcPr>
          <w:p w14:paraId="6E9B9459"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61970374"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96C7358"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150 155,12 zł </w:t>
            </w:r>
          </w:p>
        </w:tc>
        <w:tc>
          <w:tcPr>
            <w:tcW w:w="850" w:type="dxa"/>
            <w:vMerge/>
            <w:hideMark/>
          </w:tcPr>
          <w:p w14:paraId="509200FC"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C3CB3DE"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0FCD09D8"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47FF4DCE"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€34 919,80 </w:t>
            </w:r>
          </w:p>
        </w:tc>
        <w:tc>
          <w:tcPr>
            <w:tcW w:w="851" w:type="dxa"/>
            <w:noWrap/>
            <w:vAlign w:val="bottom"/>
            <w:hideMark/>
          </w:tcPr>
          <w:p w14:paraId="2858A35E"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1625</w:t>
            </w:r>
          </w:p>
        </w:tc>
        <w:tc>
          <w:tcPr>
            <w:tcW w:w="982" w:type="dxa"/>
            <w:noWrap/>
            <w:vAlign w:val="bottom"/>
            <w:hideMark/>
          </w:tcPr>
          <w:p w14:paraId="6B800438"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5891</w:t>
            </w:r>
          </w:p>
        </w:tc>
        <w:tc>
          <w:tcPr>
            <w:tcW w:w="962" w:type="dxa"/>
            <w:noWrap/>
            <w:vAlign w:val="bottom"/>
            <w:hideMark/>
          </w:tcPr>
          <w:p w14:paraId="292EC597"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271%</w:t>
            </w:r>
          </w:p>
        </w:tc>
      </w:tr>
      <w:tr w:rsidR="00357502" w:rsidRPr="001C7E6A" w14:paraId="2A770C74" w14:textId="77777777" w:rsidTr="00E24BD3">
        <w:trPr>
          <w:trHeight w:val="360"/>
        </w:trPr>
        <w:tc>
          <w:tcPr>
            <w:cnfStyle w:val="001000000000" w:firstRow="0" w:lastRow="0" w:firstColumn="1" w:lastColumn="0" w:oddVBand="0" w:evenVBand="0" w:oddHBand="0" w:evenHBand="0" w:firstRowFirstColumn="0" w:firstRowLastColumn="0" w:lastRowFirstColumn="0" w:lastRowLastColumn="0"/>
            <w:tcW w:w="941" w:type="dxa"/>
            <w:noWrap/>
            <w:hideMark/>
          </w:tcPr>
          <w:p w14:paraId="125F0834"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62CA66D1"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Liczba osób w wieku 25 lat i więcej, które uzyskały kwalifikacje lub nabyły kompetencje po opuszczeniu </w:t>
            </w:r>
          </w:p>
        </w:tc>
        <w:tc>
          <w:tcPr>
            <w:tcW w:w="850" w:type="dxa"/>
            <w:noWrap/>
            <w:hideMark/>
          </w:tcPr>
          <w:p w14:paraId="09D74C0D"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19154</w:t>
            </w:r>
          </w:p>
        </w:tc>
        <w:tc>
          <w:tcPr>
            <w:tcW w:w="709" w:type="dxa"/>
            <w:noWrap/>
            <w:hideMark/>
          </w:tcPr>
          <w:p w14:paraId="238D465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8704</w:t>
            </w:r>
          </w:p>
        </w:tc>
        <w:tc>
          <w:tcPr>
            <w:tcW w:w="709" w:type="dxa"/>
            <w:noWrap/>
            <w:hideMark/>
          </w:tcPr>
          <w:p w14:paraId="7DCF8915"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220%</w:t>
            </w:r>
          </w:p>
        </w:tc>
        <w:tc>
          <w:tcPr>
            <w:tcW w:w="850" w:type="dxa"/>
            <w:noWrap/>
            <w:hideMark/>
          </w:tcPr>
          <w:p w14:paraId="1DCAEDE8"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0D1599C0"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0B824A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33 442,71 zł </w:t>
            </w:r>
          </w:p>
        </w:tc>
        <w:tc>
          <w:tcPr>
            <w:tcW w:w="850" w:type="dxa"/>
            <w:vMerge/>
            <w:hideMark/>
          </w:tcPr>
          <w:p w14:paraId="03621214"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45C37B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0D27F5C"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66CCD61"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€ 7 777,38 </w:t>
            </w:r>
          </w:p>
        </w:tc>
        <w:tc>
          <w:tcPr>
            <w:tcW w:w="851" w:type="dxa"/>
            <w:noWrap/>
            <w:vAlign w:val="bottom"/>
            <w:hideMark/>
          </w:tcPr>
          <w:p w14:paraId="770FDDB9"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7295</w:t>
            </w:r>
          </w:p>
        </w:tc>
        <w:tc>
          <w:tcPr>
            <w:tcW w:w="982" w:type="dxa"/>
            <w:noWrap/>
            <w:vAlign w:val="bottom"/>
            <w:hideMark/>
          </w:tcPr>
          <w:p w14:paraId="36B9FA1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26449</w:t>
            </w:r>
          </w:p>
        </w:tc>
        <w:tc>
          <w:tcPr>
            <w:tcW w:w="962" w:type="dxa"/>
            <w:noWrap/>
            <w:vAlign w:val="bottom"/>
            <w:hideMark/>
          </w:tcPr>
          <w:p w14:paraId="17BC362D"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304%</w:t>
            </w:r>
          </w:p>
        </w:tc>
      </w:tr>
      <w:tr w:rsidR="008B4A53" w:rsidRPr="001C7E6A" w14:paraId="65E38480" w14:textId="77777777" w:rsidTr="00593B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34258925"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1F0B2377"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szkół i placówek kształcenia zawodowego uczestniczących w stażach i praktykach u pracodawcy</w:t>
            </w:r>
          </w:p>
        </w:tc>
        <w:tc>
          <w:tcPr>
            <w:tcW w:w="850" w:type="dxa"/>
            <w:noWrap/>
            <w:hideMark/>
          </w:tcPr>
          <w:p w14:paraId="095C499A"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13401</w:t>
            </w:r>
          </w:p>
        </w:tc>
        <w:tc>
          <w:tcPr>
            <w:tcW w:w="709" w:type="dxa"/>
            <w:noWrap/>
            <w:hideMark/>
          </w:tcPr>
          <w:p w14:paraId="3480435B"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6066</w:t>
            </w:r>
          </w:p>
        </w:tc>
        <w:tc>
          <w:tcPr>
            <w:tcW w:w="709" w:type="dxa"/>
            <w:noWrap/>
            <w:hideMark/>
          </w:tcPr>
          <w:p w14:paraId="37A4CC8E"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221%</w:t>
            </w:r>
          </w:p>
        </w:tc>
        <w:tc>
          <w:tcPr>
            <w:tcW w:w="850" w:type="dxa"/>
            <w:noWrap/>
            <w:hideMark/>
          </w:tcPr>
          <w:p w14:paraId="48483CE6"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655312D"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5D4C5B38"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47 799,55 zł </w:t>
            </w:r>
          </w:p>
        </w:tc>
        <w:tc>
          <w:tcPr>
            <w:tcW w:w="850" w:type="dxa"/>
            <w:vMerge/>
            <w:hideMark/>
          </w:tcPr>
          <w:p w14:paraId="5554654F"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21BF6C1B"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7A30A9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54D956CF"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€11 116,17 </w:t>
            </w:r>
          </w:p>
        </w:tc>
        <w:tc>
          <w:tcPr>
            <w:tcW w:w="851" w:type="dxa"/>
            <w:noWrap/>
            <w:vAlign w:val="bottom"/>
            <w:hideMark/>
          </w:tcPr>
          <w:p w14:paraId="30E41FE3"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5104</w:t>
            </w:r>
          </w:p>
        </w:tc>
        <w:tc>
          <w:tcPr>
            <w:tcW w:w="982" w:type="dxa"/>
            <w:noWrap/>
            <w:vAlign w:val="bottom"/>
            <w:hideMark/>
          </w:tcPr>
          <w:p w14:paraId="3AA81564"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18505</w:t>
            </w:r>
          </w:p>
        </w:tc>
        <w:tc>
          <w:tcPr>
            <w:tcW w:w="962" w:type="dxa"/>
            <w:noWrap/>
            <w:vAlign w:val="bottom"/>
            <w:hideMark/>
          </w:tcPr>
          <w:p w14:paraId="5D49739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305%</w:t>
            </w:r>
          </w:p>
        </w:tc>
      </w:tr>
      <w:tr w:rsidR="00357502" w:rsidRPr="001C7E6A" w14:paraId="5A0C7D2E" w14:textId="77777777" w:rsidTr="00E24BD3">
        <w:trPr>
          <w:trHeight w:val="114"/>
        </w:trPr>
        <w:tc>
          <w:tcPr>
            <w:cnfStyle w:val="001000000000" w:firstRow="0" w:lastRow="0" w:firstColumn="1" w:lastColumn="0" w:oddVBand="0" w:evenVBand="0" w:oddHBand="0" w:evenHBand="0" w:firstRowFirstColumn="0" w:firstRowLastColumn="0" w:lastRowFirstColumn="0" w:lastRowLastColumn="0"/>
            <w:tcW w:w="941" w:type="dxa"/>
            <w:noWrap/>
            <w:hideMark/>
          </w:tcPr>
          <w:p w14:paraId="645F01E2"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11.3</w:t>
            </w:r>
          </w:p>
        </w:tc>
        <w:tc>
          <w:tcPr>
            <w:tcW w:w="3880" w:type="dxa"/>
            <w:hideMark/>
          </w:tcPr>
          <w:p w14:paraId="2BD81DB5"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uczestniczących w pozaszkolnych formach kształcenia w programie</w:t>
            </w:r>
          </w:p>
        </w:tc>
        <w:tc>
          <w:tcPr>
            <w:tcW w:w="850" w:type="dxa"/>
            <w:noWrap/>
            <w:hideMark/>
          </w:tcPr>
          <w:p w14:paraId="1CF8841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37597</w:t>
            </w:r>
          </w:p>
        </w:tc>
        <w:tc>
          <w:tcPr>
            <w:tcW w:w="709" w:type="dxa"/>
            <w:noWrap/>
            <w:hideMark/>
          </w:tcPr>
          <w:p w14:paraId="04F0504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4729</w:t>
            </w:r>
          </w:p>
        </w:tc>
        <w:tc>
          <w:tcPr>
            <w:tcW w:w="709" w:type="dxa"/>
            <w:noWrap/>
            <w:hideMark/>
          </w:tcPr>
          <w:p w14:paraId="12459409"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795%</w:t>
            </w:r>
          </w:p>
        </w:tc>
        <w:tc>
          <w:tcPr>
            <w:tcW w:w="850" w:type="dxa"/>
            <w:noWrap/>
            <w:hideMark/>
          </w:tcPr>
          <w:p w14:paraId="124CCCA1"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2752E82C"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2A1B5DA"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17 037,58 zł </w:t>
            </w:r>
          </w:p>
        </w:tc>
        <w:tc>
          <w:tcPr>
            <w:tcW w:w="850" w:type="dxa"/>
            <w:vMerge/>
            <w:hideMark/>
          </w:tcPr>
          <w:p w14:paraId="00CA4C2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BD94E56"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0A9F19FB"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14B45E05"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€ 3 962,23 </w:t>
            </w:r>
          </w:p>
        </w:tc>
        <w:tc>
          <w:tcPr>
            <w:tcW w:w="851" w:type="dxa"/>
            <w:noWrap/>
            <w:vAlign w:val="bottom"/>
            <w:hideMark/>
          </w:tcPr>
          <w:p w14:paraId="6687A341"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14320</w:t>
            </w:r>
          </w:p>
        </w:tc>
        <w:tc>
          <w:tcPr>
            <w:tcW w:w="982" w:type="dxa"/>
            <w:noWrap/>
            <w:vAlign w:val="bottom"/>
            <w:hideMark/>
          </w:tcPr>
          <w:p w14:paraId="7C8EF2B7"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51917</w:t>
            </w:r>
          </w:p>
        </w:tc>
        <w:tc>
          <w:tcPr>
            <w:tcW w:w="962" w:type="dxa"/>
            <w:noWrap/>
            <w:vAlign w:val="bottom"/>
            <w:hideMark/>
          </w:tcPr>
          <w:p w14:paraId="13024B39"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1098%</w:t>
            </w:r>
          </w:p>
        </w:tc>
      </w:tr>
      <w:tr w:rsidR="008B4A53" w:rsidRPr="001C7E6A" w14:paraId="50784426" w14:textId="77777777" w:rsidTr="00593B77">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941" w:type="dxa"/>
            <w:noWrap/>
            <w:hideMark/>
          </w:tcPr>
          <w:p w14:paraId="2C2B45BF" w14:textId="77777777" w:rsidR="00915AF8" w:rsidRPr="00A13922" w:rsidRDefault="00915AF8"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11.3</w:t>
            </w:r>
          </w:p>
        </w:tc>
        <w:tc>
          <w:tcPr>
            <w:tcW w:w="3880" w:type="dxa"/>
            <w:hideMark/>
          </w:tcPr>
          <w:p w14:paraId="131F89C7" w14:textId="77777777" w:rsidR="00915AF8" w:rsidRPr="00A13922" w:rsidRDefault="00915AF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podmiotów realizujących zadania centrum kształcenia zawodowego i ustawicznego objętych wsparciem w programie</w:t>
            </w:r>
          </w:p>
        </w:tc>
        <w:tc>
          <w:tcPr>
            <w:tcW w:w="850" w:type="dxa"/>
            <w:noWrap/>
            <w:hideMark/>
          </w:tcPr>
          <w:p w14:paraId="3BF56585" w14:textId="77777777" w:rsidR="00915AF8" w:rsidRPr="00A13922" w:rsidRDefault="00915AF8"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w:t>
            </w:r>
          </w:p>
        </w:tc>
        <w:tc>
          <w:tcPr>
            <w:tcW w:w="709" w:type="dxa"/>
            <w:noWrap/>
            <w:hideMark/>
          </w:tcPr>
          <w:p w14:paraId="50446B11" w14:textId="77777777" w:rsidR="00915AF8" w:rsidRPr="00A13922" w:rsidRDefault="00915AF8"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2</w:t>
            </w:r>
          </w:p>
        </w:tc>
        <w:tc>
          <w:tcPr>
            <w:tcW w:w="709" w:type="dxa"/>
            <w:noWrap/>
            <w:hideMark/>
          </w:tcPr>
          <w:p w14:paraId="6BCC5D84" w14:textId="77777777" w:rsidR="00915AF8" w:rsidRPr="00A13922" w:rsidRDefault="00915AF8"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100</w:t>
            </w:r>
            <w:r w:rsidRPr="00A13922">
              <w:rPr>
                <w:rFonts w:ascii="Calibri" w:eastAsia="Times New Roman" w:hAnsi="Calibri" w:cs="Calibri"/>
                <w:color w:val="000000"/>
                <w:sz w:val="12"/>
                <w:szCs w:val="12"/>
                <w:lang w:eastAsia="pl-PL"/>
              </w:rPr>
              <w:t>%</w:t>
            </w:r>
          </w:p>
        </w:tc>
        <w:tc>
          <w:tcPr>
            <w:tcW w:w="850" w:type="dxa"/>
            <w:noWrap/>
            <w:hideMark/>
          </w:tcPr>
          <w:p w14:paraId="1A2C71D7" w14:textId="77777777" w:rsidR="00915AF8" w:rsidRPr="00A13922" w:rsidRDefault="00915AF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3617F356" w14:textId="77777777" w:rsidR="00915AF8" w:rsidRPr="00A13922" w:rsidRDefault="00915AF8"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4FDF06DA" w14:textId="77777777" w:rsidR="00915AF8" w:rsidRPr="00A13922" w:rsidRDefault="00915AF8"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320 280 871,50 zł </w:t>
            </w:r>
          </w:p>
        </w:tc>
        <w:tc>
          <w:tcPr>
            <w:tcW w:w="850" w:type="dxa"/>
            <w:vMerge/>
            <w:hideMark/>
          </w:tcPr>
          <w:p w14:paraId="3A16C684" w14:textId="77777777" w:rsidR="00915AF8" w:rsidRPr="00A13922" w:rsidRDefault="00915AF8"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6CA9052" w14:textId="77777777" w:rsidR="00915AF8" w:rsidRPr="00A13922" w:rsidRDefault="00915AF8"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740F4F83" w14:textId="77777777" w:rsidR="00915AF8" w:rsidRPr="00A13922" w:rsidRDefault="00915AF8"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0A6A3780" w14:textId="77777777" w:rsidR="00915AF8" w:rsidRPr="00A13922" w:rsidRDefault="00915AF8"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€74 483 923,60 </w:t>
            </w:r>
          </w:p>
        </w:tc>
        <w:tc>
          <w:tcPr>
            <w:tcW w:w="851" w:type="dxa"/>
            <w:noWrap/>
            <w:vAlign w:val="bottom"/>
            <w:hideMark/>
          </w:tcPr>
          <w:p w14:paraId="27DFD3FC" w14:textId="77777777" w:rsidR="00915AF8" w:rsidRPr="00A13922" w:rsidRDefault="00915AF8"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0</w:t>
            </w:r>
          </w:p>
        </w:tc>
        <w:tc>
          <w:tcPr>
            <w:tcW w:w="982" w:type="dxa"/>
            <w:noWrap/>
            <w:vAlign w:val="bottom"/>
            <w:hideMark/>
          </w:tcPr>
          <w:p w14:paraId="50D44403" w14:textId="77777777" w:rsidR="00915AF8" w:rsidRPr="00A13922" w:rsidRDefault="00915AF8"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w:t>
            </w:r>
          </w:p>
        </w:tc>
        <w:tc>
          <w:tcPr>
            <w:tcW w:w="962" w:type="dxa"/>
            <w:noWrap/>
            <w:vAlign w:val="bottom"/>
            <w:hideMark/>
          </w:tcPr>
          <w:p w14:paraId="7A41FC48" w14:textId="77777777" w:rsidR="00915AF8" w:rsidRPr="00A13922" w:rsidRDefault="00915AF8"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100%</w:t>
            </w:r>
          </w:p>
        </w:tc>
      </w:tr>
      <w:tr w:rsidR="00357502" w:rsidRPr="001C7E6A" w14:paraId="7D8A8210" w14:textId="77777777" w:rsidTr="00E24BD3">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30DB5885"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11.3</w:t>
            </w:r>
          </w:p>
        </w:tc>
        <w:tc>
          <w:tcPr>
            <w:tcW w:w="3880" w:type="dxa"/>
            <w:hideMark/>
          </w:tcPr>
          <w:p w14:paraId="69DFC3AD"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uczestniczących w szkolnych formach kształcenia w programie</w:t>
            </w:r>
          </w:p>
        </w:tc>
        <w:tc>
          <w:tcPr>
            <w:tcW w:w="850" w:type="dxa"/>
            <w:noWrap/>
            <w:hideMark/>
          </w:tcPr>
          <w:p w14:paraId="4862AA20"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250</w:t>
            </w:r>
          </w:p>
        </w:tc>
        <w:tc>
          <w:tcPr>
            <w:tcW w:w="709" w:type="dxa"/>
            <w:noWrap/>
            <w:hideMark/>
          </w:tcPr>
          <w:p w14:paraId="0C256525"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1804</w:t>
            </w:r>
          </w:p>
        </w:tc>
        <w:tc>
          <w:tcPr>
            <w:tcW w:w="709" w:type="dxa"/>
            <w:noWrap/>
            <w:hideMark/>
          </w:tcPr>
          <w:p w14:paraId="11A5F5EA"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w:t>
            </w:r>
          </w:p>
        </w:tc>
        <w:tc>
          <w:tcPr>
            <w:tcW w:w="850" w:type="dxa"/>
            <w:noWrap/>
            <w:hideMark/>
          </w:tcPr>
          <w:p w14:paraId="26D7D1B3"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1554</w:t>
            </w:r>
          </w:p>
        </w:tc>
        <w:tc>
          <w:tcPr>
            <w:tcW w:w="992" w:type="dxa"/>
            <w:vMerge/>
            <w:hideMark/>
          </w:tcPr>
          <w:p w14:paraId="409482A4"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C64936A"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2 562 246,97 zł </w:t>
            </w:r>
          </w:p>
        </w:tc>
        <w:tc>
          <w:tcPr>
            <w:tcW w:w="850" w:type="dxa"/>
            <w:vMerge/>
            <w:hideMark/>
          </w:tcPr>
          <w:p w14:paraId="5978081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CDA8E13"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1789728E"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0EFC6A9C"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€595 871,39 </w:t>
            </w:r>
          </w:p>
        </w:tc>
        <w:tc>
          <w:tcPr>
            <w:tcW w:w="851" w:type="dxa"/>
            <w:noWrap/>
            <w:vAlign w:val="bottom"/>
            <w:hideMark/>
          </w:tcPr>
          <w:p w14:paraId="04929EEB"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95</w:t>
            </w:r>
          </w:p>
        </w:tc>
        <w:tc>
          <w:tcPr>
            <w:tcW w:w="982" w:type="dxa"/>
            <w:noWrap/>
            <w:vAlign w:val="bottom"/>
            <w:hideMark/>
          </w:tcPr>
          <w:p w14:paraId="07E75259"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345</w:t>
            </w:r>
          </w:p>
        </w:tc>
        <w:tc>
          <w:tcPr>
            <w:tcW w:w="962" w:type="dxa"/>
            <w:noWrap/>
            <w:vAlign w:val="bottom"/>
            <w:hideMark/>
          </w:tcPr>
          <w:p w14:paraId="504EE3EB"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19%</w:t>
            </w:r>
          </w:p>
        </w:tc>
      </w:tr>
      <w:tr w:rsidR="008B4A53" w:rsidRPr="001C7E6A" w14:paraId="082003C7" w14:textId="77777777" w:rsidTr="00593B77">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941" w:type="dxa"/>
            <w:noWrap/>
            <w:hideMark/>
          </w:tcPr>
          <w:p w14:paraId="45AC9BE5"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09E5723E"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nauczycieli kształcenia zawodowego oraz instruktorów praktycznej nauki zawodu objętych wsparciem w programie</w:t>
            </w:r>
          </w:p>
        </w:tc>
        <w:tc>
          <w:tcPr>
            <w:tcW w:w="850" w:type="dxa"/>
            <w:noWrap/>
            <w:hideMark/>
          </w:tcPr>
          <w:p w14:paraId="425C6407"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1766</w:t>
            </w:r>
          </w:p>
        </w:tc>
        <w:tc>
          <w:tcPr>
            <w:tcW w:w="709" w:type="dxa"/>
            <w:noWrap/>
            <w:hideMark/>
          </w:tcPr>
          <w:p w14:paraId="6D764086"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269</w:t>
            </w:r>
          </w:p>
        </w:tc>
        <w:tc>
          <w:tcPr>
            <w:tcW w:w="709" w:type="dxa"/>
            <w:noWrap/>
            <w:hideMark/>
          </w:tcPr>
          <w:p w14:paraId="6C9648AB"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657%</w:t>
            </w:r>
          </w:p>
        </w:tc>
        <w:tc>
          <w:tcPr>
            <w:tcW w:w="850" w:type="dxa"/>
            <w:noWrap/>
            <w:hideMark/>
          </w:tcPr>
          <w:p w14:paraId="5C6EA8DA"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C50A038"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5C1F42D5"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362 718,99 zł </w:t>
            </w:r>
          </w:p>
        </w:tc>
        <w:tc>
          <w:tcPr>
            <w:tcW w:w="850" w:type="dxa"/>
            <w:vMerge/>
            <w:hideMark/>
          </w:tcPr>
          <w:p w14:paraId="3653D1F3"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8AA38AF"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54D708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46E20A63"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€84 353,25 </w:t>
            </w:r>
          </w:p>
        </w:tc>
        <w:tc>
          <w:tcPr>
            <w:tcW w:w="851" w:type="dxa"/>
            <w:noWrap/>
            <w:vAlign w:val="bottom"/>
            <w:hideMark/>
          </w:tcPr>
          <w:p w14:paraId="68B545AA"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673</w:t>
            </w:r>
          </w:p>
        </w:tc>
        <w:tc>
          <w:tcPr>
            <w:tcW w:w="982" w:type="dxa"/>
            <w:noWrap/>
            <w:vAlign w:val="bottom"/>
            <w:hideMark/>
          </w:tcPr>
          <w:p w14:paraId="0D3E7276"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2439</w:t>
            </w:r>
          </w:p>
        </w:tc>
        <w:tc>
          <w:tcPr>
            <w:tcW w:w="962" w:type="dxa"/>
            <w:noWrap/>
            <w:vAlign w:val="bottom"/>
            <w:hideMark/>
          </w:tcPr>
          <w:p w14:paraId="2FB9DB54"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907%</w:t>
            </w:r>
          </w:p>
        </w:tc>
      </w:tr>
      <w:tr w:rsidR="00357502" w:rsidRPr="001C7E6A" w14:paraId="562437CA" w14:textId="77777777" w:rsidTr="00E24BD3">
        <w:trPr>
          <w:trHeight w:val="209"/>
        </w:trPr>
        <w:tc>
          <w:tcPr>
            <w:cnfStyle w:val="001000000000" w:firstRow="0" w:lastRow="0" w:firstColumn="1" w:lastColumn="0" w:oddVBand="0" w:evenVBand="0" w:oddHBand="0" w:evenHBand="0" w:firstRowFirstColumn="0" w:firstRowLastColumn="0" w:lastRowFirstColumn="0" w:lastRowLastColumn="0"/>
            <w:tcW w:w="941" w:type="dxa"/>
            <w:noWrap/>
            <w:hideMark/>
          </w:tcPr>
          <w:p w14:paraId="4F3DB019"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0C99A1E0"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i placówek kształcenia zawodowego doposażonych w programie w sprzęt i materiały dydaktyczne niezbędne do realizacji kształcenia zawodowego</w:t>
            </w:r>
          </w:p>
        </w:tc>
        <w:tc>
          <w:tcPr>
            <w:tcW w:w="850" w:type="dxa"/>
            <w:noWrap/>
            <w:hideMark/>
          </w:tcPr>
          <w:p w14:paraId="7CE3CC56"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296</w:t>
            </w:r>
          </w:p>
        </w:tc>
        <w:tc>
          <w:tcPr>
            <w:tcW w:w="709" w:type="dxa"/>
            <w:noWrap/>
            <w:hideMark/>
          </w:tcPr>
          <w:p w14:paraId="4A2307C3"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67</w:t>
            </w:r>
          </w:p>
        </w:tc>
        <w:tc>
          <w:tcPr>
            <w:tcW w:w="709" w:type="dxa"/>
            <w:noWrap/>
            <w:hideMark/>
          </w:tcPr>
          <w:p w14:paraId="3CED9BE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442%</w:t>
            </w:r>
          </w:p>
        </w:tc>
        <w:tc>
          <w:tcPr>
            <w:tcW w:w="850" w:type="dxa"/>
            <w:noWrap/>
            <w:hideMark/>
          </w:tcPr>
          <w:p w14:paraId="0281F0FE"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4E06E31D"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943BB2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2 164 059,94 zł </w:t>
            </w:r>
          </w:p>
        </w:tc>
        <w:tc>
          <w:tcPr>
            <w:tcW w:w="850" w:type="dxa"/>
            <w:vMerge/>
            <w:hideMark/>
          </w:tcPr>
          <w:p w14:paraId="366EF1E7"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942E9C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770F86B4"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29AF9A8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€503 269,75 </w:t>
            </w:r>
          </w:p>
        </w:tc>
        <w:tc>
          <w:tcPr>
            <w:tcW w:w="851" w:type="dxa"/>
            <w:noWrap/>
            <w:vAlign w:val="bottom"/>
            <w:hideMark/>
          </w:tcPr>
          <w:p w14:paraId="50C91A7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113</w:t>
            </w:r>
          </w:p>
        </w:tc>
        <w:tc>
          <w:tcPr>
            <w:tcW w:w="982" w:type="dxa"/>
            <w:noWrap/>
            <w:vAlign w:val="bottom"/>
            <w:hideMark/>
          </w:tcPr>
          <w:p w14:paraId="4E09421D"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409</w:t>
            </w:r>
          </w:p>
        </w:tc>
        <w:tc>
          <w:tcPr>
            <w:tcW w:w="962" w:type="dxa"/>
            <w:noWrap/>
            <w:vAlign w:val="bottom"/>
            <w:hideMark/>
          </w:tcPr>
          <w:p w14:paraId="543A282D"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610%</w:t>
            </w:r>
          </w:p>
        </w:tc>
      </w:tr>
      <w:tr w:rsidR="008B4A53" w:rsidRPr="001C7E6A" w14:paraId="58E363A3" w14:textId="77777777" w:rsidTr="00593B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41" w:type="dxa"/>
            <w:noWrap/>
            <w:hideMark/>
          </w:tcPr>
          <w:p w14:paraId="467D1A5F"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48698E1F"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objętych wsparciem w zakresie rozwijania kompetencji kluczowych lub umiejętności uniwersalnych niezbędnych na rynku pracy w programie</w:t>
            </w:r>
          </w:p>
        </w:tc>
        <w:tc>
          <w:tcPr>
            <w:tcW w:w="850" w:type="dxa"/>
            <w:noWrap/>
            <w:hideMark/>
          </w:tcPr>
          <w:p w14:paraId="147E0C69"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455</w:t>
            </w:r>
          </w:p>
        </w:tc>
        <w:tc>
          <w:tcPr>
            <w:tcW w:w="709" w:type="dxa"/>
            <w:noWrap/>
            <w:hideMark/>
          </w:tcPr>
          <w:p w14:paraId="42AEE71E"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1897</w:t>
            </w:r>
          </w:p>
        </w:tc>
        <w:tc>
          <w:tcPr>
            <w:tcW w:w="709" w:type="dxa"/>
            <w:noWrap/>
            <w:hideMark/>
          </w:tcPr>
          <w:p w14:paraId="4AE554F8"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24%</w:t>
            </w:r>
          </w:p>
        </w:tc>
        <w:tc>
          <w:tcPr>
            <w:tcW w:w="850" w:type="dxa"/>
            <w:noWrap/>
            <w:hideMark/>
          </w:tcPr>
          <w:p w14:paraId="5AF99D96"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1442</w:t>
            </w:r>
          </w:p>
        </w:tc>
        <w:tc>
          <w:tcPr>
            <w:tcW w:w="992" w:type="dxa"/>
            <w:vMerge/>
            <w:hideMark/>
          </w:tcPr>
          <w:p w14:paraId="351F681F"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0EA44EE"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1 407 828,01 zł </w:t>
            </w:r>
          </w:p>
        </w:tc>
        <w:tc>
          <w:tcPr>
            <w:tcW w:w="850" w:type="dxa"/>
            <w:vMerge/>
            <w:hideMark/>
          </w:tcPr>
          <w:p w14:paraId="066325DF"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24B09376"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2515D93B"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523B6B39"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€327 401,86 </w:t>
            </w:r>
          </w:p>
        </w:tc>
        <w:tc>
          <w:tcPr>
            <w:tcW w:w="851" w:type="dxa"/>
            <w:noWrap/>
            <w:vAlign w:val="bottom"/>
            <w:hideMark/>
          </w:tcPr>
          <w:p w14:paraId="4C8D4BCA"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173</w:t>
            </w:r>
          </w:p>
        </w:tc>
        <w:tc>
          <w:tcPr>
            <w:tcW w:w="982" w:type="dxa"/>
            <w:noWrap/>
            <w:vAlign w:val="bottom"/>
            <w:hideMark/>
          </w:tcPr>
          <w:p w14:paraId="63A1554E"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628</w:t>
            </w:r>
          </w:p>
        </w:tc>
        <w:tc>
          <w:tcPr>
            <w:tcW w:w="962" w:type="dxa"/>
            <w:noWrap/>
            <w:vAlign w:val="bottom"/>
            <w:hideMark/>
          </w:tcPr>
          <w:p w14:paraId="3F5271C5"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33%</w:t>
            </w:r>
          </w:p>
        </w:tc>
      </w:tr>
      <w:tr w:rsidR="00357502" w:rsidRPr="001C7E6A" w14:paraId="53FE90A9" w14:textId="77777777" w:rsidTr="00E24BD3">
        <w:trPr>
          <w:trHeight w:val="122"/>
        </w:trPr>
        <w:tc>
          <w:tcPr>
            <w:cnfStyle w:val="001000000000" w:firstRow="0" w:lastRow="0" w:firstColumn="1" w:lastColumn="0" w:oddVBand="0" w:evenVBand="0" w:oddHBand="0" w:evenHBand="0" w:firstRowFirstColumn="0" w:firstRowLastColumn="0" w:lastRowFirstColumn="0" w:lastRowLastColumn="0"/>
            <w:tcW w:w="941" w:type="dxa"/>
            <w:noWrap/>
            <w:hideMark/>
          </w:tcPr>
          <w:p w14:paraId="26725296"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0AD70D53"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którzy nabyli kompetencje kluczowe lub umiejętności uniwersalne niezbędne na rynku pracy po opuszczeniu programu</w:t>
            </w:r>
          </w:p>
        </w:tc>
        <w:tc>
          <w:tcPr>
            <w:tcW w:w="850" w:type="dxa"/>
            <w:noWrap/>
            <w:hideMark/>
          </w:tcPr>
          <w:p w14:paraId="7726F1E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364</w:t>
            </w:r>
          </w:p>
        </w:tc>
        <w:tc>
          <w:tcPr>
            <w:tcW w:w="709" w:type="dxa"/>
            <w:noWrap/>
            <w:hideMark/>
          </w:tcPr>
          <w:p w14:paraId="2C1B396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1043</w:t>
            </w:r>
          </w:p>
        </w:tc>
        <w:tc>
          <w:tcPr>
            <w:tcW w:w="709" w:type="dxa"/>
            <w:noWrap/>
            <w:hideMark/>
          </w:tcPr>
          <w:p w14:paraId="2B771D6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35%</w:t>
            </w:r>
          </w:p>
        </w:tc>
        <w:tc>
          <w:tcPr>
            <w:tcW w:w="850" w:type="dxa"/>
            <w:noWrap/>
            <w:hideMark/>
          </w:tcPr>
          <w:p w14:paraId="13AF0C13"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679</w:t>
            </w:r>
          </w:p>
        </w:tc>
        <w:tc>
          <w:tcPr>
            <w:tcW w:w="992" w:type="dxa"/>
            <w:vMerge/>
            <w:hideMark/>
          </w:tcPr>
          <w:p w14:paraId="3D6EF5B7"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4D54BE3"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1 759 785,01 zł </w:t>
            </w:r>
          </w:p>
        </w:tc>
        <w:tc>
          <w:tcPr>
            <w:tcW w:w="850" w:type="dxa"/>
            <w:vMerge/>
            <w:hideMark/>
          </w:tcPr>
          <w:p w14:paraId="65CD3E9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DE65197"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57D4CC9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19B8D82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€409 252,33 </w:t>
            </w:r>
          </w:p>
        </w:tc>
        <w:tc>
          <w:tcPr>
            <w:tcW w:w="851" w:type="dxa"/>
            <w:noWrap/>
            <w:vAlign w:val="bottom"/>
            <w:hideMark/>
          </w:tcPr>
          <w:p w14:paraId="63492536"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139</w:t>
            </w:r>
          </w:p>
        </w:tc>
        <w:tc>
          <w:tcPr>
            <w:tcW w:w="982" w:type="dxa"/>
            <w:noWrap/>
            <w:vAlign w:val="bottom"/>
            <w:hideMark/>
          </w:tcPr>
          <w:p w14:paraId="082568AE"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503</w:t>
            </w:r>
          </w:p>
        </w:tc>
        <w:tc>
          <w:tcPr>
            <w:tcW w:w="962" w:type="dxa"/>
            <w:noWrap/>
            <w:vAlign w:val="bottom"/>
            <w:hideMark/>
          </w:tcPr>
          <w:p w14:paraId="1E2D8972"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48%</w:t>
            </w:r>
          </w:p>
        </w:tc>
      </w:tr>
      <w:tr w:rsidR="008B4A53" w:rsidRPr="001C7E6A" w14:paraId="7DFFF62D" w14:textId="77777777" w:rsidTr="00593B7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41" w:type="dxa"/>
            <w:noWrap/>
            <w:hideMark/>
          </w:tcPr>
          <w:p w14:paraId="680090B6"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11.3</w:t>
            </w:r>
          </w:p>
        </w:tc>
        <w:tc>
          <w:tcPr>
            <w:tcW w:w="3880" w:type="dxa"/>
            <w:hideMark/>
          </w:tcPr>
          <w:p w14:paraId="78BC96D7"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które uzyskały kwalifikacje w ramach pozaszkolnych form kształcenia</w:t>
            </w:r>
          </w:p>
        </w:tc>
        <w:tc>
          <w:tcPr>
            <w:tcW w:w="850" w:type="dxa"/>
            <w:noWrap/>
            <w:hideMark/>
          </w:tcPr>
          <w:p w14:paraId="75F3B88D"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30091</w:t>
            </w:r>
          </w:p>
        </w:tc>
        <w:tc>
          <w:tcPr>
            <w:tcW w:w="709" w:type="dxa"/>
            <w:noWrap/>
            <w:hideMark/>
          </w:tcPr>
          <w:p w14:paraId="21FC029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709</w:t>
            </w:r>
          </w:p>
        </w:tc>
        <w:tc>
          <w:tcPr>
            <w:tcW w:w="709" w:type="dxa"/>
            <w:noWrap/>
            <w:hideMark/>
          </w:tcPr>
          <w:p w14:paraId="5BFB4C91"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4244%</w:t>
            </w:r>
          </w:p>
        </w:tc>
        <w:tc>
          <w:tcPr>
            <w:tcW w:w="850" w:type="dxa"/>
            <w:noWrap/>
            <w:hideMark/>
          </w:tcPr>
          <w:p w14:paraId="52B532FD"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0C71E55C"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878BEE9"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21 287,49 zł </w:t>
            </w:r>
          </w:p>
        </w:tc>
        <w:tc>
          <w:tcPr>
            <w:tcW w:w="850" w:type="dxa"/>
            <w:vMerge/>
            <w:hideMark/>
          </w:tcPr>
          <w:p w14:paraId="1B40A4DF"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A01C9A5"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51A16F1F"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3930CA3C"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€ 4 950,58 </w:t>
            </w:r>
          </w:p>
        </w:tc>
        <w:tc>
          <w:tcPr>
            <w:tcW w:w="851" w:type="dxa"/>
            <w:noWrap/>
            <w:vAlign w:val="bottom"/>
            <w:hideMark/>
          </w:tcPr>
          <w:p w14:paraId="1FCB2EB3"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11461</w:t>
            </w:r>
          </w:p>
        </w:tc>
        <w:tc>
          <w:tcPr>
            <w:tcW w:w="982" w:type="dxa"/>
            <w:noWrap/>
            <w:vAlign w:val="bottom"/>
            <w:hideMark/>
          </w:tcPr>
          <w:p w14:paraId="50CB46C4"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41552</w:t>
            </w:r>
          </w:p>
        </w:tc>
        <w:tc>
          <w:tcPr>
            <w:tcW w:w="962" w:type="dxa"/>
            <w:noWrap/>
            <w:vAlign w:val="bottom"/>
            <w:hideMark/>
          </w:tcPr>
          <w:p w14:paraId="2166C0D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5861%</w:t>
            </w:r>
          </w:p>
        </w:tc>
      </w:tr>
      <w:tr w:rsidR="00357502" w:rsidRPr="001C7E6A" w14:paraId="1D254016" w14:textId="77777777" w:rsidTr="00E24BD3">
        <w:trPr>
          <w:trHeight w:val="147"/>
        </w:trPr>
        <w:tc>
          <w:tcPr>
            <w:cnfStyle w:val="001000000000" w:firstRow="0" w:lastRow="0" w:firstColumn="1" w:lastColumn="0" w:oddVBand="0" w:evenVBand="0" w:oddHBand="0" w:evenHBand="0" w:firstRowFirstColumn="0" w:firstRowLastColumn="0" w:lastRowFirstColumn="0" w:lastRowLastColumn="0"/>
            <w:tcW w:w="941" w:type="dxa"/>
            <w:noWrap/>
            <w:hideMark/>
          </w:tcPr>
          <w:p w14:paraId="5F941DE6"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504BDCA4"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i placówek kształcenia zawodowego wykorzystujących doposażenie zakupione dzięki EFS</w:t>
            </w:r>
          </w:p>
        </w:tc>
        <w:tc>
          <w:tcPr>
            <w:tcW w:w="850" w:type="dxa"/>
            <w:noWrap/>
            <w:hideMark/>
          </w:tcPr>
          <w:p w14:paraId="095C627D"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299</w:t>
            </w:r>
          </w:p>
        </w:tc>
        <w:tc>
          <w:tcPr>
            <w:tcW w:w="709" w:type="dxa"/>
            <w:noWrap/>
            <w:hideMark/>
          </w:tcPr>
          <w:p w14:paraId="383AFFE5"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67</w:t>
            </w:r>
          </w:p>
        </w:tc>
        <w:tc>
          <w:tcPr>
            <w:tcW w:w="709" w:type="dxa"/>
            <w:noWrap/>
            <w:hideMark/>
          </w:tcPr>
          <w:p w14:paraId="4A77CDA8"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446%</w:t>
            </w:r>
          </w:p>
        </w:tc>
        <w:tc>
          <w:tcPr>
            <w:tcW w:w="850" w:type="dxa"/>
            <w:noWrap/>
            <w:hideMark/>
          </w:tcPr>
          <w:p w14:paraId="71197B39"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799927B3" w14:textId="77777777" w:rsidR="00357502" w:rsidRPr="00A13922" w:rsidRDefault="00357502"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394F0B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2 142 346,97 zł </w:t>
            </w:r>
          </w:p>
        </w:tc>
        <w:tc>
          <w:tcPr>
            <w:tcW w:w="850" w:type="dxa"/>
            <w:vMerge/>
            <w:hideMark/>
          </w:tcPr>
          <w:p w14:paraId="03E48677"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10723BF"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39F35025"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46567BB9"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€498 220,22 </w:t>
            </w:r>
          </w:p>
        </w:tc>
        <w:tc>
          <w:tcPr>
            <w:tcW w:w="851" w:type="dxa"/>
            <w:noWrap/>
            <w:vAlign w:val="bottom"/>
            <w:hideMark/>
          </w:tcPr>
          <w:p w14:paraId="7ED551B4"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114</w:t>
            </w:r>
          </w:p>
        </w:tc>
        <w:tc>
          <w:tcPr>
            <w:tcW w:w="982" w:type="dxa"/>
            <w:noWrap/>
            <w:vAlign w:val="bottom"/>
            <w:hideMark/>
          </w:tcPr>
          <w:p w14:paraId="58AC5D00"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413</w:t>
            </w:r>
          </w:p>
        </w:tc>
        <w:tc>
          <w:tcPr>
            <w:tcW w:w="962" w:type="dxa"/>
            <w:noWrap/>
            <w:vAlign w:val="bottom"/>
            <w:hideMark/>
          </w:tcPr>
          <w:p w14:paraId="6778B784" w14:textId="77777777" w:rsidR="00357502" w:rsidRPr="00A13922" w:rsidRDefault="00357502"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616%</w:t>
            </w:r>
          </w:p>
        </w:tc>
      </w:tr>
      <w:tr w:rsidR="008B4A53" w:rsidRPr="001C7E6A" w14:paraId="4100E815" w14:textId="77777777" w:rsidTr="00593B7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41" w:type="dxa"/>
            <w:noWrap/>
            <w:hideMark/>
          </w:tcPr>
          <w:p w14:paraId="39184C82" w14:textId="77777777" w:rsidR="00357502" w:rsidRPr="00A13922" w:rsidRDefault="00357502"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743BD9C3"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nauczycieli kształcenia zawodowego oraz instruktorów praktycznej nauki zawodu, którzy uzyskali kwalifikacje lub nabyli kompetencje po opuszczeniu programu</w:t>
            </w:r>
          </w:p>
        </w:tc>
        <w:tc>
          <w:tcPr>
            <w:tcW w:w="850" w:type="dxa"/>
            <w:noWrap/>
            <w:hideMark/>
          </w:tcPr>
          <w:p w14:paraId="371DF31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1672</w:t>
            </w:r>
          </w:p>
        </w:tc>
        <w:tc>
          <w:tcPr>
            <w:tcW w:w="709" w:type="dxa"/>
            <w:noWrap/>
            <w:hideMark/>
          </w:tcPr>
          <w:p w14:paraId="1302BC4E"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215</w:t>
            </w:r>
          </w:p>
        </w:tc>
        <w:tc>
          <w:tcPr>
            <w:tcW w:w="709" w:type="dxa"/>
            <w:noWrap/>
            <w:hideMark/>
          </w:tcPr>
          <w:p w14:paraId="6AFEA9BD"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778%</w:t>
            </w:r>
          </w:p>
        </w:tc>
        <w:tc>
          <w:tcPr>
            <w:tcW w:w="850" w:type="dxa"/>
            <w:noWrap/>
            <w:hideMark/>
          </w:tcPr>
          <w:p w14:paraId="46C2BAB6"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3781A61E" w14:textId="77777777" w:rsidR="00357502" w:rsidRPr="00A13922" w:rsidRDefault="00357502"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3CEAA1D"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383 111,09 zł </w:t>
            </w:r>
          </w:p>
        </w:tc>
        <w:tc>
          <w:tcPr>
            <w:tcW w:w="850" w:type="dxa"/>
            <w:vMerge/>
            <w:hideMark/>
          </w:tcPr>
          <w:p w14:paraId="2A60CC84"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E929D59"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39AB3E6B"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7986559A"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€89 095,60 </w:t>
            </w:r>
          </w:p>
        </w:tc>
        <w:tc>
          <w:tcPr>
            <w:tcW w:w="851" w:type="dxa"/>
            <w:noWrap/>
            <w:vAlign w:val="bottom"/>
            <w:hideMark/>
          </w:tcPr>
          <w:p w14:paraId="318EE0C5"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637</w:t>
            </w:r>
          </w:p>
        </w:tc>
        <w:tc>
          <w:tcPr>
            <w:tcW w:w="982" w:type="dxa"/>
            <w:noWrap/>
            <w:vAlign w:val="bottom"/>
            <w:hideMark/>
          </w:tcPr>
          <w:p w14:paraId="5151A7BA"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2309</w:t>
            </w:r>
          </w:p>
        </w:tc>
        <w:tc>
          <w:tcPr>
            <w:tcW w:w="962" w:type="dxa"/>
            <w:noWrap/>
            <w:vAlign w:val="bottom"/>
            <w:hideMark/>
          </w:tcPr>
          <w:p w14:paraId="449C7352" w14:textId="77777777" w:rsidR="00357502" w:rsidRPr="00A13922" w:rsidRDefault="00357502"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1074%</w:t>
            </w:r>
          </w:p>
        </w:tc>
      </w:tr>
    </w:tbl>
    <w:p w14:paraId="5AD4388E" w14:textId="77777777" w:rsidR="00357502" w:rsidRDefault="00357502" w:rsidP="00DF64C7">
      <w:pPr>
        <w:pStyle w:val="podpisrdailustracji"/>
        <w:spacing w:line="271" w:lineRule="auto"/>
        <w:jc w:val="left"/>
        <w:rPr>
          <w:rStyle w:val="Odwoanieintensywne"/>
        </w:rPr>
      </w:pPr>
      <w:r w:rsidRPr="00A13922">
        <w:t xml:space="preserve">Źródło: </w:t>
      </w:r>
      <w:r>
        <w:t>opracowanie własne na podstawie: dokumentu pn. Realizacja Regionalnego Programu Operacyjnego Województwa Śląskiego 2014-2020 – stan na dzień 14 października 2019 r. oraz danych pozyskanych z SL (na dzień 1.10.2019 r.).</w:t>
      </w:r>
    </w:p>
    <w:p w14:paraId="1A8A9201" w14:textId="77777777" w:rsidR="006D2EDA" w:rsidRDefault="006D2EDA" w:rsidP="00DF64C7">
      <w:pPr>
        <w:pStyle w:val="Legenda"/>
        <w:jc w:val="left"/>
        <w:rPr>
          <w:rStyle w:val="Odwoanieintensywne"/>
        </w:rPr>
      </w:pPr>
      <w:r>
        <w:t>Tabela 44.</w:t>
      </w:r>
      <w:r w:rsidRPr="006D2EDA">
        <w:t xml:space="preserve"> </w:t>
      </w:r>
      <w:r w:rsidRPr="00E905A1">
        <w:t>Analiza prawdopodobieństwa osiągnięcia</w:t>
      </w:r>
      <w:r>
        <w:t xml:space="preserve"> wskaźników wg. scenariusza nr 4</w:t>
      </w:r>
      <w:r w:rsidRPr="00E905A1">
        <w:t xml:space="preserve"> (EUR = </w:t>
      </w:r>
      <w:r>
        <w:t>4,52</w:t>
      </w:r>
      <w:r w:rsidRPr="00E905A1">
        <w:t>)</w:t>
      </w:r>
    </w:p>
    <w:tbl>
      <w:tblPr>
        <w:tblStyle w:val="Tabelasiatki4akcent61"/>
        <w:tblW w:w="15695" w:type="dxa"/>
        <w:tblInd w:w="-318" w:type="dxa"/>
        <w:tblLayout w:type="fixed"/>
        <w:tblLook w:val="04A0" w:firstRow="1" w:lastRow="0" w:firstColumn="1" w:lastColumn="0" w:noHBand="0" w:noVBand="1"/>
        <w:tblCaption w:val="Analiza prawdopodobieństwa osiągnięcia wskaźników wg. scenariusza nr 4 (EUR = 4,52)"/>
        <w:tblDescription w:val="Tabela przedstawia analizę prawdopodobieństwa osięgniecia wskaźników wg scenariusza zakładajacego średnia wartość EUR na poziomie 4,52 PLN. Analiza sporządzona została wg stanu na 14.10.2019 r. Najniższy potencjalny poziom realizacji wskaźników docelowych przypadł na wskaźnik &quot;Liczba osób uczestniczących w szkolnych formach kształcenia w programie&quot; (Działanie 11.3) i wyniósł 18%."/>
      </w:tblPr>
      <w:tblGrid>
        <w:gridCol w:w="941"/>
        <w:gridCol w:w="3880"/>
        <w:gridCol w:w="850"/>
        <w:gridCol w:w="709"/>
        <w:gridCol w:w="709"/>
        <w:gridCol w:w="850"/>
        <w:gridCol w:w="992"/>
        <w:gridCol w:w="851"/>
        <w:gridCol w:w="850"/>
        <w:gridCol w:w="709"/>
        <w:gridCol w:w="709"/>
        <w:gridCol w:w="850"/>
        <w:gridCol w:w="851"/>
        <w:gridCol w:w="982"/>
        <w:gridCol w:w="962"/>
      </w:tblGrid>
      <w:tr w:rsidR="006D2EDA" w:rsidRPr="001C7E6A" w14:paraId="115EAB5A" w14:textId="77777777" w:rsidTr="008D5F51">
        <w:trPr>
          <w:cnfStyle w:val="100000000000" w:firstRow="1" w:lastRow="0" w:firstColumn="0" w:lastColumn="0" w:oddVBand="0" w:evenVBand="0" w:oddHBand="0" w:evenHBand="0" w:firstRowFirstColumn="0" w:firstRowLastColumn="0" w:lastRowFirstColumn="0" w:lastRowLastColumn="0"/>
          <w:trHeight w:val="977"/>
          <w:tblHead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510FF1DA"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Działanie</w:t>
            </w:r>
          </w:p>
        </w:tc>
        <w:tc>
          <w:tcPr>
            <w:tcW w:w="3880" w:type="dxa"/>
            <w:noWrap/>
            <w:hideMark/>
          </w:tcPr>
          <w:p w14:paraId="6BBE0897"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w:t>
            </w:r>
          </w:p>
        </w:tc>
        <w:tc>
          <w:tcPr>
            <w:tcW w:w="850" w:type="dxa"/>
            <w:hideMark/>
          </w:tcPr>
          <w:p w14:paraId="745C853C"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Wartość aktualna wskaźnika na podstawie podpisanych umów</w:t>
            </w:r>
            <w:r>
              <w:rPr>
                <w:rFonts w:ascii="Calibri" w:eastAsia="Times New Roman" w:hAnsi="Calibri" w:cs="Calibri"/>
                <w:color w:val="000000"/>
                <w:sz w:val="12"/>
                <w:szCs w:val="12"/>
                <w:lang w:eastAsia="pl-PL"/>
              </w:rPr>
              <w:t xml:space="preserve"> – na dzień 1.10.2019</w:t>
            </w:r>
          </w:p>
        </w:tc>
        <w:tc>
          <w:tcPr>
            <w:tcW w:w="709" w:type="dxa"/>
            <w:hideMark/>
          </w:tcPr>
          <w:p w14:paraId="1C703CB8"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Wartość docelowa (2023)</w:t>
            </w:r>
          </w:p>
        </w:tc>
        <w:tc>
          <w:tcPr>
            <w:tcW w:w="709" w:type="dxa"/>
            <w:hideMark/>
          </w:tcPr>
          <w:p w14:paraId="18D6244E"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realizacji </w:t>
            </w:r>
          </w:p>
        </w:tc>
        <w:tc>
          <w:tcPr>
            <w:tcW w:w="850" w:type="dxa"/>
            <w:hideMark/>
          </w:tcPr>
          <w:p w14:paraId="6A3B866C"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Pozostała wartośc wskaźników do osiągnięcia</w:t>
            </w:r>
          </w:p>
        </w:tc>
        <w:tc>
          <w:tcPr>
            <w:tcW w:w="992" w:type="dxa"/>
            <w:hideMark/>
          </w:tcPr>
          <w:p w14:paraId="08A0BF05"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Wartość podpisanych umów o dofinansowanie (PLN)</w:t>
            </w:r>
          </w:p>
        </w:tc>
        <w:tc>
          <w:tcPr>
            <w:tcW w:w="851" w:type="dxa"/>
            <w:hideMark/>
          </w:tcPr>
          <w:p w14:paraId="19CCD7DE"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Koszt osiągnięcia 1 jednostki wskaźnika </w:t>
            </w:r>
            <w:r>
              <w:rPr>
                <w:rFonts w:ascii="Calibri" w:eastAsia="Times New Roman" w:hAnsi="Calibri" w:cs="Calibri"/>
                <w:color w:val="000000"/>
                <w:sz w:val="12"/>
                <w:szCs w:val="12"/>
                <w:lang w:eastAsia="pl-PL"/>
              </w:rPr>
              <w:br/>
            </w:r>
            <w:r w:rsidRPr="00A13922">
              <w:rPr>
                <w:rFonts w:ascii="Calibri" w:eastAsia="Times New Roman" w:hAnsi="Calibri" w:cs="Calibri"/>
                <w:color w:val="000000"/>
                <w:sz w:val="12"/>
                <w:szCs w:val="12"/>
                <w:lang w:eastAsia="pl-PL"/>
              </w:rPr>
              <w:t>(PLN)</w:t>
            </w:r>
          </w:p>
        </w:tc>
        <w:tc>
          <w:tcPr>
            <w:tcW w:w="850" w:type="dxa"/>
            <w:hideMark/>
          </w:tcPr>
          <w:p w14:paraId="62822A33"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Alokacja podstawowa (PLN)</w:t>
            </w:r>
          </w:p>
        </w:tc>
        <w:tc>
          <w:tcPr>
            <w:tcW w:w="709" w:type="dxa"/>
            <w:hideMark/>
          </w:tcPr>
          <w:p w14:paraId="3699DC77"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Alokacja pozostała (PLN)</w:t>
            </w:r>
          </w:p>
        </w:tc>
        <w:tc>
          <w:tcPr>
            <w:tcW w:w="709" w:type="dxa"/>
            <w:hideMark/>
          </w:tcPr>
          <w:p w14:paraId="47AB9753"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Alokacja pozostała (EUR)</w:t>
            </w:r>
          </w:p>
        </w:tc>
        <w:tc>
          <w:tcPr>
            <w:tcW w:w="850" w:type="dxa"/>
            <w:hideMark/>
          </w:tcPr>
          <w:p w14:paraId="1CD919AE"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Koszt osiągnięcia 1 jednostki wskaźnika </w:t>
            </w:r>
            <w:r>
              <w:rPr>
                <w:rFonts w:ascii="Calibri" w:eastAsia="Times New Roman" w:hAnsi="Calibri" w:cs="Calibri"/>
                <w:color w:val="000000"/>
                <w:sz w:val="12"/>
                <w:szCs w:val="12"/>
                <w:lang w:eastAsia="pl-PL"/>
              </w:rPr>
              <w:br/>
            </w:r>
            <w:r w:rsidRPr="00A13922">
              <w:rPr>
                <w:rFonts w:ascii="Calibri" w:eastAsia="Times New Roman" w:hAnsi="Calibri" w:cs="Calibri"/>
                <w:color w:val="000000"/>
                <w:sz w:val="12"/>
                <w:szCs w:val="12"/>
                <w:lang w:eastAsia="pl-PL"/>
              </w:rPr>
              <w:t>(EUR)</w:t>
            </w:r>
          </w:p>
        </w:tc>
        <w:tc>
          <w:tcPr>
            <w:tcW w:w="851" w:type="dxa"/>
            <w:hideMark/>
          </w:tcPr>
          <w:p w14:paraId="4FBAE979"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jednostek wskaźnika możliwych do osiągnięcia dzięki pozostałej alokacji</w:t>
            </w:r>
          </w:p>
        </w:tc>
        <w:tc>
          <w:tcPr>
            <w:tcW w:w="982" w:type="dxa"/>
            <w:hideMark/>
          </w:tcPr>
          <w:p w14:paraId="509BA8D0"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Suma osiągniętej wartości wskaźnika i wartości możliwej do osiągnięcia na podstawie pozostałej alokacji</w:t>
            </w:r>
          </w:p>
        </w:tc>
        <w:tc>
          <w:tcPr>
            <w:tcW w:w="962" w:type="dxa"/>
            <w:hideMark/>
          </w:tcPr>
          <w:p w14:paraId="7EA815F1" w14:textId="77777777" w:rsidR="006D2EDA" w:rsidRPr="00A13922" w:rsidRDefault="006D2EDA"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Potencjalny poziom realizacji wskaźników docelowych</w:t>
            </w:r>
          </w:p>
        </w:tc>
      </w:tr>
      <w:tr w:rsidR="006D2EDA" w:rsidRPr="001C7E6A" w14:paraId="02DEDE54" w14:textId="77777777" w:rsidTr="008D5F51">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941" w:type="dxa"/>
            <w:noWrap/>
            <w:hideMark/>
          </w:tcPr>
          <w:p w14:paraId="77E04547"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12.1, 12.2</w:t>
            </w:r>
          </w:p>
        </w:tc>
        <w:tc>
          <w:tcPr>
            <w:tcW w:w="3880" w:type="dxa"/>
            <w:hideMark/>
          </w:tcPr>
          <w:p w14:paraId="71CEADB9"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Potencjał objętej wsparciem infrastruktury w zakresie opieki nad dziećmi lub infrastruktury edukacyjnej</w:t>
            </w:r>
          </w:p>
        </w:tc>
        <w:tc>
          <w:tcPr>
            <w:tcW w:w="850" w:type="dxa"/>
            <w:noWrap/>
            <w:hideMark/>
          </w:tcPr>
          <w:p w14:paraId="20EB990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32329</w:t>
            </w:r>
          </w:p>
        </w:tc>
        <w:tc>
          <w:tcPr>
            <w:tcW w:w="709" w:type="dxa"/>
            <w:noWrap/>
            <w:hideMark/>
          </w:tcPr>
          <w:p w14:paraId="09598C84"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40940</w:t>
            </w:r>
          </w:p>
        </w:tc>
        <w:tc>
          <w:tcPr>
            <w:tcW w:w="709" w:type="dxa"/>
            <w:noWrap/>
            <w:hideMark/>
          </w:tcPr>
          <w:p w14:paraId="4B704C90"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79%</w:t>
            </w:r>
          </w:p>
        </w:tc>
        <w:tc>
          <w:tcPr>
            <w:tcW w:w="850" w:type="dxa"/>
            <w:noWrap/>
            <w:hideMark/>
          </w:tcPr>
          <w:p w14:paraId="2E361B6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8611</w:t>
            </w:r>
          </w:p>
        </w:tc>
        <w:tc>
          <w:tcPr>
            <w:tcW w:w="992" w:type="dxa"/>
            <w:vMerge w:val="restart"/>
            <w:noWrap/>
            <w:hideMark/>
          </w:tcPr>
          <w:p w14:paraId="6CC56E18"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316 596 373,00 zł </w:t>
            </w:r>
          </w:p>
        </w:tc>
        <w:tc>
          <w:tcPr>
            <w:tcW w:w="851" w:type="dxa"/>
            <w:noWrap/>
            <w:hideMark/>
          </w:tcPr>
          <w:p w14:paraId="6D1D7358"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9 792,95 zł </w:t>
            </w:r>
          </w:p>
        </w:tc>
        <w:tc>
          <w:tcPr>
            <w:tcW w:w="850" w:type="dxa"/>
            <w:vMerge w:val="restart"/>
            <w:noWrap/>
            <w:hideMark/>
          </w:tcPr>
          <w:p w14:paraId="1DDEF51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351 343 724,00 zł </w:t>
            </w:r>
          </w:p>
        </w:tc>
        <w:tc>
          <w:tcPr>
            <w:tcW w:w="709" w:type="dxa"/>
            <w:vMerge w:val="restart"/>
            <w:noWrap/>
            <w:hideMark/>
          </w:tcPr>
          <w:p w14:paraId="0D6CA85B"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34 747 351,00 zł </w:t>
            </w:r>
          </w:p>
        </w:tc>
        <w:tc>
          <w:tcPr>
            <w:tcW w:w="709" w:type="dxa"/>
            <w:vMerge w:val="restart"/>
            <w:noWrap/>
            <w:vAlign w:val="bottom"/>
            <w:hideMark/>
          </w:tcPr>
          <w:p w14:paraId="1C83655B"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€7 687 467,04 </w:t>
            </w:r>
          </w:p>
        </w:tc>
        <w:tc>
          <w:tcPr>
            <w:tcW w:w="850" w:type="dxa"/>
            <w:noWrap/>
            <w:vAlign w:val="bottom"/>
            <w:hideMark/>
          </w:tcPr>
          <w:p w14:paraId="77D413AB"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€ 2 166,58 </w:t>
            </w:r>
          </w:p>
        </w:tc>
        <w:tc>
          <w:tcPr>
            <w:tcW w:w="851" w:type="dxa"/>
            <w:noWrap/>
            <w:vAlign w:val="bottom"/>
            <w:hideMark/>
          </w:tcPr>
          <w:p w14:paraId="1E038F7E"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3548</w:t>
            </w:r>
          </w:p>
        </w:tc>
        <w:tc>
          <w:tcPr>
            <w:tcW w:w="982" w:type="dxa"/>
            <w:noWrap/>
            <w:vAlign w:val="bottom"/>
            <w:hideMark/>
          </w:tcPr>
          <w:p w14:paraId="09A49EBB"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35877</w:t>
            </w:r>
          </w:p>
        </w:tc>
        <w:tc>
          <w:tcPr>
            <w:tcW w:w="962" w:type="dxa"/>
            <w:noWrap/>
            <w:vAlign w:val="bottom"/>
            <w:hideMark/>
          </w:tcPr>
          <w:p w14:paraId="0B6A2A2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88%</w:t>
            </w:r>
          </w:p>
        </w:tc>
      </w:tr>
      <w:tr w:rsidR="006D2EDA" w:rsidRPr="001C7E6A" w14:paraId="088822DA" w14:textId="77777777" w:rsidTr="008D5F51">
        <w:trPr>
          <w:trHeight w:val="142"/>
        </w:trPr>
        <w:tc>
          <w:tcPr>
            <w:cnfStyle w:val="001000000000" w:firstRow="0" w:lastRow="0" w:firstColumn="1" w:lastColumn="0" w:oddVBand="0" w:evenVBand="0" w:oddHBand="0" w:evenHBand="0" w:firstRowFirstColumn="0" w:firstRowLastColumn="0" w:lastRowFirstColumn="0" w:lastRowLastColumn="0"/>
            <w:tcW w:w="941" w:type="dxa"/>
            <w:noWrap/>
            <w:hideMark/>
          </w:tcPr>
          <w:p w14:paraId="3B03E1AE"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12.1</w:t>
            </w:r>
          </w:p>
        </w:tc>
        <w:tc>
          <w:tcPr>
            <w:tcW w:w="3880" w:type="dxa"/>
            <w:hideMark/>
          </w:tcPr>
          <w:p w14:paraId="1EF5ADA7"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wspartych obiektów infrastruktury przedszkolnej</w:t>
            </w:r>
          </w:p>
        </w:tc>
        <w:tc>
          <w:tcPr>
            <w:tcW w:w="850" w:type="dxa"/>
            <w:noWrap/>
            <w:hideMark/>
          </w:tcPr>
          <w:p w14:paraId="52139730"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50</w:t>
            </w:r>
          </w:p>
        </w:tc>
        <w:tc>
          <w:tcPr>
            <w:tcW w:w="709" w:type="dxa"/>
            <w:noWrap/>
            <w:hideMark/>
          </w:tcPr>
          <w:p w14:paraId="549BFD21"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71</w:t>
            </w:r>
          </w:p>
        </w:tc>
        <w:tc>
          <w:tcPr>
            <w:tcW w:w="709" w:type="dxa"/>
            <w:noWrap/>
            <w:hideMark/>
          </w:tcPr>
          <w:p w14:paraId="7F4ABC04"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70%</w:t>
            </w:r>
          </w:p>
        </w:tc>
        <w:tc>
          <w:tcPr>
            <w:tcW w:w="850" w:type="dxa"/>
            <w:noWrap/>
            <w:hideMark/>
          </w:tcPr>
          <w:p w14:paraId="711BEE45"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21</w:t>
            </w:r>
          </w:p>
        </w:tc>
        <w:tc>
          <w:tcPr>
            <w:tcW w:w="992" w:type="dxa"/>
            <w:vMerge/>
            <w:hideMark/>
          </w:tcPr>
          <w:p w14:paraId="5790C0FB"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7483705"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6 331 927,46 zł </w:t>
            </w:r>
          </w:p>
        </w:tc>
        <w:tc>
          <w:tcPr>
            <w:tcW w:w="850" w:type="dxa"/>
            <w:vMerge/>
            <w:hideMark/>
          </w:tcPr>
          <w:p w14:paraId="5873B2DA"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9A12E95"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784FEB7"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742CA498"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€ 1 400 868,91 </w:t>
            </w:r>
          </w:p>
        </w:tc>
        <w:tc>
          <w:tcPr>
            <w:tcW w:w="851" w:type="dxa"/>
            <w:noWrap/>
            <w:vAlign w:val="bottom"/>
            <w:hideMark/>
          </w:tcPr>
          <w:p w14:paraId="6FB34D8F"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w:t>
            </w:r>
          </w:p>
        </w:tc>
        <w:tc>
          <w:tcPr>
            <w:tcW w:w="982" w:type="dxa"/>
            <w:noWrap/>
            <w:vAlign w:val="bottom"/>
            <w:hideMark/>
          </w:tcPr>
          <w:p w14:paraId="4CB347FB"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55</w:t>
            </w:r>
          </w:p>
        </w:tc>
        <w:tc>
          <w:tcPr>
            <w:tcW w:w="962" w:type="dxa"/>
            <w:noWrap/>
            <w:vAlign w:val="bottom"/>
            <w:hideMark/>
          </w:tcPr>
          <w:p w14:paraId="14DD4AB8"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78%</w:t>
            </w:r>
          </w:p>
        </w:tc>
      </w:tr>
      <w:tr w:rsidR="006D2EDA" w:rsidRPr="001C7E6A" w14:paraId="62C10E89" w14:textId="77777777" w:rsidTr="008D5F51">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41" w:type="dxa"/>
            <w:noWrap/>
            <w:hideMark/>
          </w:tcPr>
          <w:p w14:paraId="69ADCCE6"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12.2</w:t>
            </w:r>
          </w:p>
        </w:tc>
        <w:tc>
          <w:tcPr>
            <w:tcW w:w="3880" w:type="dxa"/>
            <w:hideMark/>
          </w:tcPr>
          <w:p w14:paraId="4B9A8D3D"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wspartych obiektów infrastruktury kształcenia zawodowego</w:t>
            </w:r>
          </w:p>
        </w:tc>
        <w:tc>
          <w:tcPr>
            <w:tcW w:w="850" w:type="dxa"/>
            <w:noWrap/>
            <w:hideMark/>
          </w:tcPr>
          <w:p w14:paraId="03293667"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52</w:t>
            </w:r>
          </w:p>
        </w:tc>
        <w:tc>
          <w:tcPr>
            <w:tcW w:w="709" w:type="dxa"/>
            <w:noWrap/>
            <w:hideMark/>
          </w:tcPr>
          <w:p w14:paraId="5F18CDB4"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136</w:t>
            </w:r>
          </w:p>
        </w:tc>
        <w:tc>
          <w:tcPr>
            <w:tcW w:w="709" w:type="dxa"/>
            <w:noWrap/>
            <w:hideMark/>
          </w:tcPr>
          <w:p w14:paraId="55986CC0"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38%</w:t>
            </w:r>
          </w:p>
        </w:tc>
        <w:tc>
          <w:tcPr>
            <w:tcW w:w="850" w:type="dxa"/>
            <w:noWrap/>
            <w:hideMark/>
          </w:tcPr>
          <w:p w14:paraId="5390E3FB"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84</w:t>
            </w:r>
          </w:p>
        </w:tc>
        <w:tc>
          <w:tcPr>
            <w:tcW w:w="992" w:type="dxa"/>
            <w:vMerge/>
            <w:hideMark/>
          </w:tcPr>
          <w:p w14:paraId="7886F30A"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6C26C52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6 088 391,79 zł </w:t>
            </w:r>
          </w:p>
        </w:tc>
        <w:tc>
          <w:tcPr>
            <w:tcW w:w="850" w:type="dxa"/>
            <w:vMerge/>
            <w:hideMark/>
          </w:tcPr>
          <w:p w14:paraId="26679456"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EB26F3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E62B314"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3B7CF56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€ 1 346 989,33 </w:t>
            </w:r>
          </w:p>
        </w:tc>
        <w:tc>
          <w:tcPr>
            <w:tcW w:w="851" w:type="dxa"/>
            <w:noWrap/>
            <w:vAlign w:val="bottom"/>
            <w:hideMark/>
          </w:tcPr>
          <w:p w14:paraId="43DE98C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w:t>
            </w:r>
          </w:p>
        </w:tc>
        <w:tc>
          <w:tcPr>
            <w:tcW w:w="982" w:type="dxa"/>
            <w:noWrap/>
            <w:vAlign w:val="bottom"/>
            <w:hideMark/>
          </w:tcPr>
          <w:p w14:paraId="4D96EA0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58</w:t>
            </w:r>
          </w:p>
        </w:tc>
        <w:tc>
          <w:tcPr>
            <w:tcW w:w="962" w:type="dxa"/>
            <w:noWrap/>
            <w:vAlign w:val="bottom"/>
            <w:hideMark/>
          </w:tcPr>
          <w:p w14:paraId="319CADB7"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42%</w:t>
            </w:r>
          </w:p>
        </w:tc>
      </w:tr>
      <w:tr w:rsidR="006D2EDA" w:rsidRPr="001C7E6A" w14:paraId="0E63E87B" w14:textId="77777777" w:rsidTr="008D5F51">
        <w:trPr>
          <w:trHeight w:val="83"/>
        </w:trPr>
        <w:tc>
          <w:tcPr>
            <w:cnfStyle w:val="001000000000" w:firstRow="0" w:lastRow="0" w:firstColumn="1" w:lastColumn="0" w:oddVBand="0" w:evenVBand="0" w:oddHBand="0" w:evenHBand="0" w:firstRowFirstColumn="0" w:firstRowLastColumn="0" w:lastRowFirstColumn="0" w:lastRowLastColumn="0"/>
            <w:tcW w:w="941" w:type="dxa"/>
            <w:noWrap/>
            <w:hideMark/>
          </w:tcPr>
          <w:p w14:paraId="23577B6F"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12.3</w:t>
            </w:r>
          </w:p>
        </w:tc>
        <w:tc>
          <w:tcPr>
            <w:tcW w:w="3880" w:type="dxa"/>
            <w:hideMark/>
          </w:tcPr>
          <w:p w14:paraId="6E2706BF"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odwiedzających Planetarium Śląskie ze zorganizowanych grup uczniowskich i przedszkolnych</w:t>
            </w:r>
          </w:p>
        </w:tc>
        <w:tc>
          <w:tcPr>
            <w:tcW w:w="850" w:type="dxa"/>
            <w:noWrap/>
            <w:hideMark/>
          </w:tcPr>
          <w:p w14:paraId="6A3ABAC8"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156000</w:t>
            </w:r>
          </w:p>
        </w:tc>
        <w:tc>
          <w:tcPr>
            <w:tcW w:w="709" w:type="dxa"/>
            <w:noWrap/>
            <w:hideMark/>
          </w:tcPr>
          <w:p w14:paraId="6A1C6BFC"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156000</w:t>
            </w:r>
          </w:p>
        </w:tc>
        <w:tc>
          <w:tcPr>
            <w:tcW w:w="709" w:type="dxa"/>
            <w:noWrap/>
            <w:hideMark/>
          </w:tcPr>
          <w:p w14:paraId="5F67A0E0"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100%</w:t>
            </w:r>
          </w:p>
        </w:tc>
        <w:tc>
          <w:tcPr>
            <w:tcW w:w="850" w:type="dxa"/>
            <w:noWrap/>
            <w:hideMark/>
          </w:tcPr>
          <w:p w14:paraId="259394A8"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29BABE5C"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C259447"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2 029,46 zł </w:t>
            </w:r>
          </w:p>
        </w:tc>
        <w:tc>
          <w:tcPr>
            <w:tcW w:w="850" w:type="dxa"/>
            <w:vMerge/>
            <w:hideMark/>
          </w:tcPr>
          <w:p w14:paraId="48B66539"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856183F"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39ECE8E0"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50AEB7DC"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€ 449,00 </w:t>
            </w:r>
          </w:p>
        </w:tc>
        <w:tc>
          <w:tcPr>
            <w:tcW w:w="851" w:type="dxa"/>
            <w:noWrap/>
            <w:vAlign w:val="bottom"/>
            <w:hideMark/>
          </w:tcPr>
          <w:p w14:paraId="59D04EA2"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17121</w:t>
            </w:r>
          </w:p>
        </w:tc>
        <w:tc>
          <w:tcPr>
            <w:tcW w:w="982" w:type="dxa"/>
            <w:noWrap/>
            <w:vAlign w:val="bottom"/>
            <w:hideMark/>
          </w:tcPr>
          <w:p w14:paraId="27658348"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173121</w:t>
            </w:r>
          </w:p>
        </w:tc>
        <w:tc>
          <w:tcPr>
            <w:tcW w:w="962" w:type="dxa"/>
            <w:noWrap/>
            <w:vAlign w:val="bottom"/>
            <w:hideMark/>
          </w:tcPr>
          <w:p w14:paraId="7C6A203E"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111%</w:t>
            </w:r>
          </w:p>
        </w:tc>
      </w:tr>
      <w:tr w:rsidR="006D2EDA" w:rsidRPr="001C7E6A" w14:paraId="4AAFADA1" w14:textId="77777777" w:rsidTr="008D5F5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29DA7733"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3D1BA210"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miejsc wychowania przedszkolnego dofinansowanych w programie</w:t>
            </w:r>
          </w:p>
        </w:tc>
        <w:tc>
          <w:tcPr>
            <w:tcW w:w="850" w:type="dxa"/>
            <w:noWrap/>
            <w:hideMark/>
          </w:tcPr>
          <w:p w14:paraId="6825250A"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5768</w:t>
            </w:r>
          </w:p>
        </w:tc>
        <w:tc>
          <w:tcPr>
            <w:tcW w:w="709" w:type="dxa"/>
            <w:noWrap/>
            <w:hideMark/>
          </w:tcPr>
          <w:p w14:paraId="740AD9AE"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3081</w:t>
            </w:r>
          </w:p>
        </w:tc>
        <w:tc>
          <w:tcPr>
            <w:tcW w:w="709" w:type="dxa"/>
            <w:noWrap/>
            <w:hideMark/>
          </w:tcPr>
          <w:p w14:paraId="5F4DDB60"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187%</w:t>
            </w:r>
          </w:p>
        </w:tc>
        <w:tc>
          <w:tcPr>
            <w:tcW w:w="850" w:type="dxa"/>
            <w:noWrap/>
            <w:hideMark/>
          </w:tcPr>
          <w:p w14:paraId="48E5D2C2"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val="restart"/>
            <w:noWrap/>
            <w:hideMark/>
          </w:tcPr>
          <w:p w14:paraId="33D330FF"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640 561 743,00 zł </w:t>
            </w:r>
          </w:p>
        </w:tc>
        <w:tc>
          <w:tcPr>
            <w:tcW w:w="851" w:type="dxa"/>
            <w:noWrap/>
            <w:hideMark/>
          </w:tcPr>
          <w:p w14:paraId="480B7C48"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111 054,39 zł </w:t>
            </w:r>
          </w:p>
        </w:tc>
        <w:tc>
          <w:tcPr>
            <w:tcW w:w="850" w:type="dxa"/>
            <w:vMerge w:val="restart"/>
            <w:noWrap/>
            <w:hideMark/>
          </w:tcPr>
          <w:p w14:paraId="7BABA13B"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848 226 009,00 zł </w:t>
            </w:r>
          </w:p>
        </w:tc>
        <w:tc>
          <w:tcPr>
            <w:tcW w:w="709" w:type="dxa"/>
            <w:vMerge w:val="restart"/>
            <w:noWrap/>
            <w:hideMark/>
          </w:tcPr>
          <w:p w14:paraId="025554CA"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207 664 266,00 zł </w:t>
            </w:r>
          </w:p>
        </w:tc>
        <w:tc>
          <w:tcPr>
            <w:tcW w:w="709" w:type="dxa"/>
            <w:vMerge w:val="restart"/>
            <w:noWrap/>
            <w:vAlign w:val="bottom"/>
            <w:hideMark/>
          </w:tcPr>
          <w:p w14:paraId="1EA282B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€45 943 421,68 </w:t>
            </w:r>
          </w:p>
        </w:tc>
        <w:tc>
          <w:tcPr>
            <w:tcW w:w="850" w:type="dxa"/>
            <w:noWrap/>
            <w:vAlign w:val="bottom"/>
            <w:hideMark/>
          </w:tcPr>
          <w:p w14:paraId="5B7D0B82"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€ 24 569,56 </w:t>
            </w:r>
          </w:p>
        </w:tc>
        <w:tc>
          <w:tcPr>
            <w:tcW w:w="851" w:type="dxa"/>
            <w:noWrap/>
            <w:vAlign w:val="bottom"/>
            <w:hideMark/>
          </w:tcPr>
          <w:p w14:paraId="672F5C1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1870</w:t>
            </w:r>
          </w:p>
        </w:tc>
        <w:tc>
          <w:tcPr>
            <w:tcW w:w="982" w:type="dxa"/>
            <w:noWrap/>
            <w:vAlign w:val="bottom"/>
            <w:hideMark/>
          </w:tcPr>
          <w:p w14:paraId="1EEC740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7638</w:t>
            </w:r>
          </w:p>
        </w:tc>
        <w:tc>
          <w:tcPr>
            <w:tcW w:w="962" w:type="dxa"/>
            <w:noWrap/>
            <w:vAlign w:val="bottom"/>
            <w:hideMark/>
          </w:tcPr>
          <w:p w14:paraId="702B5D8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248%</w:t>
            </w:r>
          </w:p>
        </w:tc>
      </w:tr>
      <w:tr w:rsidR="006D2EDA" w:rsidRPr="001C7E6A" w14:paraId="5A190BE7" w14:textId="77777777" w:rsidTr="008D5F51">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50A4CC22"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5D381B9A"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dzieci objętych w ramach programu dodatkowymi zajęciami zwiększającymi ich szanse edukacyjne w edukacji przedszkolnej</w:t>
            </w:r>
          </w:p>
        </w:tc>
        <w:tc>
          <w:tcPr>
            <w:tcW w:w="850" w:type="dxa"/>
            <w:noWrap/>
            <w:hideMark/>
          </w:tcPr>
          <w:p w14:paraId="4C87C853"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13944</w:t>
            </w:r>
          </w:p>
        </w:tc>
        <w:tc>
          <w:tcPr>
            <w:tcW w:w="709" w:type="dxa"/>
            <w:noWrap/>
            <w:hideMark/>
          </w:tcPr>
          <w:p w14:paraId="101CE8C7"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13984</w:t>
            </w:r>
          </w:p>
        </w:tc>
        <w:tc>
          <w:tcPr>
            <w:tcW w:w="709" w:type="dxa"/>
            <w:noWrap/>
            <w:hideMark/>
          </w:tcPr>
          <w:p w14:paraId="401ADEDA"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100%</w:t>
            </w:r>
          </w:p>
        </w:tc>
        <w:tc>
          <w:tcPr>
            <w:tcW w:w="850" w:type="dxa"/>
            <w:noWrap/>
            <w:hideMark/>
          </w:tcPr>
          <w:p w14:paraId="61E432C0"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40</w:t>
            </w:r>
          </w:p>
        </w:tc>
        <w:tc>
          <w:tcPr>
            <w:tcW w:w="992" w:type="dxa"/>
            <w:vMerge/>
            <w:hideMark/>
          </w:tcPr>
          <w:p w14:paraId="0A7BDCA0"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4CCB96AE"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45 938,16 zł </w:t>
            </w:r>
          </w:p>
        </w:tc>
        <w:tc>
          <w:tcPr>
            <w:tcW w:w="850" w:type="dxa"/>
            <w:vMerge/>
            <w:hideMark/>
          </w:tcPr>
          <w:p w14:paraId="39605FA9"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142B70D"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377553B3"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2B18DC09"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€ 10 163,31 </w:t>
            </w:r>
          </w:p>
        </w:tc>
        <w:tc>
          <w:tcPr>
            <w:tcW w:w="851" w:type="dxa"/>
            <w:noWrap/>
            <w:vAlign w:val="bottom"/>
            <w:hideMark/>
          </w:tcPr>
          <w:p w14:paraId="73BE0F39"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4521</w:t>
            </w:r>
          </w:p>
        </w:tc>
        <w:tc>
          <w:tcPr>
            <w:tcW w:w="982" w:type="dxa"/>
            <w:noWrap/>
            <w:vAlign w:val="bottom"/>
            <w:hideMark/>
          </w:tcPr>
          <w:p w14:paraId="5D5AE242"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18465</w:t>
            </w:r>
          </w:p>
        </w:tc>
        <w:tc>
          <w:tcPr>
            <w:tcW w:w="962" w:type="dxa"/>
            <w:noWrap/>
            <w:vAlign w:val="bottom"/>
            <w:hideMark/>
          </w:tcPr>
          <w:p w14:paraId="02A6F531"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132%</w:t>
            </w:r>
          </w:p>
        </w:tc>
      </w:tr>
      <w:tr w:rsidR="006D2EDA" w:rsidRPr="001C7E6A" w14:paraId="2C4F2B75" w14:textId="77777777" w:rsidTr="008D5F5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0DEA721E"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7628A12B"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objętych wsparciem w zakresie rozwijania kompetencji kluczowych lub umiejętności uniwersalnych niezbędnych na rynku pracy w programie</w:t>
            </w:r>
          </w:p>
        </w:tc>
        <w:tc>
          <w:tcPr>
            <w:tcW w:w="850" w:type="dxa"/>
            <w:noWrap/>
            <w:hideMark/>
          </w:tcPr>
          <w:p w14:paraId="0FBBD846"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85561</w:t>
            </w:r>
          </w:p>
        </w:tc>
        <w:tc>
          <w:tcPr>
            <w:tcW w:w="709" w:type="dxa"/>
            <w:noWrap/>
            <w:hideMark/>
          </w:tcPr>
          <w:p w14:paraId="3464AD67"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46366</w:t>
            </w:r>
          </w:p>
        </w:tc>
        <w:tc>
          <w:tcPr>
            <w:tcW w:w="709" w:type="dxa"/>
            <w:noWrap/>
            <w:hideMark/>
          </w:tcPr>
          <w:p w14:paraId="155D1632"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185%</w:t>
            </w:r>
          </w:p>
        </w:tc>
        <w:tc>
          <w:tcPr>
            <w:tcW w:w="850" w:type="dxa"/>
            <w:noWrap/>
            <w:hideMark/>
          </w:tcPr>
          <w:p w14:paraId="2F294479"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5D34944C"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452A063E"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7 486,61 zł </w:t>
            </w:r>
          </w:p>
        </w:tc>
        <w:tc>
          <w:tcPr>
            <w:tcW w:w="850" w:type="dxa"/>
            <w:vMerge/>
            <w:hideMark/>
          </w:tcPr>
          <w:p w14:paraId="783E622B"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C49102C"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9FE27E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564D7A12"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€ 1 656,33 </w:t>
            </w:r>
          </w:p>
        </w:tc>
        <w:tc>
          <w:tcPr>
            <w:tcW w:w="851" w:type="dxa"/>
            <w:noWrap/>
            <w:vAlign w:val="bottom"/>
            <w:hideMark/>
          </w:tcPr>
          <w:p w14:paraId="7550E45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27738</w:t>
            </w:r>
          </w:p>
        </w:tc>
        <w:tc>
          <w:tcPr>
            <w:tcW w:w="982" w:type="dxa"/>
            <w:noWrap/>
            <w:vAlign w:val="bottom"/>
            <w:hideMark/>
          </w:tcPr>
          <w:p w14:paraId="3B55F69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113299</w:t>
            </w:r>
          </w:p>
        </w:tc>
        <w:tc>
          <w:tcPr>
            <w:tcW w:w="962" w:type="dxa"/>
            <w:noWrap/>
            <w:vAlign w:val="bottom"/>
            <w:hideMark/>
          </w:tcPr>
          <w:p w14:paraId="6BE0DB6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244%</w:t>
            </w:r>
          </w:p>
        </w:tc>
      </w:tr>
      <w:tr w:rsidR="006D2EDA" w:rsidRPr="001C7E6A" w14:paraId="10199E9B" w14:textId="77777777" w:rsidTr="008D5F51">
        <w:trPr>
          <w:trHeight w:val="360"/>
        </w:trPr>
        <w:tc>
          <w:tcPr>
            <w:cnfStyle w:val="001000000000" w:firstRow="0" w:lastRow="0" w:firstColumn="1" w:lastColumn="0" w:oddVBand="0" w:evenVBand="0" w:oddHBand="0" w:evenHBand="0" w:firstRowFirstColumn="0" w:firstRowLastColumn="0" w:lastRowFirstColumn="0" w:lastRowLastColumn="0"/>
            <w:tcW w:w="941" w:type="dxa"/>
            <w:noWrap/>
            <w:hideMark/>
          </w:tcPr>
          <w:p w14:paraId="74430456"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4A0A5978"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których pracownie przedmiotowe zostały doposażone w programie</w:t>
            </w:r>
          </w:p>
        </w:tc>
        <w:tc>
          <w:tcPr>
            <w:tcW w:w="850" w:type="dxa"/>
            <w:noWrap/>
            <w:hideMark/>
          </w:tcPr>
          <w:p w14:paraId="0A171EBF"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657</w:t>
            </w:r>
          </w:p>
        </w:tc>
        <w:tc>
          <w:tcPr>
            <w:tcW w:w="709" w:type="dxa"/>
            <w:noWrap/>
            <w:hideMark/>
          </w:tcPr>
          <w:p w14:paraId="34034A2C"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148</w:t>
            </w:r>
          </w:p>
        </w:tc>
        <w:tc>
          <w:tcPr>
            <w:tcW w:w="709" w:type="dxa"/>
            <w:noWrap/>
            <w:hideMark/>
          </w:tcPr>
          <w:p w14:paraId="7D414A14"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444%</w:t>
            </w:r>
          </w:p>
        </w:tc>
        <w:tc>
          <w:tcPr>
            <w:tcW w:w="850" w:type="dxa"/>
            <w:noWrap/>
            <w:hideMark/>
          </w:tcPr>
          <w:p w14:paraId="4CC3E823"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2AD5EC2"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2018FC5D"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974 979,82 zł </w:t>
            </w:r>
          </w:p>
        </w:tc>
        <w:tc>
          <w:tcPr>
            <w:tcW w:w="850" w:type="dxa"/>
            <w:vMerge/>
            <w:hideMark/>
          </w:tcPr>
          <w:p w14:paraId="799644FD"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4E18983"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2B6513C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5FB45AB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€215 703,50 </w:t>
            </w:r>
          </w:p>
        </w:tc>
        <w:tc>
          <w:tcPr>
            <w:tcW w:w="851" w:type="dxa"/>
            <w:noWrap/>
            <w:vAlign w:val="bottom"/>
            <w:hideMark/>
          </w:tcPr>
          <w:p w14:paraId="2508D268"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213</w:t>
            </w:r>
          </w:p>
        </w:tc>
        <w:tc>
          <w:tcPr>
            <w:tcW w:w="982" w:type="dxa"/>
            <w:noWrap/>
            <w:vAlign w:val="bottom"/>
            <w:hideMark/>
          </w:tcPr>
          <w:p w14:paraId="5E7CB4E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870</w:t>
            </w:r>
          </w:p>
        </w:tc>
        <w:tc>
          <w:tcPr>
            <w:tcW w:w="962" w:type="dxa"/>
            <w:noWrap/>
            <w:vAlign w:val="bottom"/>
            <w:hideMark/>
          </w:tcPr>
          <w:p w14:paraId="7134C294"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588%</w:t>
            </w:r>
          </w:p>
        </w:tc>
      </w:tr>
      <w:tr w:rsidR="006D2EDA" w:rsidRPr="001C7E6A" w14:paraId="315478F2" w14:textId="77777777" w:rsidTr="008D5F51">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41" w:type="dxa"/>
            <w:noWrap/>
            <w:hideMark/>
          </w:tcPr>
          <w:p w14:paraId="41E65715"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3CA79200"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i placówek systemu oświaty wyposażonych w ramach programu w sprzęt TIK do prowadzenia zajęć edukacyjnych</w:t>
            </w:r>
          </w:p>
        </w:tc>
        <w:tc>
          <w:tcPr>
            <w:tcW w:w="850" w:type="dxa"/>
            <w:noWrap/>
            <w:hideMark/>
          </w:tcPr>
          <w:p w14:paraId="0398EDE2"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749</w:t>
            </w:r>
          </w:p>
        </w:tc>
        <w:tc>
          <w:tcPr>
            <w:tcW w:w="709" w:type="dxa"/>
            <w:noWrap/>
            <w:hideMark/>
          </w:tcPr>
          <w:p w14:paraId="1CEAAF7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155</w:t>
            </w:r>
          </w:p>
        </w:tc>
        <w:tc>
          <w:tcPr>
            <w:tcW w:w="709" w:type="dxa"/>
            <w:noWrap/>
            <w:hideMark/>
          </w:tcPr>
          <w:p w14:paraId="72599907"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483%</w:t>
            </w:r>
          </w:p>
        </w:tc>
        <w:tc>
          <w:tcPr>
            <w:tcW w:w="850" w:type="dxa"/>
            <w:noWrap/>
            <w:hideMark/>
          </w:tcPr>
          <w:p w14:paraId="7250A1F8"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A628DD3"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51E78C5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855 222,62 zł </w:t>
            </w:r>
          </w:p>
        </w:tc>
        <w:tc>
          <w:tcPr>
            <w:tcW w:w="850" w:type="dxa"/>
            <w:vMerge/>
            <w:hideMark/>
          </w:tcPr>
          <w:p w14:paraId="3AFF4097"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D5DC508"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15CBE7D"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1E04A18C"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€189 208,54 </w:t>
            </w:r>
          </w:p>
        </w:tc>
        <w:tc>
          <w:tcPr>
            <w:tcW w:w="851" w:type="dxa"/>
            <w:noWrap/>
            <w:vAlign w:val="bottom"/>
            <w:hideMark/>
          </w:tcPr>
          <w:p w14:paraId="32B62D0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243</w:t>
            </w:r>
          </w:p>
        </w:tc>
        <w:tc>
          <w:tcPr>
            <w:tcW w:w="982" w:type="dxa"/>
            <w:noWrap/>
            <w:vAlign w:val="bottom"/>
            <w:hideMark/>
          </w:tcPr>
          <w:p w14:paraId="11EB70F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992</w:t>
            </w:r>
          </w:p>
        </w:tc>
        <w:tc>
          <w:tcPr>
            <w:tcW w:w="962" w:type="dxa"/>
            <w:noWrap/>
            <w:vAlign w:val="bottom"/>
            <w:hideMark/>
          </w:tcPr>
          <w:p w14:paraId="105894E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640%</w:t>
            </w:r>
          </w:p>
        </w:tc>
      </w:tr>
      <w:tr w:rsidR="006D2EDA" w:rsidRPr="001C7E6A" w14:paraId="622AD58A" w14:textId="77777777" w:rsidTr="008D5F51">
        <w:trPr>
          <w:trHeight w:val="76"/>
        </w:trPr>
        <w:tc>
          <w:tcPr>
            <w:cnfStyle w:val="001000000000" w:firstRow="0" w:lastRow="0" w:firstColumn="1" w:lastColumn="0" w:oddVBand="0" w:evenVBand="0" w:oddHBand="0" w:evenHBand="0" w:firstRowFirstColumn="0" w:firstRowLastColumn="0" w:lastRowFirstColumn="0" w:lastRowLastColumn="0"/>
            <w:tcW w:w="941" w:type="dxa"/>
            <w:noWrap/>
            <w:hideMark/>
          </w:tcPr>
          <w:p w14:paraId="10B0A366"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63793E78"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którzy nabyli kompetencje kluczowe lub umiejętności uniwersalne niezbędne na rynku pracy po opuszczeniu programu</w:t>
            </w:r>
          </w:p>
        </w:tc>
        <w:tc>
          <w:tcPr>
            <w:tcW w:w="850" w:type="dxa"/>
            <w:noWrap/>
            <w:hideMark/>
          </w:tcPr>
          <w:p w14:paraId="3D5E6732"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71815</w:t>
            </w:r>
          </w:p>
        </w:tc>
        <w:tc>
          <w:tcPr>
            <w:tcW w:w="709" w:type="dxa"/>
            <w:noWrap/>
            <w:hideMark/>
          </w:tcPr>
          <w:p w14:paraId="69A9CEB1"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27819</w:t>
            </w:r>
          </w:p>
        </w:tc>
        <w:tc>
          <w:tcPr>
            <w:tcW w:w="709" w:type="dxa"/>
            <w:noWrap/>
            <w:hideMark/>
          </w:tcPr>
          <w:p w14:paraId="326B3ADD"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258%</w:t>
            </w:r>
          </w:p>
        </w:tc>
        <w:tc>
          <w:tcPr>
            <w:tcW w:w="850" w:type="dxa"/>
            <w:noWrap/>
            <w:hideMark/>
          </w:tcPr>
          <w:p w14:paraId="56BDEC9A"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4F2AB240"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4052714"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8 919,61 zł </w:t>
            </w:r>
          </w:p>
        </w:tc>
        <w:tc>
          <w:tcPr>
            <w:tcW w:w="850" w:type="dxa"/>
            <w:vMerge/>
            <w:hideMark/>
          </w:tcPr>
          <w:p w14:paraId="44B8FE5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801FB71"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F17DB7E"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614C4883"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€ 1 973,36 </w:t>
            </w:r>
          </w:p>
        </w:tc>
        <w:tc>
          <w:tcPr>
            <w:tcW w:w="851" w:type="dxa"/>
            <w:noWrap/>
            <w:vAlign w:val="bottom"/>
            <w:hideMark/>
          </w:tcPr>
          <w:p w14:paraId="4686BE54"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23282</w:t>
            </w:r>
          </w:p>
        </w:tc>
        <w:tc>
          <w:tcPr>
            <w:tcW w:w="982" w:type="dxa"/>
            <w:noWrap/>
            <w:vAlign w:val="bottom"/>
            <w:hideMark/>
          </w:tcPr>
          <w:p w14:paraId="3A407635"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95097</w:t>
            </w:r>
          </w:p>
        </w:tc>
        <w:tc>
          <w:tcPr>
            <w:tcW w:w="962" w:type="dxa"/>
            <w:noWrap/>
            <w:vAlign w:val="bottom"/>
            <w:hideMark/>
          </w:tcPr>
          <w:p w14:paraId="560392FD"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342%</w:t>
            </w:r>
          </w:p>
        </w:tc>
      </w:tr>
      <w:tr w:rsidR="006D2EDA" w:rsidRPr="001C7E6A" w14:paraId="151D9C56" w14:textId="77777777" w:rsidTr="008D5F5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204F02F9"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1231DD42"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w których pracowanie przedmiotowe wykorzystują doposażenie do prowadzenia zajęć edukacyjnych</w:t>
            </w:r>
          </w:p>
        </w:tc>
        <w:tc>
          <w:tcPr>
            <w:tcW w:w="850" w:type="dxa"/>
            <w:noWrap/>
            <w:hideMark/>
          </w:tcPr>
          <w:p w14:paraId="1E01D57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662</w:t>
            </w:r>
          </w:p>
        </w:tc>
        <w:tc>
          <w:tcPr>
            <w:tcW w:w="709" w:type="dxa"/>
            <w:noWrap/>
            <w:hideMark/>
          </w:tcPr>
          <w:p w14:paraId="476606D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148</w:t>
            </w:r>
          </w:p>
        </w:tc>
        <w:tc>
          <w:tcPr>
            <w:tcW w:w="709" w:type="dxa"/>
            <w:noWrap/>
            <w:hideMark/>
          </w:tcPr>
          <w:p w14:paraId="30209E07"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447%</w:t>
            </w:r>
          </w:p>
        </w:tc>
        <w:tc>
          <w:tcPr>
            <w:tcW w:w="850" w:type="dxa"/>
            <w:noWrap/>
            <w:hideMark/>
          </w:tcPr>
          <w:p w14:paraId="6E5B300E"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3B4F8E29"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60D852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967 615,93 zł </w:t>
            </w:r>
          </w:p>
        </w:tc>
        <w:tc>
          <w:tcPr>
            <w:tcW w:w="850" w:type="dxa"/>
            <w:vMerge/>
            <w:hideMark/>
          </w:tcPr>
          <w:p w14:paraId="7FB9DCDD"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185B176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799C98E9"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07A31716"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€214 074,32 </w:t>
            </w:r>
          </w:p>
        </w:tc>
        <w:tc>
          <w:tcPr>
            <w:tcW w:w="851" w:type="dxa"/>
            <w:noWrap/>
            <w:vAlign w:val="bottom"/>
            <w:hideMark/>
          </w:tcPr>
          <w:p w14:paraId="16B964F6"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215</w:t>
            </w:r>
          </w:p>
        </w:tc>
        <w:tc>
          <w:tcPr>
            <w:tcW w:w="982" w:type="dxa"/>
            <w:noWrap/>
            <w:vAlign w:val="bottom"/>
            <w:hideMark/>
          </w:tcPr>
          <w:p w14:paraId="6162ED29"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877</w:t>
            </w:r>
          </w:p>
        </w:tc>
        <w:tc>
          <w:tcPr>
            <w:tcW w:w="962" w:type="dxa"/>
            <w:noWrap/>
            <w:vAlign w:val="bottom"/>
            <w:hideMark/>
          </w:tcPr>
          <w:p w14:paraId="2B3115C9"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592%</w:t>
            </w:r>
          </w:p>
        </w:tc>
      </w:tr>
      <w:tr w:rsidR="006D2EDA" w:rsidRPr="001C7E6A" w14:paraId="57A8C816" w14:textId="77777777" w:rsidTr="008D5F51">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2C033A54"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11.1</w:t>
            </w:r>
          </w:p>
        </w:tc>
        <w:tc>
          <w:tcPr>
            <w:tcW w:w="3880" w:type="dxa"/>
            <w:hideMark/>
          </w:tcPr>
          <w:p w14:paraId="12E16D01"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i placówek systemu oświaty wykorzystujących sprzęt TIK do prowadzenia zajęć edukacyjnych</w:t>
            </w:r>
          </w:p>
        </w:tc>
        <w:tc>
          <w:tcPr>
            <w:tcW w:w="850" w:type="dxa"/>
            <w:noWrap/>
            <w:hideMark/>
          </w:tcPr>
          <w:p w14:paraId="6D1F739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753</w:t>
            </w:r>
          </w:p>
        </w:tc>
        <w:tc>
          <w:tcPr>
            <w:tcW w:w="709" w:type="dxa"/>
            <w:noWrap/>
            <w:hideMark/>
          </w:tcPr>
          <w:p w14:paraId="6AA2327B"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155</w:t>
            </w:r>
          </w:p>
        </w:tc>
        <w:tc>
          <w:tcPr>
            <w:tcW w:w="709" w:type="dxa"/>
            <w:noWrap/>
            <w:hideMark/>
          </w:tcPr>
          <w:p w14:paraId="6B77959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486%</w:t>
            </w:r>
          </w:p>
        </w:tc>
        <w:tc>
          <w:tcPr>
            <w:tcW w:w="850" w:type="dxa"/>
            <w:noWrap/>
            <w:hideMark/>
          </w:tcPr>
          <w:p w14:paraId="65B293D3"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0EDDFB11"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4F586DA"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850 679,61 zł </w:t>
            </w:r>
          </w:p>
        </w:tc>
        <w:tc>
          <w:tcPr>
            <w:tcW w:w="850" w:type="dxa"/>
            <w:vMerge/>
            <w:hideMark/>
          </w:tcPr>
          <w:p w14:paraId="0A434492"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1AA53C1"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0E5BEE3B"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77CEFC1C"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€188 203,45 </w:t>
            </w:r>
          </w:p>
        </w:tc>
        <w:tc>
          <w:tcPr>
            <w:tcW w:w="851" w:type="dxa"/>
            <w:noWrap/>
            <w:vAlign w:val="bottom"/>
            <w:hideMark/>
          </w:tcPr>
          <w:p w14:paraId="5AAAC498"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244</w:t>
            </w:r>
          </w:p>
        </w:tc>
        <w:tc>
          <w:tcPr>
            <w:tcW w:w="982" w:type="dxa"/>
            <w:noWrap/>
            <w:vAlign w:val="bottom"/>
            <w:hideMark/>
          </w:tcPr>
          <w:p w14:paraId="6444CFF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997</w:t>
            </w:r>
          </w:p>
        </w:tc>
        <w:tc>
          <w:tcPr>
            <w:tcW w:w="962" w:type="dxa"/>
            <w:noWrap/>
            <w:vAlign w:val="bottom"/>
            <w:hideMark/>
          </w:tcPr>
          <w:p w14:paraId="3EEAFAEA"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643%</w:t>
            </w:r>
          </w:p>
        </w:tc>
      </w:tr>
      <w:tr w:rsidR="006D2EDA" w:rsidRPr="001C7E6A" w14:paraId="5CCE7C4F" w14:textId="77777777" w:rsidTr="008D5F5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0110CF1C"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7CE613D9"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o niskich kwalifikacjach objętych wsparciem w programie</w:t>
            </w:r>
          </w:p>
        </w:tc>
        <w:tc>
          <w:tcPr>
            <w:tcW w:w="850" w:type="dxa"/>
            <w:noWrap/>
            <w:hideMark/>
          </w:tcPr>
          <w:p w14:paraId="21947242"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16241</w:t>
            </w:r>
          </w:p>
        </w:tc>
        <w:tc>
          <w:tcPr>
            <w:tcW w:w="709" w:type="dxa"/>
            <w:noWrap/>
            <w:hideMark/>
          </w:tcPr>
          <w:p w14:paraId="56F007B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15412</w:t>
            </w:r>
          </w:p>
        </w:tc>
        <w:tc>
          <w:tcPr>
            <w:tcW w:w="709" w:type="dxa"/>
            <w:noWrap/>
            <w:hideMark/>
          </w:tcPr>
          <w:p w14:paraId="516605F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105%</w:t>
            </w:r>
          </w:p>
        </w:tc>
        <w:tc>
          <w:tcPr>
            <w:tcW w:w="850" w:type="dxa"/>
            <w:noWrap/>
            <w:hideMark/>
          </w:tcPr>
          <w:p w14:paraId="51FF13C4"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41A633E6"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2021D566"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39 441,03 zł </w:t>
            </w:r>
          </w:p>
        </w:tc>
        <w:tc>
          <w:tcPr>
            <w:tcW w:w="850" w:type="dxa"/>
            <w:vMerge/>
            <w:hideMark/>
          </w:tcPr>
          <w:p w14:paraId="4D047189"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E84798C"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7B37D57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2804F566"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€ 8 725,89 </w:t>
            </w:r>
          </w:p>
        </w:tc>
        <w:tc>
          <w:tcPr>
            <w:tcW w:w="851" w:type="dxa"/>
            <w:noWrap/>
            <w:vAlign w:val="bottom"/>
            <w:hideMark/>
          </w:tcPr>
          <w:p w14:paraId="6147025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5265</w:t>
            </w:r>
          </w:p>
        </w:tc>
        <w:tc>
          <w:tcPr>
            <w:tcW w:w="982" w:type="dxa"/>
            <w:noWrap/>
            <w:vAlign w:val="bottom"/>
            <w:hideMark/>
          </w:tcPr>
          <w:p w14:paraId="7C3113CC"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21506</w:t>
            </w:r>
          </w:p>
        </w:tc>
        <w:tc>
          <w:tcPr>
            <w:tcW w:w="962" w:type="dxa"/>
            <w:noWrap/>
            <w:vAlign w:val="bottom"/>
            <w:hideMark/>
          </w:tcPr>
          <w:p w14:paraId="01D17DA9"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140%</w:t>
            </w:r>
          </w:p>
        </w:tc>
      </w:tr>
      <w:tr w:rsidR="006D2EDA" w:rsidRPr="001C7E6A" w14:paraId="2C4A06FF" w14:textId="77777777" w:rsidTr="008D5F51">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7883BA37"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708BC6D0"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w wieku 50 lat i więcej objętych wsparciem w programie</w:t>
            </w:r>
          </w:p>
        </w:tc>
        <w:tc>
          <w:tcPr>
            <w:tcW w:w="850" w:type="dxa"/>
            <w:noWrap/>
            <w:hideMark/>
          </w:tcPr>
          <w:p w14:paraId="3D571D10"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5879</w:t>
            </w:r>
          </w:p>
        </w:tc>
        <w:tc>
          <w:tcPr>
            <w:tcW w:w="709" w:type="dxa"/>
            <w:noWrap/>
            <w:hideMark/>
          </w:tcPr>
          <w:p w14:paraId="5202C042"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3626</w:t>
            </w:r>
          </w:p>
        </w:tc>
        <w:tc>
          <w:tcPr>
            <w:tcW w:w="709" w:type="dxa"/>
            <w:noWrap/>
            <w:hideMark/>
          </w:tcPr>
          <w:p w14:paraId="4E968ED3"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162%</w:t>
            </w:r>
          </w:p>
        </w:tc>
        <w:tc>
          <w:tcPr>
            <w:tcW w:w="850" w:type="dxa"/>
            <w:noWrap/>
            <w:hideMark/>
          </w:tcPr>
          <w:p w14:paraId="00F20F3F"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613F8826"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5D5716B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108 957,60 zł </w:t>
            </w:r>
          </w:p>
        </w:tc>
        <w:tc>
          <w:tcPr>
            <w:tcW w:w="850" w:type="dxa"/>
            <w:vMerge/>
            <w:hideMark/>
          </w:tcPr>
          <w:p w14:paraId="710F218D"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C870B77"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13CFCE24"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262402F0"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€ 24 105,66 </w:t>
            </w:r>
          </w:p>
        </w:tc>
        <w:tc>
          <w:tcPr>
            <w:tcW w:w="851" w:type="dxa"/>
            <w:noWrap/>
            <w:vAlign w:val="bottom"/>
            <w:hideMark/>
          </w:tcPr>
          <w:p w14:paraId="4E916C15"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1906</w:t>
            </w:r>
          </w:p>
        </w:tc>
        <w:tc>
          <w:tcPr>
            <w:tcW w:w="982" w:type="dxa"/>
            <w:noWrap/>
            <w:vAlign w:val="bottom"/>
            <w:hideMark/>
          </w:tcPr>
          <w:p w14:paraId="3BEC32A1"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7785</w:t>
            </w:r>
          </w:p>
        </w:tc>
        <w:tc>
          <w:tcPr>
            <w:tcW w:w="962" w:type="dxa"/>
            <w:noWrap/>
            <w:vAlign w:val="bottom"/>
            <w:hideMark/>
          </w:tcPr>
          <w:p w14:paraId="6F5F0B8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215%</w:t>
            </w:r>
          </w:p>
        </w:tc>
      </w:tr>
      <w:tr w:rsidR="006D2EDA" w:rsidRPr="001C7E6A" w14:paraId="3680AD04" w14:textId="77777777" w:rsidTr="008D5F5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41" w:type="dxa"/>
            <w:noWrap/>
            <w:hideMark/>
          </w:tcPr>
          <w:p w14:paraId="2EFB2D18"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74FDBDFE"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w wieku 25 lat i więcej objętych wsparciem w programie</w:t>
            </w:r>
          </w:p>
        </w:tc>
        <w:tc>
          <w:tcPr>
            <w:tcW w:w="850" w:type="dxa"/>
            <w:noWrap/>
            <w:hideMark/>
          </w:tcPr>
          <w:p w14:paraId="456EB607"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26435</w:t>
            </w:r>
          </w:p>
        </w:tc>
        <w:tc>
          <w:tcPr>
            <w:tcW w:w="709" w:type="dxa"/>
            <w:noWrap/>
            <w:hideMark/>
          </w:tcPr>
          <w:p w14:paraId="434A1504"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14506</w:t>
            </w:r>
          </w:p>
        </w:tc>
        <w:tc>
          <w:tcPr>
            <w:tcW w:w="709" w:type="dxa"/>
            <w:noWrap/>
            <w:hideMark/>
          </w:tcPr>
          <w:p w14:paraId="0C15189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182%</w:t>
            </w:r>
          </w:p>
        </w:tc>
        <w:tc>
          <w:tcPr>
            <w:tcW w:w="850" w:type="dxa"/>
            <w:noWrap/>
            <w:hideMark/>
          </w:tcPr>
          <w:p w14:paraId="205C2B8C"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0AFF6E88"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44014A0"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24 231,58 zł </w:t>
            </w:r>
          </w:p>
        </w:tc>
        <w:tc>
          <w:tcPr>
            <w:tcW w:w="850" w:type="dxa"/>
            <w:vMerge/>
            <w:hideMark/>
          </w:tcPr>
          <w:p w14:paraId="296400F6"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C85B81A"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30F4BC60"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37EB7D5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€ 5 360,97 </w:t>
            </w:r>
          </w:p>
        </w:tc>
        <w:tc>
          <w:tcPr>
            <w:tcW w:w="851" w:type="dxa"/>
            <w:noWrap/>
            <w:vAlign w:val="bottom"/>
            <w:hideMark/>
          </w:tcPr>
          <w:p w14:paraId="6033B9C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8570</w:t>
            </w:r>
          </w:p>
        </w:tc>
        <w:tc>
          <w:tcPr>
            <w:tcW w:w="982" w:type="dxa"/>
            <w:noWrap/>
            <w:vAlign w:val="bottom"/>
            <w:hideMark/>
          </w:tcPr>
          <w:p w14:paraId="3B6C202D"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35005</w:t>
            </w:r>
          </w:p>
        </w:tc>
        <w:tc>
          <w:tcPr>
            <w:tcW w:w="962" w:type="dxa"/>
            <w:noWrap/>
            <w:vAlign w:val="bottom"/>
            <w:hideMark/>
          </w:tcPr>
          <w:p w14:paraId="3E1B405B"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241%</w:t>
            </w:r>
          </w:p>
        </w:tc>
      </w:tr>
      <w:tr w:rsidR="006D2EDA" w:rsidRPr="001C7E6A" w14:paraId="7C7D0D7D" w14:textId="77777777" w:rsidTr="008D5F51">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017A30A6"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47A8FAA4"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o niskich kwalifikacjach, które uzyskały lub nabyły kompetencje po opuszczeniu programu</w:t>
            </w:r>
          </w:p>
        </w:tc>
        <w:tc>
          <w:tcPr>
            <w:tcW w:w="850" w:type="dxa"/>
            <w:noWrap/>
            <w:hideMark/>
          </w:tcPr>
          <w:p w14:paraId="38A4311C"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11750</w:t>
            </w:r>
          </w:p>
        </w:tc>
        <w:tc>
          <w:tcPr>
            <w:tcW w:w="709" w:type="dxa"/>
            <w:noWrap/>
            <w:hideMark/>
          </w:tcPr>
          <w:p w14:paraId="0DFCC1B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9247</w:t>
            </w:r>
          </w:p>
        </w:tc>
        <w:tc>
          <w:tcPr>
            <w:tcW w:w="709" w:type="dxa"/>
            <w:noWrap/>
            <w:hideMark/>
          </w:tcPr>
          <w:p w14:paraId="34A021FC"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127%</w:t>
            </w:r>
          </w:p>
        </w:tc>
        <w:tc>
          <w:tcPr>
            <w:tcW w:w="850" w:type="dxa"/>
            <w:noWrap/>
            <w:hideMark/>
          </w:tcPr>
          <w:p w14:paraId="7E44833B"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256B619A"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238C0B77"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54 515,89 zł </w:t>
            </w:r>
          </w:p>
        </w:tc>
        <w:tc>
          <w:tcPr>
            <w:tcW w:w="850" w:type="dxa"/>
            <w:vMerge/>
            <w:hideMark/>
          </w:tcPr>
          <w:p w14:paraId="4EA0A8C0"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476A36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566724C5"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4DFA738E"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€ 12 061,04 </w:t>
            </w:r>
          </w:p>
        </w:tc>
        <w:tc>
          <w:tcPr>
            <w:tcW w:w="851" w:type="dxa"/>
            <w:noWrap/>
            <w:vAlign w:val="bottom"/>
            <w:hideMark/>
          </w:tcPr>
          <w:p w14:paraId="1C2FEE32"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3809</w:t>
            </w:r>
          </w:p>
        </w:tc>
        <w:tc>
          <w:tcPr>
            <w:tcW w:w="982" w:type="dxa"/>
            <w:noWrap/>
            <w:vAlign w:val="bottom"/>
            <w:hideMark/>
          </w:tcPr>
          <w:p w14:paraId="75D1C54F"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15559</w:t>
            </w:r>
          </w:p>
        </w:tc>
        <w:tc>
          <w:tcPr>
            <w:tcW w:w="962" w:type="dxa"/>
            <w:noWrap/>
            <w:vAlign w:val="bottom"/>
            <w:hideMark/>
          </w:tcPr>
          <w:p w14:paraId="0B8B5D0A"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168%</w:t>
            </w:r>
          </w:p>
        </w:tc>
      </w:tr>
      <w:tr w:rsidR="006D2EDA" w:rsidRPr="001C7E6A" w14:paraId="2F54A927" w14:textId="77777777" w:rsidTr="008D5F5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647B71D7"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6ECB21A4"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w wieku 50 lat i więcej, które uzyskały kwalifikacje lub nabyły kompetencje po opuszczeniu programu</w:t>
            </w:r>
          </w:p>
        </w:tc>
        <w:tc>
          <w:tcPr>
            <w:tcW w:w="850" w:type="dxa"/>
            <w:noWrap/>
            <w:hideMark/>
          </w:tcPr>
          <w:p w14:paraId="01D676E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4266</w:t>
            </w:r>
          </w:p>
        </w:tc>
        <w:tc>
          <w:tcPr>
            <w:tcW w:w="709" w:type="dxa"/>
            <w:noWrap/>
            <w:hideMark/>
          </w:tcPr>
          <w:p w14:paraId="1B9D6719"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2176</w:t>
            </w:r>
          </w:p>
        </w:tc>
        <w:tc>
          <w:tcPr>
            <w:tcW w:w="709" w:type="dxa"/>
            <w:noWrap/>
            <w:hideMark/>
          </w:tcPr>
          <w:p w14:paraId="0088ED60"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196%</w:t>
            </w:r>
          </w:p>
        </w:tc>
        <w:tc>
          <w:tcPr>
            <w:tcW w:w="850" w:type="dxa"/>
            <w:noWrap/>
            <w:hideMark/>
          </w:tcPr>
          <w:p w14:paraId="20072457"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4D09D461"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0D256A1E"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150 155,12 zł </w:t>
            </w:r>
          </w:p>
        </w:tc>
        <w:tc>
          <w:tcPr>
            <w:tcW w:w="850" w:type="dxa"/>
            <w:vMerge/>
            <w:hideMark/>
          </w:tcPr>
          <w:p w14:paraId="6F64A6A9"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35A9038"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45B5A5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7FA54C3C"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€ 33 220,16 </w:t>
            </w:r>
          </w:p>
        </w:tc>
        <w:tc>
          <w:tcPr>
            <w:tcW w:w="851" w:type="dxa"/>
            <w:noWrap/>
            <w:vAlign w:val="bottom"/>
            <w:hideMark/>
          </w:tcPr>
          <w:p w14:paraId="036AA67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1383</w:t>
            </w:r>
          </w:p>
        </w:tc>
        <w:tc>
          <w:tcPr>
            <w:tcW w:w="982" w:type="dxa"/>
            <w:noWrap/>
            <w:vAlign w:val="bottom"/>
            <w:hideMark/>
          </w:tcPr>
          <w:p w14:paraId="2D7FEE48"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5649</w:t>
            </w:r>
          </w:p>
        </w:tc>
        <w:tc>
          <w:tcPr>
            <w:tcW w:w="962" w:type="dxa"/>
            <w:noWrap/>
            <w:vAlign w:val="bottom"/>
            <w:hideMark/>
          </w:tcPr>
          <w:p w14:paraId="1FE50099"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260%</w:t>
            </w:r>
          </w:p>
        </w:tc>
      </w:tr>
      <w:tr w:rsidR="006D2EDA" w:rsidRPr="001C7E6A" w14:paraId="288831CD" w14:textId="77777777" w:rsidTr="008D5F51">
        <w:trPr>
          <w:trHeight w:val="360"/>
        </w:trPr>
        <w:tc>
          <w:tcPr>
            <w:cnfStyle w:val="001000000000" w:firstRow="0" w:lastRow="0" w:firstColumn="1" w:lastColumn="0" w:oddVBand="0" w:evenVBand="0" w:oddHBand="0" w:evenHBand="0" w:firstRowFirstColumn="0" w:firstRowLastColumn="0" w:lastRowFirstColumn="0" w:lastRowLastColumn="0"/>
            <w:tcW w:w="941" w:type="dxa"/>
            <w:noWrap/>
            <w:hideMark/>
          </w:tcPr>
          <w:p w14:paraId="5DEA0027"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11.4</w:t>
            </w:r>
          </w:p>
        </w:tc>
        <w:tc>
          <w:tcPr>
            <w:tcW w:w="3880" w:type="dxa"/>
            <w:hideMark/>
          </w:tcPr>
          <w:p w14:paraId="7514C0D7"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Liczba osób w wieku 25 lat i więcej, które uzyskały kwalifikacje lub nabyły kompetencje po opuszczeniu </w:t>
            </w:r>
          </w:p>
        </w:tc>
        <w:tc>
          <w:tcPr>
            <w:tcW w:w="850" w:type="dxa"/>
            <w:noWrap/>
            <w:hideMark/>
          </w:tcPr>
          <w:p w14:paraId="3836EECB"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19154</w:t>
            </w:r>
          </w:p>
        </w:tc>
        <w:tc>
          <w:tcPr>
            <w:tcW w:w="709" w:type="dxa"/>
            <w:noWrap/>
            <w:hideMark/>
          </w:tcPr>
          <w:p w14:paraId="2E73B0CC"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8704</w:t>
            </w:r>
          </w:p>
        </w:tc>
        <w:tc>
          <w:tcPr>
            <w:tcW w:w="709" w:type="dxa"/>
            <w:noWrap/>
            <w:hideMark/>
          </w:tcPr>
          <w:p w14:paraId="27524DCA"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220%</w:t>
            </w:r>
          </w:p>
        </w:tc>
        <w:tc>
          <w:tcPr>
            <w:tcW w:w="850" w:type="dxa"/>
            <w:noWrap/>
            <w:hideMark/>
          </w:tcPr>
          <w:p w14:paraId="1B7F0365"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72B1F854"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090A90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33 442,71 zł </w:t>
            </w:r>
          </w:p>
        </w:tc>
        <w:tc>
          <w:tcPr>
            <w:tcW w:w="850" w:type="dxa"/>
            <w:vMerge/>
            <w:hideMark/>
          </w:tcPr>
          <w:p w14:paraId="38B1246C"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ECF0385"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6C6FFAC"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7B4B5B2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€ 7 398,83 </w:t>
            </w:r>
          </w:p>
        </w:tc>
        <w:tc>
          <w:tcPr>
            <w:tcW w:w="851" w:type="dxa"/>
            <w:noWrap/>
            <w:vAlign w:val="bottom"/>
            <w:hideMark/>
          </w:tcPr>
          <w:p w14:paraId="14F4AFB4"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6210</w:t>
            </w:r>
          </w:p>
        </w:tc>
        <w:tc>
          <w:tcPr>
            <w:tcW w:w="982" w:type="dxa"/>
            <w:noWrap/>
            <w:vAlign w:val="bottom"/>
            <w:hideMark/>
          </w:tcPr>
          <w:p w14:paraId="0A053947"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25364</w:t>
            </w:r>
          </w:p>
        </w:tc>
        <w:tc>
          <w:tcPr>
            <w:tcW w:w="962" w:type="dxa"/>
            <w:noWrap/>
            <w:vAlign w:val="bottom"/>
            <w:hideMark/>
          </w:tcPr>
          <w:p w14:paraId="057304B4"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291%</w:t>
            </w:r>
          </w:p>
        </w:tc>
      </w:tr>
      <w:tr w:rsidR="006D2EDA" w:rsidRPr="001C7E6A" w14:paraId="33E1CB45" w14:textId="77777777" w:rsidTr="008D5F5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0BEB5919"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5EC5BC78"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szkół i placówek kształcenia zawodowego uczestniczących w stażach i praktykach u pracodawcy</w:t>
            </w:r>
          </w:p>
        </w:tc>
        <w:tc>
          <w:tcPr>
            <w:tcW w:w="850" w:type="dxa"/>
            <w:noWrap/>
            <w:hideMark/>
          </w:tcPr>
          <w:p w14:paraId="62DC1DC2"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13401</w:t>
            </w:r>
          </w:p>
        </w:tc>
        <w:tc>
          <w:tcPr>
            <w:tcW w:w="709" w:type="dxa"/>
            <w:noWrap/>
            <w:hideMark/>
          </w:tcPr>
          <w:p w14:paraId="316E9756"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6066</w:t>
            </w:r>
          </w:p>
        </w:tc>
        <w:tc>
          <w:tcPr>
            <w:tcW w:w="709" w:type="dxa"/>
            <w:noWrap/>
            <w:hideMark/>
          </w:tcPr>
          <w:p w14:paraId="7AB07B6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221%</w:t>
            </w:r>
          </w:p>
        </w:tc>
        <w:tc>
          <w:tcPr>
            <w:tcW w:w="850" w:type="dxa"/>
            <w:noWrap/>
            <w:hideMark/>
          </w:tcPr>
          <w:p w14:paraId="5F7A40D5"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70160A4F"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8967E39"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47 799,55 zł </w:t>
            </w:r>
          </w:p>
        </w:tc>
        <w:tc>
          <w:tcPr>
            <w:tcW w:w="850" w:type="dxa"/>
            <w:vMerge/>
            <w:hideMark/>
          </w:tcPr>
          <w:p w14:paraId="60751E8E"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822233A"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20AE224B"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53664FE4"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€ 10 575,12 </w:t>
            </w:r>
          </w:p>
        </w:tc>
        <w:tc>
          <w:tcPr>
            <w:tcW w:w="851" w:type="dxa"/>
            <w:noWrap/>
            <w:vAlign w:val="bottom"/>
            <w:hideMark/>
          </w:tcPr>
          <w:p w14:paraId="1713C3F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4344</w:t>
            </w:r>
          </w:p>
        </w:tc>
        <w:tc>
          <w:tcPr>
            <w:tcW w:w="982" w:type="dxa"/>
            <w:noWrap/>
            <w:vAlign w:val="bottom"/>
            <w:hideMark/>
          </w:tcPr>
          <w:p w14:paraId="6C51579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17745</w:t>
            </w:r>
          </w:p>
        </w:tc>
        <w:tc>
          <w:tcPr>
            <w:tcW w:w="962" w:type="dxa"/>
            <w:noWrap/>
            <w:vAlign w:val="bottom"/>
            <w:hideMark/>
          </w:tcPr>
          <w:p w14:paraId="0799D73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293%</w:t>
            </w:r>
          </w:p>
        </w:tc>
      </w:tr>
      <w:tr w:rsidR="006D2EDA" w:rsidRPr="001C7E6A" w14:paraId="43891D66" w14:textId="77777777" w:rsidTr="008D5F51">
        <w:trPr>
          <w:trHeight w:val="114"/>
        </w:trPr>
        <w:tc>
          <w:tcPr>
            <w:cnfStyle w:val="001000000000" w:firstRow="0" w:lastRow="0" w:firstColumn="1" w:lastColumn="0" w:oddVBand="0" w:evenVBand="0" w:oddHBand="0" w:evenHBand="0" w:firstRowFirstColumn="0" w:firstRowLastColumn="0" w:lastRowFirstColumn="0" w:lastRowLastColumn="0"/>
            <w:tcW w:w="941" w:type="dxa"/>
            <w:noWrap/>
            <w:hideMark/>
          </w:tcPr>
          <w:p w14:paraId="783FE6B0"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11.3</w:t>
            </w:r>
          </w:p>
        </w:tc>
        <w:tc>
          <w:tcPr>
            <w:tcW w:w="3880" w:type="dxa"/>
            <w:hideMark/>
          </w:tcPr>
          <w:p w14:paraId="4681D8DC"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uczestniczących w pozaszkolnych formach kształcenia w programie</w:t>
            </w:r>
          </w:p>
        </w:tc>
        <w:tc>
          <w:tcPr>
            <w:tcW w:w="850" w:type="dxa"/>
            <w:noWrap/>
            <w:hideMark/>
          </w:tcPr>
          <w:p w14:paraId="7E69518D"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37597</w:t>
            </w:r>
          </w:p>
        </w:tc>
        <w:tc>
          <w:tcPr>
            <w:tcW w:w="709" w:type="dxa"/>
            <w:noWrap/>
            <w:hideMark/>
          </w:tcPr>
          <w:p w14:paraId="296A8210"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4729</w:t>
            </w:r>
          </w:p>
        </w:tc>
        <w:tc>
          <w:tcPr>
            <w:tcW w:w="709" w:type="dxa"/>
            <w:noWrap/>
            <w:hideMark/>
          </w:tcPr>
          <w:p w14:paraId="760C72C1"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795%</w:t>
            </w:r>
          </w:p>
        </w:tc>
        <w:tc>
          <w:tcPr>
            <w:tcW w:w="850" w:type="dxa"/>
            <w:noWrap/>
            <w:hideMark/>
          </w:tcPr>
          <w:p w14:paraId="569B593D"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20BB4E35"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4CB400F3"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17 037,58 zł </w:t>
            </w:r>
          </w:p>
        </w:tc>
        <w:tc>
          <w:tcPr>
            <w:tcW w:w="850" w:type="dxa"/>
            <w:vMerge/>
            <w:hideMark/>
          </w:tcPr>
          <w:p w14:paraId="30953EDF"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899CD9F"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F723A14"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0C2B11FF"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€ 3 769,38 </w:t>
            </w:r>
          </w:p>
        </w:tc>
        <w:tc>
          <w:tcPr>
            <w:tcW w:w="851" w:type="dxa"/>
            <w:noWrap/>
            <w:vAlign w:val="bottom"/>
            <w:hideMark/>
          </w:tcPr>
          <w:p w14:paraId="6B5E1982"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12189</w:t>
            </w:r>
          </w:p>
        </w:tc>
        <w:tc>
          <w:tcPr>
            <w:tcW w:w="982" w:type="dxa"/>
            <w:noWrap/>
            <w:vAlign w:val="bottom"/>
            <w:hideMark/>
          </w:tcPr>
          <w:p w14:paraId="14058112"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49786</w:t>
            </w:r>
          </w:p>
        </w:tc>
        <w:tc>
          <w:tcPr>
            <w:tcW w:w="962" w:type="dxa"/>
            <w:noWrap/>
            <w:vAlign w:val="bottom"/>
            <w:hideMark/>
          </w:tcPr>
          <w:p w14:paraId="3235584C"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1053%</w:t>
            </w:r>
          </w:p>
        </w:tc>
      </w:tr>
      <w:tr w:rsidR="006D2EDA" w:rsidRPr="001C7E6A" w14:paraId="654C76DA" w14:textId="77777777" w:rsidTr="008D5F51">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941" w:type="dxa"/>
            <w:noWrap/>
            <w:hideMark/>
          </w:tcPr>
          <w:p w14:paraId="7E3997F6"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11.3</w:t>
            </w:r>
          </w:p>
        </w:tc>
        <w:tc>
          <w:tcPr>
            <w:tcW w:w="3880" w:type="dxa"/>
            <w:hideMark/>
          </w:tcPr>
          <w:p w14:paraId="0287A445"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podmiotów realizujących zadania centrum kształcenia zawodowego i ustawicznego objętych wsparciem w programie</w:t>
            </w:r>
          </w:p>
        </w:tc>
        <w:tc>
          <w:tcPr>
            <w:tcW w:w="850" w:type="dxa"/>
            <w:noWrap/>
            <w:hideMark/>
          </w:tcPr>
          <w:p w14:paraId="28B58DC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w:t>
            </w:r>
          </w:p>
        </w:tc>
        <w:tc>
          <w:tcPr>
            <w:tcW w:w="709" w:type="dxa"/>
            <w:noWrap/>
            <w:hideMark/>
          </w:tcPr>
          <w:p w14:paraId="580C2923"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2</w:t>
            </w:r>
          </w:p>
        </w:tc>
        <w:tc>
          <w:tcPr>
            <w:tcW w:w="709" w:type="dxa"/>
            <w:noWrap/>
            <w:hideMark/>
          </w:tcPr>
          <w:p w14:paraId="6593168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eastAsia="Times New Roman" w:hAnsi="Calibri" w:cs="Calibri"/>
                <w:color w:val="000000"/>
                <w:sz w:val="12"/>
                <w:szCs w:val="12"/>
                <w:lang w:eastAsia="pl-PL"/>
              </w:rPr>
              <w:t>100</w:t>
            </w:r>
            <w:r w:rsidRPr="00A13922">
              <w:rPr>
                <w:rFonts w:ascii="Calibri" w:eastAsia="Times New Roman" w:hAnsi="Calibri" w:cs="Calibri"/>
                <w:color w:val="000000"/>
                <w:sz w:val="12"/>
                <w:szCs w:val="12"/>
                <w:lang w:eastAsia="pl-PL"/>
              </w:rPr>
              <w:t>%</w:t>
            </w:r>
          </w:p>
        </w:tc>
        <w:tc>
          <w:tcPr>
            <w:tcW w:w="850" w:type="dxa"/>
            <w:noWrap/>
            <w:hideMark/>
          </w:tcPr>
          <w:p w14:paraId="56D33731"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7FF934F4"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67172E6"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320 280 871,50 zł </w:t>
            </w:r>
          </w:p>
        </w:tc>
        <w:tc>
          <w:tcPr>
            <w:tcW w:w="850" w:type="dxa"/>
            <w:vMerge/>
            <w:hideMark/>
          </w:tcPr>
          <w:p w14:paraId="1951979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6A30E12E"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703B886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36EE0BA7"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€70 858 599,89 </w:t>
            </w:r>
          </w:p>
        </w:tc>
        <w:tc>
          <w:tcPr>
            <w:tcW w:w="851" w:type="dxa"/>
            <w:noWrap/>
            <w:vAlign w:val="bottom"/>
            <w:hideMark/>
          </w:tcPr>
          <w:p w14:paraId="6541CCEC"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0</w:t>
            </w:r>
          </w:p>
        </w:tc>
        <w:tc>
          <w:tcPr>
            <w:tcW w:w="982" w:type="dxa"/>
            <w:noWrap/>
            <w:vAlign w:val="bottom"/>
            <w:hideMark/>
          </w:tcPr>
          <w:p w14:paraId="285F6FF9"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w:t>
            </w:r>
          </w:p>
        </w:tc>
        <w:tc>
          <w:tcPr>
            <w:tcW w:w="962" w:type="dxa"/>
            <w:noWrap/>
            <w:vAlign w:val="bottom"/>
            <w:hideMark/>
          </w:tcPr>
          <w:p w14:paraId="70576F0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100%</w:t>
            </w:r>
          </w:p>
        </w:tc>
      </w:tr>
      <w:tr w:rsidR="006D2EDA" w:rsidRPr="001C7E6A" w14:paraId="2A0AE017" w14:textId="77777777" w:rsidTr="008D5F51">
        <w:trPr>
          <w:trHeight w:val="70"/>
        </w:trPr>
        <w:tc>
          <w:tcPr>
            <w:cnfStyle w:val="001000000000" w:firstRow="0" w:lastRow="0" w:firstColumn="1" w:lastColumn="0" w:oddVBand="0" w:evenVBand="0" w:oddHBand="0" w:evenHBand="0" w:firstRowFirstColumn="0" w:firstRowLastColumn="0" w:lastRowFirstColumn="0" w:lastRowLastColumn="0"/>
            <w:tcW w:w="941" w:type="dxa"/>
            <w:noWrap/>
            <w:hideMark/>
          </w:tcPr>
          <w:p w14:paraId="41787252"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11.3</w:t>
            </w:r>
          </w:p>
        </w:tc>
        <w:tc>
          <w:tcPr>
            <w:tcW w:w="3880" w:type="dxa"/>
            <w:hideMark/>
          </w:tcPr>
          <w:p w14:paraId="44C6878F"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uczestniczących w szkolnych formach kształcenia w programie</w:t>
            </w:r>
          </w:p>
        </w:tc>
        <w:tc>
          <w:tcPr>
            <w:tcW w:w="850" w:type="dxa"/>
            <w:noWrap/>
            <w:hideMark/>
          </w:tcPr>
          <w:p w14:paraId="0F4B55A4"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250</w:t>
            </w:r>
          </w:p>
        </w:tc>
        <w:tc>
          <w:tcPr>
            <w:tcW w:w="709" w:type="dxa"/>
            <w:noWrap/>
            <w:hideMark/>
          </w:tcPr>
          <w:p w14:paraId="58211C24"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1804</w:t>
            </w:r>
          </w:p>
        </w:tc>
        <w:tc>
          <w:tcPr>
            <w:tcW w:w="709" w:type="dxa"/>
            <w:noWrap/>
            <w:hideMark/>
          </w:tcPr>
          <w:p w14:paraId="09416753"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w:t>
            </w:r>
          </w:p>
        </w:tc>
        <w:tc>
          <w:tcPr>
            <w:tcW w:w="850" w:type="dxa"/>
            <w:noWrap/>
            <w:hideMark/>
          </w:tcPr>
          <w:p w14:paraId="2D259141"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1554</w:t>
            </w:r>
          </w:p>
        </w:tc>
        <w:tc>
          <w:tcPr>
            <w:tcW w:w="992" w:type="dxa"/>
            <w:vMerge/>
            <w:hideMark/>
          </w:tcPr>
          <w:p w14:paraId="154223A3"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255DE07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2 562 246,97 zł </w:t>
            </w:r>
          </w:p>
        </w:tc>
        <w:tc>
          <w:tcPr>
            <w:tcW w:w="850" w:type="dxa"/>
            <w:vMerge/>
            <w:hideMark/>
          </w:tcPr>
          <w:p w14:paraId="1D78C3D8"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3CFDF90E"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764861C7"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51DC0B60"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€566 868,80 </w:t>
            </w:r>
          </w:p>
        </w:tc>
        <w:tc>
          <w:tcPr>
            <w:tcW w:w="851" w:type="dxa"/>
            <w:noWrap/>
            <w:vAlign w:val="bottom"/>
            <w:hideMark/>
          </w:tcPr>
          <w:p w14:paraId="01AD33ED"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81</w:t>
            </w:r>
          </w:p>
        </w:tc>
        <w:tc>
          <w:tcPr>
            <w:tcW w:w="982" w:type="dxa"/>
            <w:noWrap/>
            <w:vAlign w:val="bottom"/>
            <w:hideMark/>
          </w:tcPr>
          <w:p w14:paraId="6CADBA9A"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331</w:t>
            </w:r>
          </w:p>
        </w:tc>
        <w:tc>
          <w:tcPr>
            <w:tcW w:w="962" w:type="dxa"/>
            <w:noWrap/>
            <w:vAlign w:val="bottom"/>
            <w:hideMark/>
          </w:tcPr>
          <w:p w14:paraId="5FDC85EE"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18%</w:t>
            </w:r>
          </w:p>
        </w:tc>
      </w:tr>
      <w:tr w:rsidR="006D2EDA" w:rsidRPr="001C7E6A" w14:paraId="04FEAB74" w14:textId="77777777" w:rsidTr="008D5F5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941" w:type="dxa"/>
            <w:noWrap/>
            <w:hideMark/>
          </w:tcPr>
          <w:p w14:paraId="7E43AA05"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04DE6F97"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nauczycieli kształcenia zawodowego oraz instruktorów praktycznej nauki zawodu objętych wsparciem w programie</w:t>
            </w:r>
          </w:p>
        </w:tc>
        <w:tc>
          <w:tcPr>
            <w:tcW w:w="850" w:type="dxa"/>
            <w:noWrap/>
            <w:hideMark/>
          </w:tcPr>
          <w:p w14:paraId="646BAB60"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1766</w:t>
            </w:r>
          </w:p>
        </w:tc>
        <w:tc>
          <w:tcPr>
            <w:tcW w:w="709" w:type="dxa"/>
            <w:noWrap/>
            <w:hideMark/>
          </w:tcPr>
          <w:p w14:paraId="119A7292"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269</w:t>
            </w:r>
          </w:p>
        </w:tc>
        <w:tc>
          <w:tcPr>
            <w:tcW w:w="709" w:type="dxa"/>
            <w:noWrap/>
            <w:hideMark/>
          </w:tcPr>
          <w:p w14:paraId="6D2A05B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657%</w:t>
            </w:r>
          </w:p>
        </w:tc>
        <w:tc>
          <w:tcPr>
            <w:tcW w:w="850" w:type="dxa"/>
            <w:noWrap/>
            <w:hideMark/>
          </w:tcPr>
          <w:p w14:paraId="0029D337"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5F988C2B"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A462762"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362 718,99 zł </w:t>
            </w:r>
          </w:p>
        </w:tc>
        <w:tc>
          <w:tcPr>
            <w:tcW w:w="850" w:type="dxa"/>
            <w:vMerge/>
            <w:hideMark/>
          </w:tcPr>
          <w:p w14:paraId="7061DA0D"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4F723E0"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48282BA8"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481F996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€ 80 247,56 </w:t>
            </w:r>
          </w:p>
        </w:tc>
        <w:tc>
          <w:tcPr>
            <w:tcW w:w="851" w:type="dxa"/>
            <w:noWrap/>
            <w:vAlign w:val="bottom"/>
            <w:hideMark/>
          </w:tcPr>
          <w:p w14:paraId="7F4E0326"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573</w:t>
            </w:r>
          </w:p>
        </w:tc>
        <w:tc>
          <w:tcPr>
            <w:tcW w:w="982" w:type="dxa"/>
            <w:noWrap/>
            <w:vAlign w:val="bottom"/>
            <w:hideMark/>
          </w:tcPr>
          <w:p w14:paraId="6EDBC21C"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2339</w:t>
            </w:r>
          </w:p>
        </w:tc>
        <w:tc>
          <w:tcPr>
            <w:tcW w:w="962" w:type="dxa"/>
            <w:noWrap/>
            <w:vAlign w:val="bottom"/>
            <w:hideMark/>
          </w:tcPr>
          <w:p w14:paraId="7FB2AF5E"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869%</w:t>
            </w:r>
          </w:p>
        </w:tc>
      </w:tr>
      <w:tr w:rsidR="006D2EDA" w:rsidRPr="001C7E6A" w14:paraId="601CACB9" w14:textId="77777777" w:rsidTr="008D5F51">
        <w:trPr>
          <w:trHeight w:val="209"/>
        </w:trPr>
        <w:tc>
          <w:tcPr>
            <w:cnfStyle w:val="001000000000" w:firstRow="0" w:lastRow="0" w:firstColumn="1" w:lastColumn="0" w:oddVBand="0" w:evenVBand="0" w:oddHBand="0" w:evenHBand="0" w:firstRowFirstColumn="0" w:firstRowLastColumn="0" w:lastRowFirstColumn="0" w:lastRowLastColumn="0"/>
            <w:tcW w:w="941" w:type="dxa"/>
            <w:noWrap/>
            <w:hideMark/>
          </w:tcPr>
          <w:p w14:paraId="39042FD2"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70AB6B58"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i placówek kształcenia zawodowego doposażonych w programie w sprzęt i materiały dydaktyczne niezbędne do realizacji kształcenia zawodowego</w:t>
            </w:r>
          </w:p>
        </w:tc>
        <w:tc>
          <w:tcPr>
            <w:tcW w:w="850" w:type="dxa"/>
            <w:noWrap/>
            <w:hideMark/>
          </w:tcPr>
          <w:p w14:paraId="7B4209EC"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296</w:t>
            </w:r>
          </w:p>
        </w:tc>
        <w:tc>
          <w:tcPr>
            <w:tcW w:w="709" w:type="dxa"/>
            <w:noWrap/>
            <w:hideMark/>
          </w:tcPr>
          <w:p w14:paraId="2F83A5C9"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67</w:t>
            </w:r>
          </w:p>
        </w:tc>
        <w:tc>
          <w:tcPr>
            <w:tcW w:w="709" w:type="dxa"/>
            <w:noWrap/>
            <w:hideMark/>
          </w:tcPr>
          <w:p w14:paraId="687BDE05"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442%</w:t>
            </w:r>
          </w:p>
        </w:tc>
        <w:tc>
          <w:tcPr>
            <w:tcW w:w="850" w:type="dxa"/>
            <w:noWrap/>
            <w:hideMark/>
          </w:tcPr>
          <w:p w14:paraId="73014306"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2753BE3"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36872CF0"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2 164 059,94 zł </w:t>
            </w:r>
          </w:p>
        </w:tc>
        <w:tc>
          <w:tcPr>
            <w:tcW w:w="850" w:type="dxa"/>
            <w:vMerge/>
            <w:hideMark/>
          </w:tcPr>
          <w:p w14:paraId="7AD3B2E0"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2682245A"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9B9569A"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063C3DD9"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€478 774,32 </w:t>
            </w:r>
          </w:p>
        </w:tc>
        <w:tc>
          <w:tcPr>
            <w:tcW w:w="851" w:type="dxa"/>
            <w:noWrap/>
            <w:vAlign w:val="bottom"/>
            <w:hideMark/>
          </w:tcPr>
          <w:p w14:paraId="501D508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96</w:t>
            </w:r>
          </w:p>
        </w:tc>
        <w:tc>
          <w:tcPr>
            <w:tcW w:w="982" w:type="dxa"/>
            <w:noWrap/>
            <w:vAlign w:val="bottom"/>
            <w:hideMark/>
          </w:tcPr>
          <w:p w14:paraId="0FA70258"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392</w:t>
            </w:r>
          </w:p>
        </w:tc>
        <w:tc>
          <w:tcPr>
            <w:tcW w:w="962" w:type="dxa"/>
            <w:noWrap/>
            <w:vAlign w:val="bottom"/>
            <w:hideMark/>
          </w:tcPr>
          <w:p w14:paraId="15119F65"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585%</w:t>
            </w:r>
          </w:p>
        </w:tc>
      </w:tr>
      <w:tr w:rsidR="006D2EDA" w:rsidRPr="001C7E6A" w14:paraId="76F67130" w14:textId="77777777" w:rsidTr="008D5F5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41" w:type="dxa"/>
            <w:noWrap/>
            <w:hideMark/>
          </w:tcPr>
          <w:p w14:paraId="471B168A"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753C8419"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objętych wsparciem w zakresie rozwijania kompetencji kluczowych lub umiejętności uniwersalnych niezbędnych na rynku pracy w programie</w:t>
            </w:r>
          </w:p>
        </w:tc>
        <w:tc>
          <w:tcPr>
            <w:tcW w:w="850" w:type="dxa"/>
            <w:noWrap/>
            <w:hideMark/>
          </w:tcPr>
          <w:p w14:paraId="2DA4965D"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455</w:t>
            </w:r>
          </w:p>
        </w:tc>
        <w:tc>
          <w:tcPr>
            <w:tcW w:w="709" w:type="dxa"/>
            <w:noWrap/>
            <w:hideMark/>
          </w:tcPr>
          <w:p w14:paraId="1E293B30"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1897</w:t>
            </w:r>
          </w:p>
        </w:tc>
        <w:tc>
          <w:tcPr>
            <w:tcW w:w="709" w:type="dxa"/>
            <w:noWrap/>
            <w:hideMark/>
          </w:tcPr>
          <w:p w14:paraId="2ED06C44"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24%</w:t>
            </w:r>
          </w:p>
        </w:tc>
        <w:tc>
          <w:tcPr>
            <w:tcW w:w="850" w:type="dxa"/>
            <w:noWrap/>
            <w:hideMark/>
          </w:tcPr>
          <w:p w14:paraId="0CD63FA7"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1442</w:t>
            </w:r>
          </w:p>
        </w:tc>
        <w:tc>
          <w:tcPr>
            <w:tcW w:w="992" w:type="dxa"/>
            <w:vMerge/>
            <w:hideMark/>
          </w:tcPr>
          <w:p w14:paraId="1254A012"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538D8112"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1 407 828,01 zł </w:t>
            </w:r>
          </w:p>
        </w:tc>
        <w:tc>
          <w:tcPr>
            <w:tcW w:w="850" w:type="dxa"/>
            <w:vMerge/>
            <w:hideMark/>
          </w:tcPr>
          <w:p w14:paraId="769D61A8"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EB86D3C"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54434C5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34D5AD7B"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€311 466,37 </w:t>
            </w:r>
          </w:p>
        </w:tc>
        <w:tc>
          <w:tcPr>
            <w:tcW w:w="851" w:type="dxa"/>
            <w:noWrap/>
            <w:vAlign w:val="bottom"/>
            <w:hideMark/>
          </w:tcPr>
          <w:p w14:paraId="046D20C7"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148</w:t>
            </w:r>
          </w:p>
        </w:tc>
        <w:tc>
          <w:tcPr>
            <w:tcW w:w="982" w:type="dxa"/>
            <w:noWrap/>
            <w:vAlign w:val="bottom"/>
            <w:hideMark/>
          </w:tcPr>
          <w:p w14:paraId="698F24A4"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603</w:t>
            </w:r>
          </w:p>
        </w:tc>
        <w:tc>
          <w:tcPr>
            <w:tcW w:w="962" w:type="dxa"/>
            <w:noWrap/>
            <w:vAlign w:val="bottom"/>
            <w:hideMark/>
          </w:tcPr>
          <w:p w14:paraId="337DAA2E"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32%</w:t>
            </w:r>
          </w:p>
        </w:tc>
      </w:tr>
      <w:tr w:rsidR="006D2EDA" w:rsidRPr="001C7E6A" w14:paraId="794FD3A2" w14:textId="77777777" w:rsidTr="008D5F51">
        <w:trPr>
          <w:trHeight w:val="122"/>
        </w:trPr>
        <w:tc>
          <w:tcPr>
            <w:cnfStyle w:val="001000000000" w:firstRow="0" w:lastRow="0" w:firstColumn="1" w:lastColumn="0" w:oddVBand="0" w:evenVBand="0" w:oddHBand="0" w:evenHBand="0" w:firstRowFirstColumn="0" w:firstRowLastColumn="0" w:lastRowFirstColumn="0" w:lastRowLastColumn="0"/>
            <w:tcW w:w="941" w:type="dxa"/>
            <w:noWrap/>
            <w:hideMark/>
          </w:tcPr>
          <w:p w14:paraId="67612D67"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1617C913"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uczniów, którzy nabyli kompetencje kluczowe lub umiejętności uniwersalne niezbędne na rynku pracy po opuszczeniu programu</w:t>
            </w:r>
          </w:p>
        </w:tc>
        <w:tc>
          <w:tcPr>
            <w:tcW w:w="850" w:type="dxa"/>
            <w:noWrap/>
            <w:hideMark/>
          </w:tcPr>
          <w:p w14:paraId="29898CA9"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364</w:t>
            </w:r>
          </w:p>
        </w:tc>
        <w:tc>
          <w:tcPr>
            <w:tcW w:w="709" w:type="dxa"/>
            <w:noWrap/>
            <w:hideMark/>
          </w:tcPr>
          <w:p w14:paraId="1CE5F00F"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1043</w:t>
            </w:r>
          </w:p>
        </w:tc>
        <w:tc>
          <w:tcPr>
            <w:tcW w:w="709" w:type="dxa"/>
            <w:noWrap/>
            <w:hideMark/>
          </w:tcPr>
          <w:p w14:paraId="3C373FEC"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35%</w:t>
            </w:r>
          </w:p>
        </w:tc>
        <w:tc>
          <w:tcPr>
            <w:tcW w:w="850" w:type="dxa"/>
            <w:noWrap/>
            <w:hideMark/>
          </w:tcPr>
          <w:p w14:paraId="2E9C1DB9"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679</w:t>
            </w:r>
          </w:p>
        </w:tc>
        <w:tc>
          <w:tcPr>
            <w:tcW w:w="992" w:type="dxa"/>
            <w:vMerge/>
            <w:hideMark/>
          </w:tcPr>
          <w:p w14:paraId="362D05A5"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783E50B2"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1 759 785,01 zł </w:t>
            </w:r>
          </w:p>
        </w:tc>
        <w:tc>
          <w:tcPr>
            <w:tcW w:w="850" w:type="dxa"/>
            <w:vMerge/>
            <w:hideMark/>
          </w:tcPr>
          <w:p w14:paraId="09AAC0FE"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76BA7B5B"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6B1B3CE7"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0EFC6B0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€389 332,97 </w:t>
            </w:r>
          </w:p>
        </w:tc>
        <w:tc>
          <w:tcPr>
            <w:tcW w:w="851" w:type="dxa"/>
            <w:noWrap/>
            <w:vAlign w:val="bottom"/>
            <w:hideMark/>
          </w:tcPr>
          <w:p w14:paraId="04A27776"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118</w:t>
            </w:r>
          </w:p>
        </w:tc>
        <w:tc>
          <w:tcPr>
            <w:tcW w:w="982" w:type="dxa"/>
            <w:noWrap/>
            <w:vAlign w:val="bottom"/>
            <w:hideMark/>
          </w:tcPr>
          <w:p w14:paraId="67CD98C5"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482</w:t>
            </w:r>
          </w:p>
        </w:tc>
        <w:tc>
          <w:tcPr>
            <w:tcW w:w="962" w:type="dxa"/>
            <w:noWrap/>
            <w:vAlign w:val="bottom"/>
            <w:hideMark/>
          </w:tcPr>
          <w:p w14:paraId="556AB287"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46%</w:t>
            </w:r>
          </w:p>
        </w:tc>
      </w:tr>
      <w:tr w:rsidR="006D2EDA" w:rsidRPr="001C7E6A" w14:paraId="44F5031B" w14:textId="77777777" w:rsidTr="008D5F5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41" w:type="dxa"/>
            <w:noWrap/>
            <w:hideMark/>
          </w:tcPr>
          <w:p w14:paraId="0676F1F4"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11.3</w:t>
            </w:r>
          </w:p>
        </w:tc>
        <w:tc>
          <w:tcPr>
            <w:tcW w:w="3880" w:type="dxa"/>
            <w:hideMark/>
          </w:tcPr>
          <w:p w14:paraId="1C2CDA1C"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osób, które uzyskały kwalifikacje w ramach pozaszkolnych form kształcenia</w:t>
            </w:r>
          </w:p>
        </w:tc>
        <w:tc>
          <w:tcPr>
            <w:tcW w:w="850" w:type="dxa"/>
            <w:noWrap/>
            <w:hideMark/>
          </w:tcPr>
          <w:p w14:paraId="7FB82E0C"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30091</w:t>
            </w:r>
          </w:p>
        </w:tc>
        <w:tc>
          <w:tcPr>
            <w:tcW w:w="709" w:type="dxa"/>
            <w:noWrap/>
            <w:hideMark/>
          </w:tcPr>
          <w:p w14:paraId="57CB864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709</w:t>
            </w:r>
          </w:p>
        </w:tc>
        <w:tc>
          <w:tcPr>
            <w:tcW w:w="709" w:type="dxa"/>
            <w:noWrap/>
            <w:hideMark/>
          </w:tcPr>
          <w:p w14:paraId="35EC5998"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4244%</w:t>
            </w:r>
          </w:p>
        </w:tc>
        <w:tc>
          <w:tcPr>
            <w:tcW w:w="850" w:type="dxa"/>
            <w:noWrap/>
            <w:hideMark/>
          </w:tcPr>
          <w:p w14:paraId="4735EE57"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7B055C70"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17B836EA"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21 287,49 zł </w:t>
            </w:r>
          </w:p>
        </w:tc>
        <w:tc>
          <w:tcPr>
            <w:tcW w:w="850" w:type="dxa"/>
            <w:vMerge/>
            <w:hideMark/>
          </w:tcPr>
          <w:p w14:paraId="111F7D29"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001152A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339DAD4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430E903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€ 4 709,62 </w:t>
            </w:r>
          </w:p>
        </w:tc>
        <w:tc>
          <w:tcPr>
            <w:tcW w:w="851" w:type="dxa"/>
            <w:noWrap/>
            <w:vAlign w:val="bottom"/>
            <w:hideMark/>
          </w:tcPr>
          <w:p w14:paraId="20BF26EF"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9755</w:t>
            </w:r>
          </w:p>
        </w:tc>
        <w:tc>
          <w:tcPr>
            <w:tcW w:w="982" w:type="dxa"/>
            <w:noWrap/>
            <w:vAlign w:val="bottom"/>
            <w:hideMark/>
          </w:tcPr>
          <w:p w14:paraId="604564F5"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39846</w:t>
            </w:r>
          </w:p>
        </w:tc>
        <w:tc>
          <w:tcPr>
            <w:tcW w:w="962" w:type="dxa"/>
            <w:noWrap/>
            <w:vAlign w:val="bottom"/>
            <w:hideMark/>
          </w:tcPr>
          <w:p w14:paraId="613EE57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5620%</w:t>
            </w:r>
          </w:p>
        </w:tc>
      </w:tr>
      <w:tr w:rsidR="006D2EDA" w:rsidRPr="001C7E6A" w14:paraId="571EEADC" w14:textId="77777777" w:rsidTr="008D5F51">
        <w:trPr>
          <w:trHeight w:val="147"/>
        </w:trPr>
        <w:tc>
          <w:tcPr>
            <w:cnfStyle w:val="001000000000" w:firstRow="0" w:lastRow="0" w:firstColumn="1" w:lastColumn="0" w:oddVBand="0" w:evenVBand="0" w:oddHBand="0" w:evenHBand="0" w:firstRowFirstColumn="0" w:firstRowLastColumn="0" w:lastRowFirstColumn="0" w:lastRowLastColumn="0"/>
            <w:tcW w:w="941" w:type="dxa"/>
            <w:noWrap/>
            <w:hideMark/>
          </w:tcPr>
          <w:p w14:paraId="06850199"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379AF571"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szkół i placówek kształcenia zawodowego wykorzystujących doposażenie zakupione dzięki EFS</w:t>
            </w:r>
          </w:p>
        </w:tc>
        <w:tc>
          <w:tcPr>
            <w:tcW w:w="850" w:type="dxa"/>
            <w:noWrap/>
            <w:hideMark/>
          </w:tcPr>
          <w:p w14:paraId="4EC6C5FE"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299</w:t>
            </w:r>
          </w:p>
        </w:tc>
        <w:tc>
          <w:tcPr>
            <w:tcW w:w="709" w:type="dxa"/>
            <w:noWrap/>
            <w:hideMark/>
          </w:tcPr>
          <w:p w14:paraId="3AA6883A"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67</w:t>
            </w:r>
          </w:p>
        </w:tc>
        <w:tc>
          <w:tcPr>
            <w:tcW w:w="709" w:type="dxa"/>
            <w:noWrap/>
            <w:hideMark/>
          </w:tcPr>
          <w:p w14:paraId="21C4E294"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446%</w:t>
            </w:r>
          </w:p>
        </w:tc>
        <w:tc>
          <w:tcPr>
            <w:tcW w:w="850" w:type="dxa"/>
            <w:noWrap/>
            <w:hideMark/>
          </w:tcPr>
          <w:p w14:paraId="19350283"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21AE1EA7" w14:textId="77777777" w:rsidR="006D2EDA" w:rsidRPr="00A13922" w:rsidRDefault="006D2EDA"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2FDAB5F3"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 2 142 346,97 zł </w:t>
            </w:r>
          </w:p>
        </w:tc>
        <w:tc>
          <w:tcPr>
            <w:tcW w:w="850" w:type="dxa"/>
            <w:vMerge/>
            <w:hideMark/>
          </w:tcPr>
          <w:p w14:paraId="7482F77A"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5F5CF91B"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0CCD6F55"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4034C048"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€473 970,57 </w:t>
            </w:r>
          </w:p>
        </w:tc>
        <w:tc>
          <w:tcPr>
            <w:tcW w:w="851" w:type="dxa"/>
            <w:noWrap/>
            <w:vAlign w:val="bottom"/>
            <w:hideMark/>
          </w:tcPr>
          <w:p w14:paraId="42C17108"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97</w:t>
            </w:r>
          </w:p>
        </w:tc>
        <w:tc>
          <w:tcPr>
            <w:tcW w:w="982" w:type="dxa"/>
            <w:noWrap/>
            <w:vAlign w:val="bottom"/>
            <w:hideMark/>
          </w:tcPr>
          <w:p w14:paraId="121A28CF"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396</w:t>
            </w:r>
          </w:p>
        </w:tc>
        <w:tc>
          <w:tcPr>
            <w:tcW w:w="962" w:type="dxa"/>
            <w:noWrap/>
            <w:vAlign w:val="bottom"/>
            <w:hideMark/>
          </w:tcPr>
          <w:p w14:paraId="109C4C11" w14:textId="77777777" w:rsidR="006D2EDA" w:rsidRPr="00A13922" w:rsidRDefault="006D2EDA"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591%</w:t>
            </w:r>
          </w:p>
        </w:tc>
      </w:tr>
      <w:tr w:rsidR="006D2EDA" w:rsidRPr="001C7E6A" w14:paraId="3DD2B328" w14:textId="77777777" w:rsidTr="008D5F5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41" w:type="dxa"/>
            <w:noWrap/>
            <w:hideMark/>
          </w:tcPr>
          <w:p w14:paraId="5824ED16" w14:textId="77777777" w:rsidR="006D2EDA" w:rsidRPr="00A13922" w:rsidRDefault="006D2EDA" w:rsidP="00DF64C7">
            <w:pPr>
              <w:jc w:val="left"/>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11.2</w:t>
            </w:r>
          </w:p>
        </w:tc>
        <w:tc>
          <w:tcPr>
            <w:tcW w:w="3880" w:type="dxa"/>
            <w:hideMark/>
          </w:tcPr>
          <w:p w14:paraId="1BA845CD"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Liczba nauczycieli kształcenia zawodowego oraz instruktorów praktycznej nauki zawodu, którzy uzyskali kwalifikacje lub nabyli kompetencje po opuszczeniu programu</w:t>
            </w:r>
          </w:p>
        </w:tc>
        <w:tc>
          <w:tcPr>
            <w:tcW w:w="850" w:type="dxa"/>
            <w:noWrap/>
            <w:hideMark/>
          </w:tcPr>
          <w:p w14:paraId="218A9707"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1672</w:t>
            </w:r>
          </w:p>
        </w:tc>
        <w:tc>
          <w:tcPr>
            <w:tcW w:w="709" w:type="dxa"/>
            <w:noWrap/>
            <w:hideMark/>
          </w:tcPr>
          <w:p w14:paraId="5CD09AF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215</w:t>
            </w:r>
          </w:p>
        </w:tc>
        <w:tc>
          <w:tcPr>
            <w:tcW w:w="709" w:type="dxa"/>
            <w:noWrap/>
            <w:hideMark/>
          </w:tcPr>
          <w:p w14:paraId="49D5009E"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778%</w:t>
            </w:r>
          </w:p>
        </w:tc>
        <w:tc>
          <w:tcPr>
            <w:tcW w:w="850" w:type="dxa"/>
            <w:noWrap/>
            <w:hideMark/>
          </w:tcPr>
          <w:p w14:paraId="0B858AEA"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Wskaźnik osiągnięty</w:t>
            </w:r>
          </w:p>
        </w:tc>
        <w:tc>
          <w:tcPr>
            <w:tcW w:w="992" w:type="dxa"/>
            <w:vMerge/>
            <w:hideMark/>
          </w:tcPr>
          <w:p w14:paraId="1D2EDA7F" w14:textId="77777777" w:rsidR="006D2EDA" w:rsidRPr="00A13922" w:rsidRDefault="006D2EDA"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1" w:type="dxa"/>
            <w:noWrap/>
            <w:hideMark/>
          </w:tcPr>
          <w:p w14:paraId="2981096A"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sidRPr="00A13922">
              <w:rPr>
                <w:rFonts w:ascii="Calibri" w:eastAsia="Times New Roman" w:hAnsi="Calibri" w:cs="Calibri"/>
                <w:color w:val="000000"/>
                <w:sz w:val="12"/>
                <w:szCs w:val="12"/>
                <w:lang w:eastAsia="pl-PL"/>
              </w:rPr>
              <w:t xml:space="preserve">383 111,09 zł </w:t>
            </w:r>
          </w:p>
        </w:tc>
        <w:tc>
          <w:tcPr>
            <w:tcW w:w="850" w:type="dxa"/>
            <w:vMerge/>
            <w:hideMark/>
          </w:tcPr>
          <w:p w14:paraId="5652E1BA"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hideMark/>
          </w:tcPr>
          <w:p w14:paraId="44AA7B94"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709" w:type="dxa"/>
            <w:vMerge/>
            <w:vAlign w:val="center"/>
            <w:hideMark/>
          </w:tcPr>
          <w:p w14:paraId="5B53C2E4"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p>
        </w:tc>
        <w:tc>
          <w:tcPr>
            <w:tcW w:w="850" w:type="dxa"/>
            <w:noWrap/>
            <w:vAlign w:val="bottom"/>
            <w:hideMark/>
          </w:tcPr>
          <w:p w14:paraId="376894C6"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 xml:space="preserve"> € 84 759,09 </w:t>
            </w:r>
          </w:p>
        </w:tc>
        <w:tc>
          <w:tcPr>
            <w:tcW w:w="851" w:type="dxa"/>
            <w:noWrap/>
            <w:vAlign w:val="bottom"/>
            <w:hideMark/>
          </w:tcPr>
          <w:p w14:paraId="422031A4"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542</w:t>
            </w:r>
          </w:p>
        </w:tc>
        <w:tc>
          <w:tcPr>
            <w:tcW w:w="982" w:type="dxa"/>
            <w:noWrap/>
            <w:vAlign w:val="bottom"/>
            <w:hideMark/>
          </w:tcPr>
          <w:p w14:paraId="681D45E1"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2214</w:t>
            </w:r>
          </w:p>
        </w:tc>
        <w:tc>
          <w:tcPr>
            <w:tcW w:w="962" w:type="dxa"/>
            <w:noWrap/>
            <w:vAlign w:val="bottom"/>
            <w:hideMark/>
          </w:tcPr>
          <w:p w14:paraId="460EB8C2" w14:textId="77777777" w:rsidR="006D2EDA" w:rsidRPr="00A13922" w:rsidRDefault="006D2EDA"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lang w:eastAsia="pl-PL"/>
              </w:rPr>
            </w:pPr>
            <w:r>
              <w:rPr>
                <w:rFonts w:ascii="Calibri" w:hAnsi="Calibri" w:cs="Calibri"/>
                <w:color w:val="000000"/>
                <w:sz w:val="14"/>
                <w:szCs w:val="14"/>
              </w:rPr>
              <w:t>1030%</w:t>
            </w:r>
          </w:p>
        </w:tc>
      </w:tr>
    </w:tbl>
    <w:p w14:paraId="572FE6B6" w14:textId="77777777" w:rsidR="006D2EDA" w:rsidRPr="00A13922" w:rsidRDefault="006D2EDA" w:rsidP="00DF64C7">
      <w:pPr>
        <w:pStyle w:val="podpisrdailustracji"/>
        <w:spacing w:line="271" w:lineRule="auto"/>
        <w:jc w:val="left"/>
      </w:pPr>
      <w:r w:rsidRPr="00A13922">
        <w:t xml:space="preserve">Źródło: </w:t>
      </w:r>
      <w:r>
        <w:t>opracowanie własne na podstawie: dokumentu pn. Realizacja Regionalnego Programu Operacyjnego Województwa Śląskiego 2014-2020 – stan na dzień 14 października 2019 r. oraz danych pozyskanych z SL (na dzień 1.10.2019 r.).</w:t>
      </w:r>
    </w:p>
    <w:p w14:paraId="63B2C482" w14:textId="77777777" w:rsidR="006D2EDA" w:rsidRDefault="006D2EDA" w:rsidP="00DF64C7">
      <w:pPr>
        <w:pStyle w:val="Legenda"/>
        <w:jc w:val="left"/>
        <w:rPr>
          <w:rStyle w:val="Odwoanieintensywne"/>
        </w:rPr>
        <w:sectPr w:rsidR="006D2EDA" w:rsidSect="00E24BD3">
          <w:footerReference w:type="default" r:id="rId85"/>
          <w:pgSz w:w="16838" w:h="11906" w:orient="landscape"/>
          <w:pgMar w:top="1418" w:right="1418" w:bottom="1418" w:left="1418" w:header="709" w:footer="709" w:gutter="0"/>
          <w:cols w:space="708"/>
          <w:docGrid w:linePitch="360"/>
        </w:sectPr>
      </w:pPr>
    </w:p>
    <w:p w14:paraId="5C299ABF" w14:textId="77777777" w:rsidR="00B11F10" w:rsidRDefault="00B11F10" w:rsidP="00DF64C7">
      <w:pPr>
        <w:jc w:val="left"/>
      </w:pPr>
      <w:r>
        <w:t xml:space="preserve">W związku ze zidentyfikowaniem dwóch wskaźników, których prognozowane wartości docelowe (2023 r.) nie przekroczyły 100% (tj.: </w:t>
      </w:r>
      <w:r w:rsidRPr="00D06775">
        <w:t>Potencjał obj</w:t>
      </w:r>
      <w:r>
        <w:t>ętej wsparciem infrastruktury w </w:t>
      </w:r>
      <w:r w:rsidRPr="00D06775">
        <w:t>zakresie opieki nad dziećmi lub infrastruktury edukacyjnej</w:t>
      </w:r>
      <w:r>
        <w:t xml:space="preserve"> oraz </w:t>
      </w:r>
      <w:r w:rsidRPr="00D06775">
        <w:t>Liczba osób uczestniczących w szkolnych formach kształcenia w programie</w:t>
      </w:r>
      <w:r>
        <w:rPr>
          <w:rStyle w:val="Odwoanieprzypisudolnego"/>
        </w:rPr>
        <w:footnoteReference w:id="134"/>
      </w:r>
      <w:r>
        <w:t xml:space="preserve">) przeprowadzono analizę umożliwiającą określenie liczby projektów, które są możliwe do zrealizowania przy dostępnej alokacji. </w:t>
      </w:r>
    </w:p>
    <w:p w14:paraId="43228454" w14:textId="77777777" w:rsidR="00B11F10" w:rsidRDefault="00B11F10" w:rsidP="00DF64C7">
      <w:pPr>
        <w:pStyle w:val="Akapitzlist"/>
        <w:numPr>
          <w:ilvl w:val="0"/>
          <w:numId w:val="126"/>
        </w:numPr>
        <w:spacing w:after="200" w:line="276" w:lineRule="auto"/>
        <w:jc w:val="left"/>
      </w:pPr>
      <w:r>
        <w:t xml:space="preserve">Wskaźnik: </w:t>
      </w:r>
      <w:r w:rsidRPr="00D06775">
        <w:t>Potencjał objętej wsparciem infrastruktury w zakresie opieki nad dziećmi lub infrastruktury edukacyjnej</w:t>
      </w:r>
      <w:r>
        <w:t xml:space="preserve"> realizowany był przez 56 projektów i zgodnie z przeprowadzoną analizą możliwa jest realizacja jeszcze 6 projektów.</w:t>
      </w:r>
    </w:p>
    <w:p w14:paraId="1E3B566C" w14:textId="77777777" w:rsidR="00B11F10" w:rsidRDefault="00B11F10" w:rsidP="00DF64C7">
      <w:pPr>
        <w:pStyle w:val="Akapitzlist"/>
        <w:numPr>
          <w:ilvl w:val="0"/>
          <w:numId w:val="126"/>
        </w:numPr>
        <w:spacing w:after="200" w:line="276" w:lineRule="auto"/>
        <w:jc w:val="left"/>
      </w:pPr>
      <w:r>
        <w:t xml:space="preserve">Wskaźnik: </w:t>
      </w:r>
      <w:r w:rsidRPr="00D06775">
        <w:t>Liczba osób uczestniczących w szkolnych formach kształcenia w programie</w:t>
      </w:r>
      <w:r>
        <w:t xml:space="preserve"> realizowany był przez </w:t>
      </w:r>
      <w:r w:rsidR="002F725D">
        <w:t>37</w:t>
      </w:r>
      <w:r>
        <w:t xml:space="preserve"> projektów i zgodnie z przeprowadzoną analizą możliwa jest realizacja jeszcze </w:t>
      </w:r>
      <w:r w:rsidR="002F725D">
        <w:t>12</w:t>
      </w:r>
      <w:r>
        <w:t xml:space="preserve"> projektów.</w:t>
      </w:r>
    </w:p>
    <w:p w14:paraId="656F20C8" w14:textId="77777777" w:rsidR="00B11F10" w:rsidRDefault="00B11F10" w:rsidP="001412E4">
      <w:pPr>
        <w:jc w:val="left"/>
      </w:pPr>
      <w:r>
        <w:t xml:space="preserve">W związku z powyższym można uznać, że możliwe jest osiągnięcie 85% wartości docelowej wskaźnika: </w:t>
      </w:r>
      <w:r w:rsidRPr="00D06775">
        <w:t>Potencjał objętej wsparciem infrastruktury w zakresie opieki nad dziećmi lub infrastruktury edukacyjnej</w:t>
      </w:r>
      <w:r>
        <w:t xml:space="preserve"> ze względu na przeciętne realizowanie wskaźnika przez jeden projekt na poziomie 1,41%</w:t>
      </w:r>
      <w:r>
        <w:rPr>
          <w:rStyle w:val="Odwoanieprzypisudolnego"/>
        </w:rPr>
        <w:footnoteReference w:id="135"/>
      </w:r>
      <w:r>
        <w:t xml:space="preserve"> - co przy założeniu możliwej realizacji 6 projektów daje realizację wskaźnika w 2023 r. na poziomie 87%. Jednakże zgodnie z harmonogramem naborów </w:t>
      </w:r>
      <w:r w:rsidR="00FC1039">
        <w:t>wniosków</w:t>
      </w:r>
      <w:r>
        <w:t xml:space="preserve"> na 2020 r. zaplanowano 2 000 000 zł na projekty: </w:t>
      </w:r>
      <w:r w:rsidRPr="002C60A8">
        <w:t>Przebudowa, budowa , remont laboratoriów, sal do praktycznej nauki zawodu wraz z zapewnieniem wyposażenia, w tym przystosowanie do</w:t>
      </w:r>
      <w:r>
        <w:t xml:space="preserve"> potrzeb osób niepełnosprawnych , co zgodnie z przeprowadzoną analizą uniemożliwi osiągnięcie wartości wskaźnika powyżej 85%.</w:t>
      </w:r>
    </w:p>
    <w:p w14:paraId="734997A8" w14:textId="77777777" w:rsidR="00B11F10" w:rsidRDefault="00B11F10" w:rsidP="001412E4">
      <w:pPr>
        <w:jc w:val="left"/>
      </w:pPr>
    </w:p>
    <w:p w14:paraId="694C03A9" w14:textId="77777777" w:rsidR="00B11F10" w:rsidRDefault="00B11F10" w:rsidP="001412E4">
      <w:pPr>
        <w:jc w:val="left"/>
      </w:pPr>
      <w:r>
        <w:t xml:space="preserve">W przypadku wskaźnika: </w:t>
      </w:r>
      <w:r w:rsidRPr="00D06775">
        <w:t>Liczba osób uczestniczących w szkolnych formach kształcenia w programie</w:t>
      </w:r>
      <w:r>
        <w:t xml:space="preserve"> </w:t>
      </w:r>
      <w:r w:rsidR="00200AF1">
        <w:t xml:space="preserve">ze względu </w:t>
      </w:r>
      <w:r>
        <w:t xml:space="preserve">na przeciętne realizowanie wskaźnika przez jeden projekt </w:t>
      </w:r>
      <w:r w:rsidR="00200AF1">
        <w:t>na poziomie</w:t>
      </w:r>
      <w:r>
        <w:t xml:space="preserve"> 0,</w:t>
      </w:r>
      <w:r w:rsidR="002F725D">
        <w:t>4</w:t>
      </w:r>
      <w:r>
        <w:t xml:space="preserve">%, co przy założeniu możliwej realizacji </w:t>
      </w:r>
      <w:r w:rsidR="002F725D">
        <w:t>12</w:t>
      </w:r>
      <w:r>
        <w:t xml:space="preserve">projektów kształtuje wartość docelową wskaźnika (2023 r.) na poziomie </w:t>
      </w:r>
      <w:r w:rsidR="002F725D">
        <w:t>20</w:t>
      </w:r>
      <w:r>
        <w:t xml:space="preserve">%. Ponadto, zgodnie z harmonogramem naborów, w 2020 r. nie planuje się realizacji działań 11.3, których realizacja umożliwia osiągnięcie przedmiotowego wskaźnika. </w:t>
      </w:r>
    </w:p>
    <w:p w14:paraId="24355F82" w14:textId="77777777" w:rsidR="00B11F10" w:rsidRDefault="00B11F10" w:rsidP="00DF64C7">
      <w:pPr>
        <w:jc w:val="left"/>
        <w:sectPr w:rsidR="00B11F10" w:rsidSect="00DA127E">
          <w:pgSz w:w="11906" w:h="16838"/>
          <w:pgMar w:top="1418" w:right="1418" w:bottom="1418" w:left="1418" w:header="709" w:footer="709" w:gutter="0"/>
          <w:cols w:space="708"/>
          <w:docGrid w:linePitch="360"/>
        </w:sectPr>
      </w:pPr>
    </w:p>
    <w:p w14:paraId="2E9DD465" w14:textId="77777777" w:rsidR="008873F5" w:rsidRDefault="008873F5" w:rsidP="00DF64C7">
      <w:pPr>
        <w:pStyle w:val="Legenda"/>
        <w:spacing w:line="271" w:lineRule="auto"/>
        <w:jc w:val="left"/>
      </w:pPr>
      <w:r>
        <w:t>Tabela 45. Analiza określająca możliwą liczbę projektów realizujących wskaźniki przy dostępnej alokacji</w:t>
      </w:r>
    </w:p>
    <w:tbl>
      <w:tblPr>
        <w:tblStyle w:val="Tabelasiatki4akcent61"/>
        <w:tblW w:w="5000" w:type="pct"/>
        <w:tblLayout w:type="fixed"/>
        <w:tblLook w:val="04A0" w:firstRow="1" w:lastRow="0" w:firstColumn="1" w:lastColumn="0" w:noHBand="0" w:noVBand="1"/>
        <w:tblCaption w:val="Analiza określająca możliwą liczbę projektów realizujących wskaźniki przy dostępnej alokacji"/>
        <w:tblDescription w:val="Tabela przedstawia analizę okreslajaca możliwą liczbę projektów realizujących wskaźniki przy dostępnej alokacji. Najwyższa liczba projektów, która jest możliwa do zrealizowania przy dostępnej alokacji wyniosła 95 i przypadła na wskaźniki Liczba uczniów objętych wsparciem w zakresie rozwijania kompetencji kluczowych lub umiejętności uniwersalnych niezbędnych na rynku pracy w programie oraz&#10;Liczba uczniów, którzy nabyli kompetencje kluczowe lub umiejętności uniwersalne niezbędne na rynku pracy po opuszczeniu programu&#10;"/>
      </w:tblPr>
      <w:tblGrid>
        <w:gridCol w:w="7651"/>
        <w:gridCol w:w="1276"/>
        <w:gridCol w:w="1307"/>
        <w:gridCol w:w="968"/>
        <w:gridCol w:w="1822"/>
        <w:gridCol w:w="968"/>
      </w:tblGrid>
      <w:tr w:rsidR="009F1014" w:rsidRPr="001C7E6A" w14:paraId="46100C91" w14:textId="77777777" w:rsidTr="00DA127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34" w:type="pct"/>
            <w:noWrap/>
            <w:hideMark/>
          </w:tcPr>
          <w:p w14:paraId="77E9FC2E"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Wskaźnik</w:t>
            </w:r>
          </w:p>
        </w:tc>
        <w:tc>
          <w:tcPr>
            <w:tcW w:w="456" w:type="pct"/>
            <w:hideMark/>
          </w:tcPr>
          <w:p w14:paraId="667C7A94" w14:textId="77777777" w:rsidR="008873F5" w:rsidRPr="001C7E6A" w:rsidRDefault="008873F5"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Wartość podpisanych umów o dofinansowanie</w:t>
            </w:r>
            <w:r>
              <w:rPr>
                <w:rFonts w:ascii="Calibri" w:eastAsia="Times New Roman" w:hAnsi="Calibri" w:cs="Calibri"/>
                <w:color w:val="000000"/>
                <w:sz w:val="14"/>
                <w:szCs w:val="14"/>
                <w:lang w:eastAsia="pl-PL"/>
              </w:rPr>
              <w:t xml:space="preserve"> na dzień 14.10.2019 r.</w:t>
            </w:r>
            <w:r w:rsidRPr="001C7E6A">
              <w:rPr>
                <w:rFonts w:ascii="Calibri" w:eastAsia="Times New Roman" w:hAnsi="Calibri" w:cs="Calibri"/>
                <w:color w:val="000000"/>
                <w:sz w:val="14"/>
                <w:szCs w:val="14"/>
                <w:lang w:eastAsia="pl-PL"/>
              </w:rPr>
              <w:t xml:space="preserve"> (PLN)</w:t>
            </w:r>
          </w:p>
        </w:tc>
        <w:tc>
          <w:tcPr>
            <w:tcW w:w="467" w:type="pct"/>
            <w:hideMark/>
          </w:tcPr>
          <w:p w14:paraId="507761FF" w14:textId="77777777" w:rsidR="008873F5" w:rsidRPr="001C7E6A" w:rsidRDefault="008873F5"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Alokacja pozostała (PLN)</w:t>
            </w:r>
          </w:p>
        </w:tc>
        <w:tc>
          <w:tcPr>
            <w:tcW w:w="346" w:type="pct"/>
            <w:hideMark/>
          </w:tcPr>
          <w:p w14:paraId="0EF75280" w14:textId="77777777" w:rsidR="008873F5" w:rsidRPr="001C7E6A" w:rsidRDefault="008873F5"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projektów realizujących wskaźnik</w:t>
            </w:r>
            <w:r>
              <w:rPr>
                <w:rFonts w:ascii="Calibri" w:eastAsia="Times New Roman" w:hAnsi="Calibri" w:cs="Calibri"/>
                <w:color w:val="000000"/>
                <w:sz w:val="14"/>
                <w:szCs w:val="14"/>
                <w:lang w:eastAsia="pl-PL"/>
              </w:rPr>
              <w:t xml:space="preserve"> (dla projektów </w:t>
            </w:r>
            <w:r w:rsidR="00D86F90">
              <w:rPr>
                <w:rFonts w:ascii="Calibri" w:eastAsia="Times New Roman" w:hAnsi="Calibri" w:cs="Calibri"/>
                <w:color w:val="000000"/>
                <w:sz w:val="14"/>
                <w:szCs w:val="14"/>
                <w:lang w:eastAsia="pl-PL"/>
              </w:rPr>
              <w:t>zakończonych</w:t>
            </w:r>
            <w:r>
              <w:rPr>
                <w:rFonts w:ascii="Calibri" w:eastAsia="Times New Roman" w:hAnsi="Calibri" w:cs="Calibri"/>
                <w:color w:val="000000"/>
                <w:sz w:val="14"/>
                <w:szCs w:val="14"/>
                <w:lang w:eastAsia="pl-PL"/>
              </w:rPr>
              <w:t>)</w:t>
            </w:r>
          </w:p>
        </w:tc>
        <w:tc>
          <w:tcPr>
            <w:tcW w:w="651" w:type="pct"/>
            <w:noWrap/>
            <w:hideMark/>
          </w:tcPr>
          <w:p w14:paraId="4124AA54" w14:textId="77777777" w:rsidR="008873F5" w:rsidRPr="001C7E6A" w:rsidRDefault="008873F5"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Szacowany koszt 1 projektu</w:t>
            </w:r>
            <w:r>
              <w:rPr>
                <w:rStyle w:val="Odwoanieprzypisudolnego"/>
                <w:rFonts w:eastAsia="Times New Roman"/>
                <w:color w:val="000000"/>
                <w:sz w:val="14"/>
                <w:szCs w:val="14"/>
                <w:lang w:eastAsia="pl-PL"/>
              </w:rPr>
              <w:footnoteReference w:id="136"/>
            </w:r>
          </w:p>
        </w:tc>
        <w:tc>
          <w:tcPr>
            <w:tcW w:w="346" w:type="pct"/>
            <w:hideMark/>
          </w:tcPr>
          <w:p w14:paraId="36A72A57" w14:textId="77777777" w:rsidR="008873F5" w:rsidRPr="001C7E6A" w:rsidRDefault="008873F5" w:rsidP="00DF64C7">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projektów</w:t>
            </w:r>
            <w:r>
              <w:rPr>
                <w:rFonts w:ascii="Calibri" w:eastAsia="Times New Roman" w:hAnsi="Calibri" w:cs="Calibri"/>
                <w:color w:val="000000"/>
                <w:sz w:val="14"/>
                <w:szCs w:val="14"/>
                <w:lang w:eastAsia="pl-PL"/>
              </w:rPr>
              <w:t>, która jest możliwa do zrealizowania przy dostępnej alokacji</w:t>
            </w:r>
            <w:r w:rsidRPr="001C7E6A">
              <w:rPr>
                <w:rFonts w:ascii="Calibri" w:eastAsia="Times New Roman" w:hAnsi="Calibri" w:cs="Calibri"/>
                <w:color w:val="000000"/>
                <w:sz w:val="14"/>
                <w:szCs w:val="14"/>
                <w:lang w:eastAsia="pl-PL"/>
              </w:rPr>
              <w:t xml:space="preserve"> </w:t>
            </w:r>
          </w:p>
        </w:tc>
      </w:tr>
      <w:tr w:rsidR="009F1014" w:rsidRPr="001C7E6A" w14:paraId="416A52DC"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70BF0305"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Potencjał objętej wsparciem infrastruktury w zakresie opieki nad dziećmi lub infrastruktury edukacyjnej</w:t>
            </w:r>
          </w:p>
        </w:tc>
        <w:tc>
          <w:tcPr>
            <w:tcW w:w="456" w:type="pct"/>
            <w:vMerge w:val="restart"/>
            <w:noWrap/>
            <w:hideMark/>
          </w:tcPr>
          <w:p w14:paraId="6AE3C9AE"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316 596 373,00 zł </w:t>
            </w:r>
          </w:p>
        </w:tc>
        <w:tc>
          <w:tcPr>
            <w:tcW w:w="467" w:type="pct"/>
            <w:vMerge w:val="restart"/>
            <w:noWrap/>
            <w:hideMark/>
          </w:tcPr>
          <w:p w14:paraId="3FBD0395"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34 747 351,00 zł </w:t>
            </w:r>
          </w:p>
        </w:tc>
        <w:tc>
          <w:tcPr>
            <w:tcW w:w="346" w:type="pct"/>
            <w:noWrap/>
            <w:hideMark/>
          </w:tcPr>
          <w:p w14:paraId="513F5035"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56</w:t>
            </w:r>
          </w:p>
        </w:tc>
        <w:tc>
          <w:tcPr>
            <w:tcW w:w="651" w:type="pct"/>
            <w:noWrap/>
            <w:hideMark/>
          </w:tcPr>
          <w:p w14:paraId="04F4DC5F"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5 653 506,66 zł </w:t>
            </w:r>
          </w:p>
        </w:tc>
        <w:tc>
          <w:tcPr>
            <w:tcW w:w="346" w:type="pct"/>
            <w:noWrap/>
            <w:hideMark/>
          </w:tcPr>
          <w:p w14:paraId="40B6D731"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6</w:t>
            </w:r>
          </w:p>
        </w:tc>
      </w:tr>
      <w:tr w:rsidR="009F1014" w:rsidRPr="001C7E6A" w14:paraId="71642379"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26F99685"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wspartych obiektów infrastruktury przedszkolnej</w:t>
            </w:r>
          </w:p>
        </w:tc>
        <w:tc>
          <w:tcPr>
            <w:tcW w:w="456" w:type="pct"/>
            <w:vMerge/>
            <w:hideMark/>
          </w:tcPr>
          <w:p w14:paraId="50102290"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160ADBA3"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3998B037"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36</w:t>
            </w:r>
          </w:p>
        </w:tc>
        <w:tc>
          <w:tcPr>
            <w:tcW w:w="651" w:type="pct"/>
            <w:noWrap/>
            <w:hideMark/>
          </w:tcPr>
          <w:p w14:paraId="31AD0A12"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8 794 343,69 zł </w:t>
            </w:r>
          </w:p>
        </w:tc>
        <w:tc>
          <w:tcPr>
            <w:tcW w:w="346" w:type="pct"/>
            <w:noWrap/>
            <w:hideMark/>
          </w:tcPr>
          <w:p w14:paraId="56681115"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4</w:t>
            </w:r>
          </w:p>
        </w:tc>
      </w:tr>
      <w:tr w:rsidR="009F1014" w:rsidRPr="001C7E6A" w14:paraId="6654524A"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29B1D8C9"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wspartych obiektów infrastruktury kształcenia zawodowego</w:t>
            </w:r>
          </w:p>
        </w:tc>
        <w:tc>
          <w:tcPr>
            <w:tcW w:w="456" w:type="pct"/>
            <w:vMerge/>
            <w:hideMark/>
          </w:tcPr>
          <w:p w14:paraId="26D66C5D"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0B08015B"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4D28C42B"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20</w:t>
            </w:r>
          </w:p>
        </w:tc>
        <w:tc>
          <w:tcPr>
            <w:tcW w:w="651" w:type="pct"/>
            <w:noWrap/>
            <w:hideMark/>
          </w:tcPr>
          <w:p w14:paraId="2FFA83BB"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15 829 818,65 zł </w:t>
            </w:r>
          </w:p>
        </w:tc>
        <w:tc>
          <w:tcPr>
            <w:tcW w:w="346" w:type="pct"/>
            <w:noWrap/>
            <w:hideMark/>
          </w:tcPr>
          <w:p w14:paraId="389C7C2B"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w:t>
            </w:r>
          </w:p>
        </w:tc>
      </w:tr>
      <w:tr w:rsidR="009F1014" w:rsidRPr="001C7E6A" w14:paraId="082BFC54"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4BE5C476"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miejsc wychowania przedszkolnego dofinansowanych w programie</w:t>
            </w:r>
          </w:p>
        </w:tc>
        <w:tc>
          <w:tcPr>
            <w:tcW w:w="456" w:type="pct"/>
            <w:vMerge w:val="restart"/>
            <w:noWrap/>
            <w:hideMark/>
          </w:tcPr>
          <w:p w14:paraId="48AECC11"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640 561 743,00 zł </w:t>
            </w:r>
          </w:p>
        </w:tc>
        <w:tc>
          <w:tcPr>
            <w:tcW w:w="467" w:type="pct"/>
            <w:vMerge w:val="restart"/>
            <w:noWrap/>
            <w:hideMark/>
          </w:tcPr>
          <w:p w14:paraId="74D782E9"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207 664 266,00 zł </w:t>
            </w:r>
          </w:p>
        </w:tc>
        <w:tc>
          <w:tcPr>
            <w:tcW w:w="346" w:type="pct"/>
            <w:noWrap/>
            <w:hideMark/>
          </w:tcPr>
          <w:p w14:paraId="0AC62394"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185</w:t>
            </w:r>
          </w:p>
        </w:tc>
        <w:tc>
          <w:tcPr>
            <w:tcW w:w="651" w:type="pct"/>
            <w:noWrap/>
            <w:hideMark/>
          </w:tcPr>
          <w:p w14:paraId="6E4F8CDA"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3 462 495,91 zł </w:t>
            </w:r>
          </w:p>
        </w:tc>
        <w:tc>
          <w:tcPr>
            <w:tcW w:w="346" w:type="pct"/>
            <w:noWrap/>
            <w:hideMark/>
          </w:tcPr>
          <w:p w14:paraId="7CDB67D9"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60</w:t>
            </w:r>
          </w:p>
        </w:tc>
      </w:tr>
      <w:tr w:rsidR="009F1014" w:rsidRPr="001C7E6A" w14:paraId="1B3D2CB1"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1A7BC5CF"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dzieci objętych w ramach programu dodatkowymi zajęciami zwiększającymi ich szanse edukacyjne w edukacji przedszkolnej</w:t>
            </w:r>
          </w:p>
        </w:tc>
        <w:tc>
          <w:tcPr>
            <w:tcW w:w="456" w:type="pct"/>
            <w:vMerge/>
            <w:hideMark/>
          </w:tcPr>
          <w:p w14:paraId="19605EE2"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2124BEEC"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19BD2DC4"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196</w:t>
            </w:r>
          </w:p>
        </w:tc>
        <w:tc>
          <w:tcPr>
            <w:tcW w:w="651" w:type="pct"/>
            <w:noWrap/>
            <w:hideMark/>
          </w:tcPr>
          <w:p w14:paraId="09917D5E"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3 268 172,16 zł </w:t>
            </w:r>
          </w:p>
        </w:tc>
        <w:tc>
          <w:tcPr>
            <w:tcW w:w="346" w:type="pct"/>
            <w:noWrap/>
            <w:hideMark/>
          </w:tcPr>
          <w:p w14:paraId="2D83255D"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64</w:t>
            </w:r>
          </w:p>
        </w:tc>
      </w:tr>
      <w:tr w:rsidR="009F1014" w:rsidRPr="001C7E6A" w14:paraId="61A9B8D5"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14E835DB"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szkół, których pracownie przedmiotowe zostały doposażone w programie</w:t>
            </w:r>
          </w:p>
        </w:tc>
        <w:tc>
          <w:tcPr>
            <w:tcW w:w="456" w:type="pct"/>
            <w:vMerge/>
            <w:hideMark/>
          </w:tcPr>
          <w:p w14:paraId="2B66C4D6"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209A1B03"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530B10B0"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248</w:t>
            </w:r>
          </w:p>
        </w:tc>
        <w:tc>
          <w:tcPr>
            <w:tcW w:w="651" w:type="pct"/>
            <w:noWrap/>
            <w:hideMark/>
          </w:tcPr>
          <w:p w14:paraId="6A8C1E88"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2 582 910,25 zł </w:t>
            </w:r>
          </w:p>
        </w:tc>
        <w:tc>
          <w:tcPr>
            <w:tcW w:w="346" w:type="pct"/>
            <w:noWrap/>
            <w:hideMark/>
          </w:tcPr>
          <w:p w14:paraId="1C7C2525"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80</w:t>
            </w:r>
          </w:p>
        </w:tc>
      </w:tr>
      <w:tr w:rsidR="009F1014" w:rsidRPr="001C7E6A" w14:paraId="36EE8289"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4724ACA7"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szkół i placówek systemu oświaty wyposażonych w ramach programu w sprzęt TIK do prowadzenia zajęć edukacyjnych</w:t>
            </w:r>
          </w:p>
        </w:tc>
        <w:tc>
          <w:tcPr>
            <w:tcW w:w="456" w:type="pct"/>
            <w:vMerge/>
            <w:hideMark/>
          </w:tcPr>
          <w:p w14:paraId="6500645F"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5B178B51"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31489777"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279</w:t>
            </w:r>
          </w:p>
        </w:tc>
        <w:tc>
          <w:tcPr>
            <w:tcW w:w="651" w:type="pct"/>
            <w:noWrap/>
            <w:hideMark/>
          </w:tcPr>
          <w:p w14:paraId="48E77F6E"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2 295 920,23 zł </w:t>
            </w:r>
          </w:p>
        </w:tc>
        <w:tc>
          <w:tcPr>
            <w:tcW w:w="346" w:type="pct"/>
            <w:noWrap/>
            <w:hideMark/>
          </w:tcPr>
          <w:p w14:paraId="74107893"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90</w:t>
            </w:r>
          </w:p>
        </w:tc>
      </w:tr>
      <w:tr w:rsidR="009F1014" w:rsidRPr="001C7E6A" w14:paraId="63D872D9"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7712813B"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uczniów, którzy nabyli kompetencje kluczowe lub umiejętności uniwersalne niezbędne na rynku pracy po opuszczeniu programu</w:t>
            </w:r>
          </w:p>
        </w:tc>
        <w:tc>
          <w:tcPr>
            <w:tcW w:w="456" w:type="pct"/>
            <w:vMerge/>
            <w:hideMark/>
          </w:tcPr>
          <w:p w14:paraId="1BF4AEDE"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14E54CFF"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3BC79E04"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293</w:t>
            </w:r>
          </w:p>
        </w:tc>
        <w:tc>
          <w:tcPr>
            <w:tcW w:w="651" w:type="pct"/>
            <w:noWrap/>
            <w:hideMark/>
          </w:tcPr>
          <w:p w14:paraId="7405CEF3"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2 186 217,55 zł </w:t>
            </w:r>
          </w:p>
        </w:tc>
        <w:tc>
          <w:tcPr>
            <w:tcW w:w="346" w:type="pct"/>
            <w:noWrap/>
            <w:hideMark/>
          </w:tcPr>
          <w:p w14:paraId="1DE135C4"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95</w:t>
            </w:r>
          </w:p>
        </w:tc>
      </w:tr>
      <w:tr w:rsidR="009F1014" w:rsidRPr="001C7E6A" w14:paraId="72CB3B24"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01BAD616"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szkół, w których pracowanie przedmiotowe wykorzystują doposażenie do prowadzenia zajęć edukacyjnych</w:t>
            </w:r>
          </w:p>
        </w:tc>
        <w:tc>
          <w:tcPr>
            <w:tcW w:w="456" w:type="pct"/>
            <w:vMerge/>
            <w:hideMark/>
          </w:tcPr>
          <w:p w14:paraId="77B3C901"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4733225A"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0FB9B256"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250</w:t>
            </w:r>
          </w:p>
        </w:tc>
        <w:tc>
          <w:tcPr>
            <w:tcW w:w="651" w:type="pct"/>
            <w:noWrap/>
            <w:hideMark/>
          </w:tcPr>
          <w:p w14:paraId="61FB4656"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2 562 246,97 zł </w:t>
            </w:r>
          </w:p>
        </w:tc>
        <w:tc>
          <w:tcPr>
            <w:tcW w:w="346" w:type="pct"/>
            <w:noWrap/>
            <w:hideMark/>
          </w:tcPr>
          <w:p w14:paraId="7FC63AD0"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81</w:t>
            </w:r>
          </w:p>
        </w:tc>
      </w:tr>
      <w:tr w:rsidR="009F1014" w:rsidRPr="001C7E6A" w14:paraId="50476C99"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79A8BE66"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szkół i placówek systemu oświaty wykorzystujących sprzęt TIK do prowadzenia zajęć edukacyjnych</w:t>
            </w:r>
          </w:p>
        </w:tc>
        <w:tc>
          <w:tcPr>
            <w:tcW w:w="456" w:type="pct"/>
            <w:vMerge/>
            <w:hideMark/>
          </w:tcPr>
          <w:p w14:paraId="599D45AA"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01867948"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1EE76F90"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279</w:t>
            </w:r>
          </w:p>
        </w:tc>
        <w:tc>
          <w:tcPr>
            <w:tcW w:w="651" w:type="pct"/>
            <w:noWrap/>
            <w:hideMark/>
          </w:tcPr>
          <w:p w14:paraId="2FAFA7D4"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2 295 920,23 zł </w:t>
            </w:r>
          </w:p>
        </w:tc>
        <w:tc>
          <w:tcPr>
            <w:tcW w:w="346" w:type="pct"/>
            <w:noWrap/>
            <w:hideMark/>
          </w:tcPr>
          <w:p w14:paraId="00C63E0F"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90</w:t>
            </w:r>
          </w:p>
        </w:tc>
      </w:tr>
      <w:tr w:rsidR="009F1014" w:rsidRPr="001C7E6A" w14:paraId="575CBC22"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5F1E130B"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osób o niskich kwalifikacjach objętych wsparciem w programie</w:t>
            </w:r>
          </w:p>
        </w:tc>
        <w:tc>
          <w:tcPr>
            <w:tcW w:w="456" w:type="pct"/>
            <w:vMerge/>
            <w:hideMark/>
          </w:tcPr>
          <w:p w14:paraId="1FCD7872"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28927306"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15537D35"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29</w:t>
            </w:r>
          </w:p>
        </w:tc>
        <w:tc>
          <w:tcPr>
            <w:tcW w:w="651" w:type="pct"/>
            <w:noWrap/>
            <w:hideMark/>
          </w:tcPr>
          <w:p w14:paraId="3EF70D6E"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22 088 335,97 zł </w:t>
            </w:r>
          </w:p>
        </w:tc>
        <w:tc>
          <w:tcPr>
            <w:tcW w:w="346" w:type="pct"/>
            <w:noWrap/>
            <w:hideMark/>
          </w:tcPr>
          <w:p w14:paraId="26CB1120"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w:t>
            </w:r>
          </w:p>
        </w:tc>
      </w:tr>
      <w:tr w:rsidR="009F1014" w:rsidRPr="001C7E6A" w14:paraId="1A597F7E"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1BAA5772"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osób w wieku 50 lat i więcej objętych wsparciem w programie</w:t>
            </w:r>
          </w:p>
        </w:tc>
        <w:tc>
          <w:tcPr>
            <w:tcW w:w="456" w:type="pct"/>
            <w:vMerge/>
            <w:hideMark/>
          </w:tcPr>
          <w:p w14:paraId="70E963E3"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44A9F380"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46EF4F0A"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29</w:t>
            </w:r>
          </w:p>
        </w:tc>
        <w:tc>
          <w:tcPr>
            <w:tcW w:w="651" w:type="pct"/>
            <w:noWrap/>
            <w:hideMark/>
          </w:tcPr>
          <w:p w14:paraId="65B80ECB"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22 088 335,97 zł </w:t>
            </w:r>
          </w:p>
        </w:tc>
        <w:tc>
          <w:tcPr>
            <w:tcW w:w="346" w:type="pct"/>
            <w:noWrap/>
            <w:hideMark/>
          </w:tcPr>
          <w:p w14:paraId="611C6B9E"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w:t>
            </w:r>
          </w:p>
        </w:tc>
      </w:tr>
      <w:tr w:rsidR="009F1014" w:rsidRPr="001C7E6A" w14:paraId="5A39951A"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767CB83F"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osób w wieku 25 lat i więcej objętych wsparciem w programie</w:t>
            </w:r>
          </w:p>
        </w:tc>
        <w:tc>
          <w:tcPr>
            <w:tcW w:w="456" w:type="pct"/>
            <w:vMerge/>
            <w:hideMark/>
          </w:tcPr>
          <w:p w14:paraId="29B540EC"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29887746"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73549497"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29</w:t>
            </w:r>
          </w:p>
        </w:tc>
        <w:tc>
          <w:tcPr>
            <w:tcW w:w="651" w:type="pct"/>
            <w:noWrap/>
            <w:hideMark/>
          </w:tcPr>
          <w:p w14:paraId="0ED54EBC"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22 088 335,97 zł </w:t>
            </w:r>
          </w:p>
        </w:tc>
        <w:tc>
          <w:tcPr>
            <w:tcW w:w="346" w:type="pct"/>
            <w:noWrap/>
            <w:hideMark/>
          </w:tcPr>
          <w:p w14:paraId="283A28BD"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w:t>
            </w:r>
          </w:p>
        </w:tc>
      </w:tr>
      <w:tr w:rsidR="009F1014" w:rsidRPr="001C7E6A" w14:paraId="054B33D0"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6E19FA5B"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osób o niskich kwalifikacjach, które uzyskały lub nabyły kompetencje po opuszczeniu programu</w:t>
            </w:r>
          </w:p>
        </w:tc>
        <w:tc>
          <w:tcPr>
            <w:tcW w:w="456" w:type="pct"/>
            <w:vMerge/>
            <w:hideMark/>
          </w:tcPr>
          <w:p w14:paraId="75A6752F"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0DEA7D4B"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77D56B67"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29</w:t>
            </w:r>
          </w:p>
        </w:tc>
        <w:tc>
          <w:tcPr>
            <w:tcW w:w="651" w:type="pct"/>
            <w:noWrap/>
            <w:hideMark/>
          </w:tcPr>
          <w:p w14:paraId="5186415B"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22 088 335,97 zł </w:t>
            </w:r>
          </w:p>
        </w:tc>
        <w:tc>
          <w:tcPr>
            <w:tcW w:w="346" w:type="pct"/>
            <w:noWrap/>
            <w:hideMark/>
          </w:tcPr>
          <w:p w14:paraId="2686327A"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w:t>
            </w:r>
          </w:p>
        </w:tc>
      </w:tr>
      <w:tr w:rsidR="009F1014" w:rsidRPr="001C7E6A" w14:paraId="60378BC2"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310F5C99"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osób w wieku 50 lat i więcej, które uzyskały kwalifikacje lub nabyły kompetencje po opuszczeniu programu</w:t>
            </w:r>
          </w:p>
        </w:tc>
        <w:tc>
          <w:tcPr>
            <w:tcW w:w="456" w:type="pct"/>
            <w:vMerge/>
            <w:hideMark/>
          </w:tcPr>
          <w:p w14:paraId="35602F9A"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460EEE80"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45E0903F"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29</w:t>
            </w:r>
          </w:p>
        </w:tc>
        <w:tc>
          <w:tcPr>
            <w:tcW w:w="651" w:type="pct"/>
            <w:noWrap/>
            <w:hideMark/>
          </w:tcPr>
          <w:p w14:paraId="530AA25E"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22 088 335,97 zł </w:t>
            </w:r>
          </w:p>
        </w:tc>
        <w:tc>
          <w:tcPr>
            <w:tcW w:w="346" w:type="pct"/>
            <w:noWrap/>
            <w:hideMark/>
          </w:tcPr>
          <w:p w14:paraId="5A03D60D"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w:t>
            </w:r>
          </w:p>
        </w:tc>
      </w:tr>
      <w:tr w:rsidR="009F1014" w:rsidRPr="001C7E6A" w14:paraId="6B3BCA10"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4DF985EA"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Liczba osób w wieku 25 lat i więcej, które uzyskały kwalifikacje lub nabyły kompetencje po opuszczeniu </w:t>
            </w:r>
          </w:p>
        </w:tc>
        <w:tc>
          <w:tcPr>
            <w:tcW w:w="456" w:type="pct"/>
            <w:vMerge/>
            <w:hideMark/>
          </w:tcPr>
          <w:p w14:paraId="7893462F"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44F873A8"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0A79D42B"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29</w:t>
            </w:r>
          </w:p>
        </w:tc>
        <w:tc>
          <w:tcPr>
            <w:tcW w:w="651" w:type="pct"/>
            <w:noWrap/>
            <w:hideMark/>
          </w:tcPr>
          <w:p w14:paraId="7ECD2AD1"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22 088 335,97 zł </w:t>
            </w:r>
          </w:p>
        </w:tc>
        <w:tc>
          <w:tcPr>
            <w:tcW w:w="346" w:type="pct"/>
            <w:noWrap/>
            <w:hideMark/>
          </w:tcPr>
          <w:p w14:paraId="1FF092C8"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w:t>
            </w:r>
          </w:p>
        </w:tc>
      </w:tr>
      <w:tr w:rsidR="009F1014" w:rsidRPr="001C7E6A" w14:paraId="1AF5211D"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6FC3A59F"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uczniów szkół i placówek kształcenia zawodowego uczestniczących w stażach i praktykach u pracodawcy</w:t>
            </w:r>
          </w:p>
        </w:tc>
        <w:tc>
          <w:tcPr>
            <w:tcW w:w="456" w:type="pct"/>
            <w:vMerge/>
            <w:hideMark/>
          </w:tcPr>
          <w:p w14:paraId="3FB5AE7C"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37F3B047"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1ABE567B"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116</w:t>
            </w:r>
          </w:p>
        </w:tc>
        <w:tc>
          <w:tcPr>
            <w:tcW w:w="651" w:type="pct"/>
            <w:noWrap/>
            <w:hideMark/>
          </w:tcPr>
          <w:p w14:paraId="1308797D"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5 522 083,99 zł </w:t>
            </w:r>
          </w:p>
        </w:tc>
        <w:tc>
          <w:tcPr>
            <w:tcW w:w="346" w:type="pct"/>
            <w:noWrap/>
            <w:hideMark/>
          </w:tcPr>
          <w:p w14:paraId="47296ADB"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38</w:t>
            </w:r>
          </w:p>
        </w:tc>
      </w:tr>
      <w:tr w:rsidR="009F1014" w:rsidRPr="001C7E6A" w14:paraId="1A4DE326"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490408F0"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osób uczestniczących w pozaszkolnych formach kształcenia w programie</w:t>
            </w:r>
          </w:p>
        </w:tc>
        <w:tc>
          <w:tcPr>
            <w:tcW w:w="456" w:type="pct"/>
            <w:vMerge/>
            <w:hideMark/>
          </w:tcPr>
          <w:p w14:paraId="3AD7A9E4"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7E9D6D56"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78787074"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71</w:t>
            </w:r>
          </w:p>
        </w:tc>
        <w:tc>
          <w:tcPr>
            <w:tcW w:w="651" w:type="pct"/>
            <w:noWrap/>
            <w:hideMark/>
          </w:tcPr>
          <w:p w14:paraId="3F7F07DA"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9 021 996,38 zł </w:t>
            </w:r>
          </w:p>
        </w:tc>
        <w:tc>
          <w:tcPr>
            <w:tcW w:w="346" w:type="pct"/>
            <w:noWrap/>
            <w:hideMark/>
          </w:tcPr>
          <w:p w14:paraId="075D1DD3"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23</w:t>
            </w:r>
          </w:p>
        </w:tc>
      </w:tr>
      <w:tr w:rsidR="009F1014" w:rsidRPr="001C7E6A" w14:paraId="41FF9CE3"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390FE4D3"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podmiotów realizujących zadania centrum kształcenia zawodowego i ustawicznego objętych wsparciem w programie</w:t>
            </w:r>
          </w:p>
        </w:tc>
        <w:tc>
          <w:tcPr>
            <w:tcW w:w="456" w:type="pct"/>
            <w:vMerge/>
            <w:hideMark/>
          </w:tcPr>
          <w:p w14:paraId="31CA3916"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35FCD0F1"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3EE8801F"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19</w:t>
            </w:r>
          </w:p>
        </w:tc>
        <w:tc>
          <w:tcPr>
            <w:tcW w:w="651" w:type="pct"/>
            <w:noWrap/>
            <w:hideMark/>
          </w:tcPr>
          <w:p w14:paraId="7888058B"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33 713 775,95 zł </w:t>
            </w:r>
          </w:p>
        </w:tc>
        <w:tc>
          <w:tcPr>
            <w:tcW w:w="346" w:type="pct"/>
            <w:noWrap/>
            <w:hideMark/>
          </w:tcPr>
          <w:p w14:paraId="15498F00"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6</w:t>
            </w:r>
          </w:p>
        </w:tc>
      </w:tr>
      <w:tr w:rsidR="009F1014" w:rsidRPr="001C7E6A" w14:paraId="67720541"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0632788D"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osób uczestniczących w szkolnych formach kształcenia w programie</w:t>
            </w:r>
          </w:p>
        </w:tc>
        <w:tc>
          <w:tcPr>
            <w:tcW w:w="456" w:type="pct"/>
            <w:vMerge/>
            <w:hideMark/>
          </w:tcPr>
          <w:p w14:paraId="594762A8"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22A0B208"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09DA9F12"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37</w:t>
            </w:r>
          </w:p>
        </w:tc>
        <w:tc>
          <w:tcPr>
            <w:tcW w:w="651" w:type="pct"/>
            <w:noWrap/>
            <w:hideMark/>
          </w:tcPr>
          <w:p w14:paraId="231537ED"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17 312 479,54 zł </w:t>
            </w:r>
          </w:p>
        </w:tc>
        <w:tc>
          <w:tcPr>
            <w:tcW w:w="346" w:type="pct"/>
            <w:noWrap/>
            <w:hideMark/>
          </w:tcPr>
          <w:p w14:paraId="000F5665"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12</w:t>
            </w:r>
          </w:p>
        </w:tc>
      </w:tr>
      <w:tr w:rsidR="009F1014" w:rsidRPr="001C7E6A" w14:paraId="25D58F6A"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1C408108"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nauczycieli kształcenia zawodowego oraz instruktorów praktycznej nauki zawodu objętych wsparciem w programie</w:t>
            </w:r>
          </w:p>
        </w:tc>
        <w:tc>
          <w:tcPr>
            <w:tcW w:w="456" w:type="pct"/>
            <w:vMerge/>
            <w:hideMark/>
          </w:tcPr>
          <w:p w14:paraId="71A2DF07"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1053088E"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5C7BF08C"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97</w:t>
            </w:r>
          </w:p>
        </w:tc>
        <w:tc>
          <w:tcPr>
            <w:tcW w:w="651" w:type="pct"/>
            <w:noWrap/>
            <w:hideMark/>
          </w:tcPr>
          <w:p w14:paraId="19C81735"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6 603 729,31 zł </w:t>
            </w:r>
          </w:p>
        </w:tc>
        <w:tc>
          <w:tcPr>
            <w:tcW w:w="346" w:type="pct"/>
            <w:noWrap/>
            <w:hideMark/>
          </w:tcPr>
          <w:p w14:paraId="2C2F18C2"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31</w:t>
            </w:r>
          </w:p>
        </w:tc>
      </w:tr>
      <w:tr w:rsidR="009F1014" w:rsidRPr="001C7E6A" w14:paraId="35963181"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0CEB8D2F"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szkół i placówek kształcenia zawodowego doposażonych w programie w sprzęt i materiały dydaktyczne niezbędne do realizacji kształcenia zawodowego</w:t>
            </w:r>
          </w:p>
        </w:tc>
        <w:tc>
          <w:tcPr>
            <w:tcW w:w="456" w:type="pct"/>
            <w:vMerge/>
            <w:hideMark/>
          </w:tcPr>
          <w:p w14:paraId="4393F5FA"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1E50509D"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0A3153E1"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108</w:t>
            </w:r>
          </w:p>
        </w:tc>
        <w:tc>
          <w:tcPr>
            <w:tcW w:w="651" w:type="pct"/>
            <w:noWrap/>
            <w:hideMark/>
          </w:tcPr>
          <w:p w14:paraId="216BA519"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5 931 127,25 zł </w:t>
            </w:r>
          </w:p>
        </w:tc>
        <w:tc>
          <w:tcPr>
            <w:tcW w:w="346" w:type="pct"/>
            <w:noWrap/>
            <w:hideMark/>
          </w:tcPr>
          <w:p w14:paraId="39A97910"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35</w:t>
            </w:r>
          </w:p>
        </w:tc>
      </w:tr>
      <w:tr w:rsidR="009F1014" w:rsidRPr="001C7E6A" w14:paraId="5B6FA955"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5DF601C5"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uczniów objętych wsparciem w zakresie rozwijania kompetencji kluczowych lub umiejętności uniwersalnych niezbędnych na rynku pracy w programie</w:t>
            </w:r>
          </w:p>
        </w:tc>
        <w:tc>
          <w:tcPr>
            <w:tcW w:w="456" w:type="pct"/>
            <w:vMerge/>
            <w:hideMark/>
          </w:tcPr>
          <w:p w14:paraId="41AECF96"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6A5E9258"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4921268A"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294</w:t>
            </w:r>
          </w:p>
        </w:tc>
        <w:tc>
          <w:tcPr>
            <w:tcW w:w="651" w:type="pct"/>
            <w:noWrap/>
            <w:hideMark/>
          </w:tcPr>
          <w:p w14:paraId="17D05D8B"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2 178 781,44 zł </w:t>
            </w:r>
          </w:p>
        </w:tc>
        <w:tc>
          <w:tcPr>
            <w:tcW w:w="346" w:type="pct"/>
            <w:noWrap/>
            <w:hideMark/>
          </w:tcPr>
          <w:p w14:paraId="2FA15611"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95</w:t>
            </w:r>
          </w:p>
        </w:tc>
      </w:tr>
      <w:tr w:rsidR="009F1014" w:rsidRPr="001C7E6A" w14:paraId="450ED346"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65C015F1"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uczniów, którzy nabyli kompetencje kluczowe lub umiejętności uniwersalne niezbędne na rynku pracy po opuszczeniu programu</w:t>
            </w:r>
          </w:p>
        </w:tc>
        <w:tc>
          <w:tcPr>
            <w:tcW w:w="456" w:type="pct"/>
            <w:vMerge/>
            <w:hideMark/>
          </w:tcPr>
          <w:p w14:paraId="1516A641"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20F4CE14"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6A928D29"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293</w:t>
            </w:r>
          </w:p>
        </w:tc>
        <w:tc>
          <w:tcPr>
            <w:tcW w:w="651" w:type="pct"/>
            <w:noWrap/>
            <w:hideMark/>
          </w:tcPr>
          <w:p w14:paraId="133E4B11"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2 186 217,55 zł </w:t>
            </w:r>
          </w:p>
        </w:tc>
        <w:tc>
          <w:tcPr>
            <w:tcW w:w="346" w:type="pct"/>
            <w:noWrap/>
            <w:hideMark/>
          </w:tcPr>
          <w:p w14:paraId="57D2979A"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95</w:t>
            </w:r>
          </w:p>
        </w:tc>
      </w:tr>
      <w:tr w:rsidR="009F1014" w:rsidRPr="001C7E6A" w14:paraId="74A03A8F"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64CC0695"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osób, które uzyskały kwalifikacje w ramach pozaszkolnych form kształcenia</w:t>
            </w:r>
          </w:p>
        </w:tc>
        <w:tc>
          <w:tcPr>
            <w:tcW w:w="456" w:type="pct"/>
            <w:vMerge/>
            <w:hideMark/>
          </w:tcPr>
          <w:p w14:paraId="02258063"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73BB0BE9"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69C4E174"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71</w:t>
            </w:r>
          </w:p>
        </w:tc>
        <w:tc>
          <w:tcPr>
            <w:tcW w:w="651" w:type="pct"/>
            <w:noWrap/>
            <w:hideMark/>
          </w:tcPr>
          <w:p w14:paraId="410A20FE"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9 021 996,38 zł </w:t>
            </w:r>
          </w:p>
        </w:tc>
        <w:tc>
          <w:tcPr>
            <w:tcW w:w="346" w:type="pct"/>
            <w:noWrap/>
            <w:hideMark/>
          </w:tcPr>
          <w:p w14:paraId="3CA081CC"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23</w:t>
            </w:r>
          </w:p>
        </w:tc>
      </w:tr>
      <w:tr w:rsidR="009F1014" w:rsidRPr="001C7E6A" w14:paraId="0B23FAEC" w14:textId="77777777" w:rsidTr="00DA127E">
        <w:trPr>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41F37CC8"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szkół i placówek kształcenia zawodowego wykorzystujących doposażenie zakupione dzięki EFS</w:t>
            </w:r>
          </w:p>
        </w:tc>
        <w:tc>
          <w:tcPr>
            <w:tcW w:w="456" w:type="pct"/>
            <w:vMerge/>
            <w:hideMark/>
          </w:tcPr>
          <w:p w14:paraId="3506CFCF"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615F1928" w14:textId="77777777" w:rsidR="008873F5" w:rsidRPr="001C7E6A" w:rsidRDefault="008873F5" w:rsidP="00DF64C7">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1854EF05"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111</w:t>
            </w:r>
          </w:p>
        </w:tc>
        <w:tc>
          <w:tcPr>
            <w:tcW w:w="651" w:type="pct"/>
            <w:noWrap/>
            <w:hideMark/>
          </w:tcPr>
          <w:p w14:paraId="0D626458"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5 770 826,51 zł </w:t>
            </w:r>
          </w:p>
        </w:tc>
        <w:tc>
          <w:tcPr>
            <w:tcW w:w="346" w:type="pct"/>
            <w:noWrap/>
            <w:hideMark/>
          </w:tcPr>
          <w:p w14:paraId="12B02910" w14:textId="77777777" w:rsidR="008873F5" w:rsidRPr="001C7E6A" w:rsidRDefault="008873F5" w:rsidP="002529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36</w:t>
            </w:r>
          </w:p>
        </w:tc>
      </w:tr>
      <w:tr w:rsidR="009F1014" w:rsidRPr="001C7E6A" w14:paraId="2FE7CA25" w14:textId="77777777" w:rsidTr="00DA12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4" w:type="pct"/>
            <w:hideMark/>
          </w:tcPr>
          <w:p w14:paraId="7E5DD45F" w14:textId="77777777" w:rsidR="008873F5" w:rsidRPr="001C7E6A" w:rsidRDefault="008873F5" w:rsidP="00DF64C7">
            <w:pPr>
              <w:jc w:val="left"/>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Liczba nauczycieli kształcenia zawodowego oraz instruktorów praktycznej nauki zawodu, którzy uzyskali kwalifikacje lub nabyli kompetencje po opuszczeniu programu</w:t>
            </w:r>
          </w:p>
        </w:tc>
        <w:tc>
          <w:tcPr>
            <w:tcW w:w="456" w:type="pct"/>
            <w:vMerge/>
            <w:hideMark/>
          </w:tcPr>
          <w:p w14:paraId="70A939E5"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467" w:type="pct"/>
            <w:vMerge/>
            <w:hideMark/>
          </w:tcPr>
          <w:p w14:paraId="271EE9EC" w14:textId="77777777" w:rsidR="008873F5" w:rsidRPr="001C7E6A" w:rsidRDefault="008873F5" w:rsidP="00DF64C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p>
        </w:tc>
        <w:tc>
          <w:tcPr>
            <w:tcW w:w="346" w:type="pct"/>
            <w:noWrap/>
            <w:hideMark/>
          </w:tcPr>
          <w:p w14:paraId="6800D394"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98</w:t>
            </w:r>
          </w:p>
        </w:tc>
        <w:tc>
          <w:tcPr>
            <w:tcW w:w="651" w:type="pct"/>
            <w:noWrap/>
            <w:hideMark/>
          </w:tcPr>
          <w:p w14:paraId="02C1D499"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 xml:space="preserve"> 6 536 344,32 zł </w:t>
            </w:r>
          </w:p>
        </w:tc>
        <w:tc>
          <w:tcPr>
            <w:tcW w:w="346" w:type="pct"/>
            <w:noWrap/>
            <w:hideMark/>
          </w:tcPr>
          <w:p w14:paraId="6105A069" w14:textId="77777777" w:rsidR="008873F5" w:rsidRPr="001C7E6A" w:rsidRDefault="008873F5" w:rsidP="002529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eastAsia="pl-PL"/>
              </w:rPr>
            </w:pPr>
            <w:r w:rsidRPr="001C7E6A">
              <w:rPr>
                <w:rFonts w:ascii="Calibri" w:eastAsia="Times New Roman" w:hAnsi="Calibri" w:cs="Calibri"/>
                <w:color w:val="000000"/>
                <w:sz w:val="14"/>
                <w:szCs w:val="14"/>
                <w:lang w:eastAsia="pl-PL"/>
              </w:rPr>
              <w:t>32</w:t>
            </w:r>
          </w:p>
        </w:tc>
      </w:tr>
    </w:tbl>
    <w:p w14:paraId="6A42AA6E" w14:textId="77777777" w:rsidR="008873F5" w:rsidRDefault="008873F5" w:rsidP="00DF64C7">
      <w:pPr>
        <w:pStyle w:val="podpisrdailustracji"/>
        <w:spacing w:line="271" w:lineRule="auto"/>
        <w:jc w:val="left"/>
        <w:rPr>
          <w:rStyle w:val="Odwoanieintensywne"/>
        </w:rPr>
      </w:pPr>
      <w:r w:rsidRPr="00A13922">
        <w:t xml:space="preserve">Źródło: </w:t>
      </w:r>
      <w:r>
        <w:t>opracowanie własne na podstawie: dokumentu pn. Realizacja Regionalnego Programu Operacyjnego Województwa Śląskiego 2014-2020 – stan na dzień 14 października 2019 r. oraz danych pozyskanych z SL (na dzień 1.10.2019 r.).</w:t>
      </w:r>
    </w:p>
    <w:p w14:paraId="1A91389F" w14:textId="77777777" w:rsidR="008873F5" w:rsidRDefault="008873F5" w:rsidP="00DF64C7">
      <w:pPr>
        <w:jc w:val="left"/>
        <w:rPr>
          <w:rStyle w:val="Odwoanieintensywne"/>
        </w:rPr>
        <w:sectPr w:rsidR="008873F5" w:rsidSect="00E24BD3">
          <w:pgSz w:w="16838" w:h="11906" w:orient="landscape"/>
          <w:pgMar w:top="1418" w:right="1418" w:bottom="1418" w:left="1418" w:header="709" w:footer="709" w:gutter="0"/>
          <w:cols w:space="708"/>
          <w:docGrid w:linePitch="360"/>
        </w:sectPr>
      </w:pPr>
    </w:p>
    <w:p w14:paraId="5035EC80" w14:textId="77777777" w:rsidR="007D6A03" w:rsidRDefault="007D6A03" w:rsidP="00DF64C7">
      <w:pPr>
        <w:jc w:val="left"/>
        <w:rPr>
          <w:rStyle w:val="Odwoanieintensywne"/>
        </w:rPr>
      </w:pPr>
      <w:r w:rsidRPr="00325817">
        <w:rPr>
          <w:rStyle w:val="Odwoanieintensywne"/>
        </w:rPr>
        <w:t>Podsumowanie</w:t>
      </w:r>
    </w:p>
    <w:p w14:paraId="3FBEC1F1" w14:textId="77777777" w:rsidR="007D6A03" w:rsidRPr="000C0E23" w:rsidRDefault="007D6A03" w:rsidP="00DF64C7">
      <w:pPr>
        <w:jc w:val="left"/>
      </w:pPr>
      <w:r>
        <w:t>Analiza materiałów wykazała, iż s</w:t>
      </w:r>
      <w:r w:rsidRPr="00C43748">
        <w:t>pośród 19 wskaźników określonych dla OP XI oraz OP XII, w przypadku 7 wskaźników</w:t>
      </w:r>
      <w:r>
        <w:t xml:space="preserve"> już w 2019 roku</w:t>
      </w:r>
      <w:r w:rsidRPr="00C43748">
        <w:t xml:space="preserve"> osiągnięto wartość docelową </w:t>
      </w:r>
      <w:r>
        <w:t xml:space="preserve">założoną </w:t>
      </w:r>
      <w:r w:rsidRPr="00C43748">
        <w:t>na</w:t>
      </w:r>
      <w:r>
        <w:t xml:space="preserve"> rok 2023. Biorąc pod uwagę szacunkową realizację wskaźników, w</w:t>
      </w:r>
      <w:r w:rsidRPr="00D12A87">
        <w:t xml:space="preserve"> przypadku 16 spośród 19 wskaźników</w:t>
      </w:r>
      <w:r>
        <w:t xml:space="preserve"> osiągnięta</w:t>
      </w:r>
      <w:r w:rsidRPr="00D12A87">
        <w:t xml:space="preserve"> wartość </w:t>
      </w:r>
      <w:r>
        <w:t xml:space="preserve">będzie </w:t>
      </w:r>
      <w:r w:rsidRPr="00D12A87">
        <w:t>równa lub większa od wartości docelowej na rok 2023</w:t>
      </w:r>
      <w:r>
        <w:t>, w związku z czym cele szczegółowe OP XI oraz OP XII zostaną osiągnięte w wysokim stopniu. Z kolei analiza prawdopodobnych wartości osiągnięcia wskaźników w 2023 r.</w:t>
      </w:r>
      <w:r w:rsidR="00D4220A">
        <w:t xml:space="preserve"> (biorąca pod uwagę wartość pozostałej alokacji)</w:t>
      </w:r>
      <w:r>
        <w:t xml:space="preserve"> wykazała, że przyjęta alokacja dla XII OP może nie wystarczyć na osiągnięcie wartości docelowej wskaźnika: P</w:t>
      </w:r>
      <w:r w:rsidRPr="00BC15EA">
        <w:t>otencjał objętej wsparciem infrastruktury w zakresie opieki nad dziećmi lub infrastruktury edukacyjnej</w:t>
      </w:r>
      <w:r>
        <w:t>. Wartość docelowa wskaźnika została przyjęta na poziomie 32 329, natomiast wartość aktualna na dzień 30.09.2019 r. wynosił</w:t>
      </w:r>
      <w:r w:rsidR="00FC1039">
        <w:t>a</w:t>
      </w:r>
      <w:r>
        <w:t xml:space="preserve"> 12 883,00. Zgodnie z analizą w 2023 r. wskaźnik zostanie osiągnięty na poziomie </w:t>
      </w:r>
      <w:r w:rsidR="00357502">
        <w:t xml:space="preserve">88% dla </w:t>
      </w:r>
      <w:r w:rsidR="00FC1039">
        <w:t>scenariusza</w:t>
      </w:r>
      <w:r w:rsidR="00357502">
        <w:t xml:space="preserve"> nr 1</w:t>
      </w:r>
      <w:r w:rsidR="002F725D">
        <w:t>,</w:t>
      </w:r>
      <w:r w:rsidR="00E2453B">
        <w:t xml:space="preserve"> </w:t>
      </w:r>
      <w:r w:rsidR="00357502">
        <w:t xml:space="preserve">nr 2 </w:t>
      </w:r>
      <w:r w:rsidR="002F725D">
        <w:t xml:space="preserve">i nr 4 </w:t>
      </w:r>
      <w:r w:rsidR="00357502">
        <w:t>oraz 89% dla scenariusza nr 3.</w:t>
      </w:r>
    </w:p>
    <w:p w14:paraId="1423136B" w14:textId="77777777" w:rsidR="00A464CB" w:rsidRDefault="00A464CB" w:rsidP="00DF64C7">
      <w:pPr>
        <w:pStyle w:val="Nagwek3"/>
        <w:spacing w:line="271" w:lineRule="auto"/>
        <w:ind w:left="426"/>
        <w:jc w:val="left"/>
        <w:rPr>
          <w:rFonts w:eastAsia="Arial"/>
        </w:rPr>
      </w:pPr>
      <w:bookmarkStart w:id="149" w:name="_Toc38035027"/>
      <w:r w:rsidRPr="00610089">
        <w:rPr>
          <w:rFonts w:eastAsia="Arial"/>
        </w:rPr>
        <w:t>Czy istnieje zagrożenie niezrealizowania założonych wartości docelowych wskaźników produktu, rezultatu</w:t>
      </w:r>
      <w:r>
        <w:rPr>
          <w:rFonts w:eastAsia="Arial"/>
        </w:rPr>
        <w:t xml:space="preserve"> i </w:t>
      </w:r>
      <w:r w:rsidRPr="00610089">
        <w:rPr>
          <w:rFonts w:eastAsia="Arial"/>
        </w:rPr>
        <w:t>rezultatu długoterminowego? Jeżeli tak, to jakie działania naprawcze należałoby zastosować</w:t>
      </w:r>
      <w:r w:rsidR="00CD5F87" w:rsidRPr="00610089">
        <w:rPr>
          <w:rFonts w:eastAsia="Arial"/>
        </w:rPr>
        <w:t>?</w:t>
      </w:r>
      <w:bookmarkEnd w:id="146"/>
      <w:bookmarkEnd w:id="147"/>
      <w:bookmarkEnd w:id="148"/>
      <w:bookmarkEnd w:id="149"/>
    </w:p>
    <w:p w14:paraId="20ACB3AF" w14:textId="77777777" w:rsidR="00915AF8" w:rsidRDefault="00915AF8" w:rsidP="00DF64C7">
      <w:pPr>
        <w:pStyle w:val="Wyrnienie"/>
        <w:jc w:val="left"/>
        <w:rPr>
          <w:rFonts w:eastAsiaTheme="majorEastAsia"/>
        </w:rPr>
      </w:pPr>
      <w:r>
        <w:t>R</w:t>
      </w:r>
      <w:r w:rsidRPr="001E0D2B">
        <w:t>ealizacj</w:t>
      </w:r>
      <w:r>
        <w:t>a</w:t>
      </w:r>
      <w:r w:rsidRPr="001E0D2B">
        <w:t xml:space="preserve"> wskaźników ram wykonania </w:t>
      </w:r>
    </w:p>
    <w:p w14:paraId="1C7602D0" w14:textId="77777777" w:rsidR="00915AF8" w:rsidRDefault="00915AF8" w:rsidP="00DF64C7">
      <w:pPr>
        <w:jc w:val="left"/>
      </w:pPr>
      <w:r>
        <w:rPr>
          <w:rFonts w:eastAsiaTheme="majorEastAsia"/>
        </w:rPr>
        <w:t xml:space="preserve">Jak wynika z informacji zawartych w sprawozdaniu z wdrażania RPO WSL 2014-2020 za rok 2018, w sposób pozytywny oceniono poziom skuteczności jego realizacji. </w:t>
      </w:r>
      <w:r>
        <w:t xml:space="preserve">Osie XI Wzmocnienie potencjału edukacyjnego i XII Infrastruktura edukacyjna charakteryzowały się również brakiem znaczących problemów w procesie wdrażania. </w:t>
      </w:r>
      <w:r>
        <w:rPr>
          <w:rFonts w:eastAsiaTheme="majorEastAsia"/>
        </w:rPr>
        <w:t xml:space="preserve">Z uwagi na postępy w zakresie celów pośrednich założono, że są one wystarczające, aby zapewnić realizację na zakładanym poziomie. </w:t>
      </w:r>
      <w:r>
        <w:t>Zgodnie z przeprowadzoną analizą</w:t>
      </w:r>
      <w:r w:rsidRPr="00044E90">
        <w:t xml:space="preserve"> na koniec 2018 roku wszystkie </w:t>
      </w:r>
      <w:r>
        <w:t xml:space="preserve">przyjęte </w:t>
      </w:r>
      <w:r w:rsidRPr="00044E90">
        <w:t>wskaźniki produktu wybrane do ram wykonania spełnia</w:t>
      </w:r>
      <w:r>
        <w:t>ły</w:t>
      </w:r>
      <w:r w:rsidRPr="00044E90">
        <w:t xml:space="preserve"> kryterium osiągnięcia co najmniej 85% stopnia realizacji, </w:t>
      </w:r>
      <w:r>
        <w:t>co oznaczało poziom wdrażania, który umożliwiał osiągnięcie celów</w:t>
      </w:r>
      <w:r w:rsidRPr="00044E90">
        <w:t xml:space="preserve"> śródokresow</w:t>
      </w:r>
      <w:r>
        <w:t>ych.</w:t>
      </w:r>
      <w:r w:rsidRPr="005071FC">
        <w:t xml:space="preserve"> </w:t>
      </w:r>
      <w:r>
        <w:t xml:space="preserve">Z kolei w </w:t>
      </w:r>
      <w:r w:rsidRPr="00044E90">
        <w:t>ramach wskaźników finansowych z</w:t>
      </w:r>
      <w:r>
        <w:t>aplanowano</w:t>
      </w:r>
      <w:r w:rsidRPr="00044E90">
        <w:t xml:space="preserve"> uwzględni</w:t>
      </w:r>
      <w:r>
        <w:t>enie wydatków</w:t>
      </w:r>
      <w:r w:rsidRPr="00044E90">
        <w:t xml:space="preserve"> poniesion</w:t>
      </w:r>
      <w:r>
        <w:t>ych</w:t>
      </w:r>
      <w:r w:rsidRPr="00044E90">
        <w:t xml:space="preserve"> i rozliczon</w:t>
      </w:r>
      <w:r>
        <w:t>ych</w:t>
      </w:r>
      <w:r w:rsidRPr="00044E90">
        <w:t xml:space="preserve"> w 2018 roku, ale </w:t>
      </w:r>
      <w:r w:rsidR="00FC1039">
        <w:t>z</w:t>
      </w:r>
      <w:r w:rsidRPr="00044E90">
        <w:t>certyfikowan</w:t>
      </w:r>
      <w:r>
        <w:t xml:space="preserve">ych w roku 2019, </w:t>
      </w:r>
      <w:r w:rsidRPr="00044E90">
        <w:t xml:space="preserve">co </w:t>
      </w:r>
      <w:r>
        <w:t xml:space="preserve">również pozwoliło na </w:t>
      </w:r>
      <w:r w:rsidRPr="00044E90">
        <w:t>osiągnięcie celu śródokresowego OP</w:t>
      </w:r>
      <w:r>
        <w:rPr>
          <w:rStyle w:val="Odwoanieprzypisudolnego"/>
        </w:rPr>
        <w:footnoteReference w:id="137"/>
      </w:r>
      <w:r w:rsidRPr="00044E90">
        <w:t>.</w:t>
      </w:r>
    </w:p>
    <w:p w14:paraId="7656AEEA" w14:textId="77777777" w:rsidR="00915AF8" w:rsidRDefault="00915AF8" w:rsidP="00DF64C7">
      <w:pPr>
        <w:jc w:val="left"/>
      </w:pPr>
    </w:p>
    <w:p w14:paraId="7681408A" w14:textId="77777777" w:rsidR="00915AF8" w:rsidRDefault="00915AF8" w:rsidP="00DF64C7">
      <w:pPr>
        <w:jc w:val="left"/>
      </w:pPr>
      <w:r>
        <w:t xml:space="preserve">Według szacunków przeprowadzonych na </w:t>
      </w:r>
      <w:r w:rsidR="00FC1039">
        <w:t>podstawie</w:t>
      </w:r>
      <w:r>
        <w:t xml:space="preserve"> monitoringu wskaźników rzeczowych (na dzień 30.09.2019 r.) oszacowano procent realizowanych wskaźników OP XI i XII, </w:t>
      </w:r>
      <w:r w:rsidRPr="007E193F">
        <w:t>w kontekście wartości docelowych</w:t>
      </w:r>
      <w:r>
        <w:t>, jak również pod względem określenia</w:t>
      </w:r>
      <w:r w:rsidRPr="007E193F">
        <w:t xml:space="preserve"> czy </w:t>
      </w:r>
      <w:r>
        <w:t>s</w:t>
      </w:r>
      <w:r w:rsidRPr="007E193F">
        <w:t>tan wdrażania zapewnia</w:t>
      </w:r>
      <w:r>
        <w:t>ł</w:t>
      </w:r>
      <w:r w:rsidRPr="007E193F">
        <w:t xml:space="preserve"> realizację wartości docelowych wskaźników określonych na rok 2023.</w:t>
      </w:r>
      <w:r>
        <w:t xml:space="preserve"> </w:t>
      </w:r>
    </w:p>
    <w:p w14:paraId="5795DFF3" w14:textId="77777777" w:rsidR="00915AF8" w:rsidRDefault="00915AF8" w:rsidP="00DF64C7">
      <w:pPr>
        <w:jc w:val="left"/>
      </w:pPr>
    </w:p>
    <w:p w14:paraId="2BBD43D2" w14:textId="77777777" w:rsidR="00915AF8" w:rsidRDefault="00915AF8" w:rsidP="00DF64C7">
      <w:pPr>
        <w:jc w:val="left"/>
      </w:pPr>
      <w:r w:rsidRPr="007E193F">
        <w:t xml:space="preserve">Zgodnie z zapisami </w:t>
      </w:r>
      <w:r w:rsidRPr="007E193F">
        <w:rPr>
          <w:i/>
          <w:iCs/>
        </w:rPr>
        <w:t xml:space="preserve">Rozporządzenia Wykonawczego Komisji (UE) Nr 215/2014 z dnia 7 marca 2014 r. ustanawiającego zasady wykonania rozporządzenia Parlamentu Europejskiego i Rady (UE) nr1303/2013 (...) </w:t>
      </w:r>
      <w:r w:rsidRPr="007E193F">
        <w:t xml:space="preserve">w RPO WSL 2014-2020 ustanowiono ramy wykonania składające </w:t>
      </w:r>
      <w:r>
        <w:t>ze</w:t>
      </w:r>
      <w:r w:rsidRPr="007E193F">
        <w:t xml:space="preserve"> wskaźników rzeczowych – produktu oraz wskaźników finansowych. </w:t>
      </w:r>
      <w:r>
        <w:t>Wskazane</w:t>
      </w:r>
      <w:r w:rsidRPr="007E193F">
        <w:t xml:space="preserve"> </w:t>
      </w:r>
      <w:r w:rsidRPr="007E193F">
        <w:rPr>
          <w:i/>
          <w:iCs/>
        </w:rPr>
        <w:t xml:space="preserve">Rozporządzenie </w:t>
      </w:r>
      <w:r w:rsidRPr="007E193F">
        <w:t>określa</w:t>
      </w:r>
      <w:r>
        <w:t xml:space="preserve">, że jeśli </w:t>
      </w:r>
      <w:r w:rsidRPr="007E193F">
        <w:t xml:space="preserve">w ramach danej Osi priorytetowej określone zostały 2 wskaźniki, to w przypadku obu niezbędna jest realizacja co najmniej 85% celu śródokresowego / końcowego. </w:t>
      </w:r>
      <w:r>
        <w:t>Natomiast jeżeli w ramach d</w:t>
      </w:r>
      <w:r w:rsidRPr="007E193F">
        <w:t>anej Osi określone zostały 3 lub więcej wskaźników</w:t>
      </w:r>
      <w:r>
        <w:t>, dopuszcza się</w:t>
      </w:r>
      <w:r w:rsidRPr="007E193F">
        <w:t xml:space="preserve">, aby jeden z nich osiągną wartość niższą niż 85% celu pośredniego / końcowego, </w:t>
      </w:r>
      <w:r>
        <w:t>jednak</w:t>
      </w:r>
      <w:r w:rsidRPr="007E193F">
        <w:t xml:space="preserve"> nie niższą niż 75% tego celu.</w:t>
      </w:r>
    </w:p>
    <w:p w14:paraId="16DFA143" w14:textId="77777777" w:rsidR="00915AF8" w:rsidRDefault="00915AF8" w:rsidP="00DF64C7">
      <w:pPr>
        <w:jc w:val="left"/>
      </w:pPr>
      <w:r>
        <w:t>W poniższej tabeli przedstawiono szacunkowe wartości wskaźników produktu ram wykonania, które zestawiono z ich wartością docelową na rok 2023. Zgodnie z tymi danymi, przedstawionymi w Ewaluacji mid-term, w przypadku wszystkich 8 wskaźników produktu dla OP XI i XII RPO WSL 2014-2020 szacunkowa realizacja według deklaracji w umowach o dofinansowanie przekraczała próg 85%, a nawet występowało istotne przekroczenie wartości docelowej – ich stopień realizacji przekraczał bowiem 125%.</w:t>
      </w:r>
    </w:p>
    <w:p w14:paraId="1C3A563E" w14:textId="77777777" w:rsidR="00915AF8" w:rsidRDefault="00915AF8" w:rsidP="00DF64C7">
      <w:pPr>
        <w:jc w:val="left"/>
      </w:pPr>
    </w:p>
    <w:p w14:paraId="050B4645" w14:textId="77777777" w:rsidR="00915AF8" w:rsidRDefault="00915AF8" w:rsidP="00DF64C7">
      <w:pPr>
        <w:pStyle w:val="Legenda"/>
        <w:jc w:val="left"/>
      </w:pPr>
      <w:r>
        <w:t xml:space="preserve">Tabela </w:t>
      </w:r>
      <w:r w:rsidR="000F2849">
        <w:rPr>
          <w:noProof/>
        </w:rPr>
        <w:t>46</w:t>
      </w:r>
      <w:r>
        <w:t xml:space="preserve"> </w:t>
      </w:r>
      <w:r w:rsidRPr="00102AA1">
        <w:t xml:space="preserve">Wartości wskaźników ram wykonania </w:t>
      </w:r>
      <w:r>
        <w:t>szacowane na podstawie podpisanych umów</w:t>
      </w:r>
    </w:p>
    <w:tbl>
      <w:tblPr>
        <w:tblStyle w:val="Tabelasiatki4akcent61"/>
        <w:tblW w:w="9071" w:type="dxa"/>
        <w:tblLook w:val="04A0" w:firstRow="1" w:lastRow="0" w:firstColumn="1" w:lastColumn="0" w:noHBand="0" w:noVBand="1"/>
        <w:tblCaption w:val="Wartości wskaźników ram wykonania szacowane na podstawie podpisanych umów"/>
        <w:tblDescription w:val="Tabela przedstawia wartości wskaźników ram wykonania szacowane na podstawie podpisanych umów. Najwyższa wartość szacowanej realizacji (262%) przypadła na wskaźnik Liczba wspartych obiektów infrastruktury kształcenia zawodowego (właściwy dla OP XII), najniższa z kolei na Potencjał objętej wsparciem infrastruktury w zakresie opieki nad dziećmi lub infrastruktury edukacyjnej (127%)."/>
      </w:tblPr>
      <w:tblGrid>
        <w:gridCol w:w="582"/>
        <w:gridCol w:w="4408"/>
        <w:gridCol w:w="1020"/>
        <w:gridCol w:w="1758"/>
        <w:gridCol w:w="1303"/>
      </w:tblGrid>
      <w:tr w:rsidR="00915AF8" w:rsidRPr="008A150D" w14:paraId="54C6B968" w14:textId="77777777" w:rsidTr="00E24BD3">
        <w:trPr>
          <w:cnfStyle w:val="100000000000" w:firstRow="1" w:lastRow="0" w:firstColumn="0" w:lastColumn="0" w:oddVBand="0" w:evenVBand="0" w:oddHBand="0" w:evenHBand="0" w:firstRowFirstColumn="0" w:firstRowLastColumn="0" w:lastRowFirstColumn="0" w:lastRowLastColumn="0"/>
          <w:trHeight w:val="906"/>
          <w:tblHeader/>
        </w:trPr>
        <w:tc>
          <w:tcPr>
            <w:cnfStyle w:val="001000000000" w:firstRow="0" w:lastRow="0" w:firstColumn="1" w:lastColumn="0" w:oddVBand="0" w:evenVBand="0" w:oddHBand="0" w:evenHBand="0" w:firstRowFirstColumn="0" w:firstRowLastColumn="0" w:lastRowFirstColumn="0" w:lastRowLastColumn="0"/>
            <w:tcW w:w="582" w:type="dxa"/>
            <w:noWrap/>
            <w:hideMark/>
          </w:tcPr>
          <w:p w14:paraId="1C936BF5" w14:textId="77777777" w:rsidR="00915AF8" w:rsidRPr="00E24BD3" w:rsidRDefault="00915AF8" w:rsidP="00DF64C7">
            <w:pPr>
              <w:spacing w:line="240" w:lineRule="auto"/>
              <w:jc w:val="left"/>
              <w:rPr>
                <w:rFonts w:ascii="Calibri" w:eastAsia="Times New Roman" w:hAnsi="Calibri" w:cs="Calibri"/>
                <w:color w:val="000000"/>
                <w:sz w:val="20"/>
                <w:szCs w:val="20"/>
                <w:lang w:eastAsia="pl-PL"/>
              </w:rPr>
            </w:pPr>
            <w:r w:rsidRPr="00E24BD3">
              <w:rPr>
                <w:rFonts w:ascii="Calibri" w:eastAsia="Times New Roman" w:hAnsi="Calibri" w:cs="Calibri"/>
                <w:color w:val="000000"/>
                <w:sz w:val="20"/>
                <w:szCs w:val="20"/>
                <w:lang w:eastAsia="pl-PL"/>
              </w:rPr>
              <w:t>OP</w:t>
            </w:r>
          </w:p>
        </w:tc>
        <w:tc>
          <w:tcPr>
            <w:tcW w:w="4408" w:type="dxa"/>
            <w:noWrap/>
            <w:hideMark/>
          </w:tcPr>
          <w:p w14:paraId="5EA153E5" w14:textId="77777777" w:rsidR="00915AF8" w:rsidRPr="00E24BD3"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alibri" w:eastAsia="Times New Roman" w:hAnsi="Calibri" w:cs="Calibri"/>
                <w:color w:val="000000"/>
                <w:sz w:val="20"/>
                <w:szCs w:val="20"/>
                <w:lang w:eastAsia="pl-PL"/>
              </w:rPr>
              <w:t>Nazwa wskaźnika</w:t>
            </w:r>
          </w:p>
        </w:tc>
        <w:tc>
          <w:tcPr>
            <w:tcW w:w="1020" w:type="dxa"/>
            <w:hideMark/>
          </w:tcPr>
          <w:p w14:paraId="6E1C5360" w14:textId="77777777" w:rsidR="00915AF8" w:rsidRPr="00E24BD3"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alibri" w:eastAsia="Times New Roman" w:hAnsi="Calibri" w:cs="Calibri"/>
                <w:color w:val="000000"/>
                <w:sz w:val="20"/>
                <w:szCs w:val="20"/>
                <w:lang w:eastAsia="pl-PL"/>
              </w:rPr>
              <w:t>Wartość docelowa</w:t>
            </w:r>
          </w:p>
        </w:tc>
        <w:tc>
          <w:tcPr>
            <w:tcW w:w="1758" w:type="dxa"/>
            <w:hideMark/>
          </w:tcPr>
          <w:p w14:paraId="4FB78C40" w14:textId="77777777" w:rsidR="00915AF8" w:rsidRPr="00E24BD3"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alibri" w:eastAsia="Times New Roman" w:hAnsi="Calibri" w:cs="Calibri"/>
                <w:color w:val="000000"/>
                <w:sz w:val="20"/>
                <w:szCs w:val="20"/>
                <w:lang w:eastAsia="pl-PL"/>
              </w:rPr>
              <w:t>Szacowana realizacja na podstawie podpisanych umów</w:t>
            </w:r>
          </w:p>
        </w:tc>
        <w:tc>
          <w:tcPr>
            <w:tcW w:w="1303" w:type="dxa"/>
            <w:hideMark/>
          </w:tcPr>
          <w:p w14:paraId="4F8C4F30" w14:textId="77777777" w:rsidR="00915AF8" w:rsidRPr="00E24BD3"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alibri" w:eastAsia="Times New Roman" w:hAnsi="Calibri" w:cs="Calibri"/>
                <w:color w:val="000000"/>
                <w:sz w:val="20"/>
                <w:szCs w:val="20"/>
                <w:lang w:eastAsia="pl-PL"/>
              </w:rPr>
              <w:t>% szacowanej realizacji</w:t>
            </w:r>
          </w:p>
        </w:tc>
      </w:tr>
      <w:tr w:rsidR="00915AF8" w:rsidRPr="008A150D" w14:paraId="0AB9ED09" w14:textId="77777777" w:rsidTr="00E24BD3">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582" w:type="dxa"/>
            <w:hideMark/>
          </w:tcPr>
          <w:p w14:paraId="66C3A3DE" w14:textId="77777777" w:rsidR="00915AF8" w:rsidRPr="00E24BD3" w:rsidRDefault="00915AF8" w:rsidP="00DF64C7">
            <w:pPr>
              <w:spacing w:line="240" w:lineRule="auto"/>
              <w:jc w:val="left"/>
              <w:rPr>
                <w:rFonts w:eastAsia="Times New Roman" w:cs="Arial"/>
                <w:sz w:val="20"/>
                <w:szCs w:val="20"/>
                <w:lang w:eastAsia="pl-PL"/>
              </w:rPr>
            </w:pPr>
            <w:r w:rsidRPr="00E24BD3">
              <w:rPr>
                <w:rFonts w:eastAsia="Times New Roman" w:cs="Arial"/>
                <w:sz w:val="20"/>
                <w:szCs w:val="20"/>
                <w:lang w:eastAsia="pl-PL"/>
              </w:rPr>
              <w:t>XI</w:t>
            </w:r>
          </w:p>
        </w:tc>
        <w:tc>
          <w:tcPr>
            <w:tcW w:w="4408" w:type="dxa"/>
            <w:hideMark/>
          </w:tcPr>
          <w:p w14:paraId="7A727AB9"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Liczba uczniów objętych wsparciem w zakresie rozwijania kompetencji kluczowych lub umiejętności uniwersalnych niezbędnych na rynku pracy w programie</w:t>
            </w:r>
          </w:p>
        </w:tc>
        <w:tc>
          <w:tcPr>
            <w:tcW w:w="1020" w:type="dxa"/>
            <w:noWrap/>
            <w:hideMark/>
          </w:tcPr>
          <w:p w14:paraId="14DB0DCF"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48 263</w:t>
            </w:r>
          </w:p>
        </w:tc>
        <w:tc>
          <w:tcPr>
            <w:tcW w:w="1758" w:type="dxa"/>
            <w:noWrap/>
            <w:hideMark/>
          </w:tcPr>
          <w:p w14:paraId="32AD88C1"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85 561</w:t>
            </w:r>
          </w:p>
        </w:tc>
        <w:tc>
          <w:tcPr>
            <w:tcW w:w="1303" w:type="dxa"/>
            <w:noWrap/>
            <w:hideMark/>
          </w:tcPr>
          <w:p w14:paraId="466423B0"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177%</w:t>
            </w:r>
          </w:p>
        </w:tc>
      </w:tr>
      <w:tr w:rsidR="00915AF8" w:rsidRPr="008A150D" w14:paraId="6CF593D3" w14:textId="77777777" w:rsidTr="00E24BD3">
        <w:trPr>
          <w:trHeight w:val="1087"/>
        </w:trPr>
        <w:tc>
          <w:tcPr>
            <w:cnfStyle w:val="001000000000" w:firstRow="0" w:lastRow="0" w:firstColumn="1" w:lastColumn="0" w:oddVBand="0" w:evenVBand="0" w:oddHBand="0" w:evenHBand="0" w:firstRowFirstColumn="0" w:firstRowLastColumn="0" w:lastRowFirstColumn="0" w:lastRowLastColumn="0"/>
            <w:tcW w:w="582" w:type="dxa"/>
            <w:hideMark/>
          </w:tcPr>
          <w:p w14:paraId="19C71A6F" w14:textId="77777777" w:rsidR="00915AF8" w:rsidRPr="00E24BD3" w:rsidRDefault="00915AF8" w:rsidP="00DF64C7">
            <w:pPr>
              <w:spacing w:line="240" w:lineRule="auto"/>
              <w:jc w:val="left"/>
              <w:rPr>
                <w:rFonts w:eastAsia="Times New Roman" w:cs="Arial"/>
                <w:sz w:val="20"/>
                <w:szCs w:val="20"/>
                <w:lang w:eastAsia="pl-PL"/>
              </w:rPr>
            </w:pPr>
            <w:r w:rsidRPr="00E24BD3">
              <w:rPr>
                <w:rFonts w:eastAsia="Times New Roman" w:cs="Arial"/>
                <w:sz w:val="20"/>
                <w:szCs w:val="20"/>
                <w:lang w:eastAsia="pl-PL"/>
              </w:rPr>
              <w:t>XI</w:t>
            </w:r>
          </w:p>
        </w:tc>
        <w:tc>
          <w:tcPr>
            <w:tcW w:w="4408" w:type="dxa"/>
            <w:hideMark/>
          </w:tcPr>
          <w:p w14:paraId="064DD597"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Liczba uczniów objętych wsparciem w zakresie rozwijania kompetencji kluczowych lub umiejętności uniwersalnych niezbędnych na rynku pracy w programie - mężczyźni</w:t>
            </w:r>
          </w:p>
        </w:tc>
        <w:tc>
          <w:tcPr>
            <w:tcW w:w="1020" w:type="dxa"/>
            <w:noWrap/>
            <w:hideMark/>
          </w:tcPr>
          <w:p w14:paraId="7307BD59"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22 098</w:t>
            </w:r>
          </w:p>
        </w:tc>
        <w:tc>
          <w:tcPr>
            <w:tcW w:w="1758" w:type="dxa"/>
            <w:noWrap/>
            <w:hideMark/>
          </w:tcPr>
          <w:p w14:paraId="0AF7E1B7"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40 287</w:t>
            </w:r>
          </w:p>
        </w:tc>
        <w:tc>
          <w:tcPr>
            <w:tcW w:w="1303" w:type="dxa"/>
            <w:noWrap/>
            <w:hideMark/>
          </w:tcPr>
          <w:p w14:paraId="629AEFFC"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182%</w:t>
            </w:r>
          </w:p>
        </w:tc>
      </w:tr>
      <w:tr w:rsidR="00915AF8" w:rsidRPr="008A150D" w14:paraId="72825257" w14:textId="77777777" w:rsidTr="00E24BD3">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582" w:type="dxa"/>
            <w:hideMark/>
          </w:tcPr>
          <w:p w14:paraId="2434FA78" w14:textId="77777777" w:rsidR="00915AF8" w:rsidRPr="00E24BD3" w:rsidRDefault="00915AF8" w:rsidP="00DF64C7">
            <w:pPr>
              <w:spacing w:line="240" w:lineRule="auto"/>
              <w:jc w:val="left"/>
              <w:rPr>
                <w:rFonts w:eastAsia="Times New Roman" w:cs="Arial"/>
                <w:sz w:val="20"/>
                <w:szCs w:val="20"/>
                <w:lang w:eastAsia="pl-PL"/>
              </w:rPr>
            </w:pPr>
            <w:r w:rsidRPr="00E24BD3">
              <w:rPr>
                <w:rFonts w:eastAsia="Times New Roman" w:cs="Arial"/>
                <w:sz w:val="20"/>
                <w:szCs w:val="20"/>
                <w:lang w:eastAsia="pl-PL"/>
              </w:rPr>
              <w:t>XI</w:t>
            </w:r>
          </w:p>
        </w:tc>
        <w:tc>
          <w:tcPr>
            <w:tcW w:w="4408" w:type="dxa"/>
            <w:hideMark/>
          </w:tcPr>
          <w:p w14:paraId="1F7987F7"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Liczba uczniów objętych wsparciem w zakresie rozwijania kompetencji kluczowych lub umiejętności uniwersalnych niezbędnych na rynku pracy w programie - kobiety</w:t>
            </w:r>
          </w:p>
        </w:tc>
        <w:tc>
          <w:tcPr>
            <w:tcW w:w="1020" w:type="dxa"/>
            <w:noWrap/>
            <w:hideMark/>
          </w:tcPr>
          <w:p w14:paraId="1461D551"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26 165</w:t>
            </w:r>
          </w:p>
        </w:tc>
        <w:tc>
          <w:tcPr>
            <w:tcW w:w="1758" w:type="dxa"/>
            <w:noWrap/>
            <w:hideMark/>
          </w:tcPr>
          <w:p w14:paraId="08413BF4"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41 149</w:t>
            </w:r>
          </w:p>
        </w:tc>
        <w:tc>
          <w:tcPr>
            <w:tcW w:w="1303" w:type="dxa"/>
            <w:noWrap/>
            <w:hideMark/>
          </w:tcPr>
          <w:p w14:paraId="49A5A39B"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157%</w:t>
            </w:r>
          </w:p>
        </w:tc>
      </w:tr>
      <w:tr w:rsidR="00915AF8" w:rsidRPr="008A150D" w14:paraId="3F62FC86" w14:textId="77777777" w:rsidTr="00E24BD3">
        <w:trPr>
          <w:trHeight w:val="815"/>
        </w:trPr>
        <w:tc>
          <w:tcPr>
            <w:cnfStyle w:val="001000000000" w:firstRow="0" w:lastRow="0" w:firstColumn="1" w:lastColumn="0" w:oddVBand="0" w:evenVBand="0" w:oddHBand="0" w:evenHBand="0" w:firstRowFirstColumn="0" w:firstRowLastColumn="0" w:lastRowFirstColumn="0" w:lastRowLastColumn="0"/>
            <w:tcW w:w="582" w:type="dxa"/>
            <w:hideMark/>
          </w:tcPr>
          <w:p w14:paraId="0C9DB611" w14:textId="77777777" w:rsidR="00915AF8" w:rsidRPr="00E24BD3" w:rsidRDefault="00915AF8" w:rsidP="00DF64C7">
            <w:pPr>
              <w:spacing w:line="240" w:lineRule="auto"/>
              <w:jc w:val="left"/>
              <w:rPr>
                <w:rFonts w:eastAsia="Times New Roman" w:cs="Arial"/>
                <w:sz w:val="20"/>
                <w:szCs w:val="20"/>
                <w:lang w:eastAsia="pl-PL"/>
              </w:rPr>
            </w:pPr>
            <w:r w:rsidRPr="00E24BD3">
              <w:rPr>
                <w:rFonts w:eastAsia="Times New Roman" w:cs="Arial"/>
                <w:sz w:val="20"/>
                <w:szCs w:val="20"/>
                <w:lang w:eastAsia="pl-PL"/>
              </w:rPr>
              <w:t>XI</w:t>
            </w:r>
          </w:p>
        </w:tc>
        <w:tc>
          <w:tcPr>
            <w:tcW w:w="4408" w:type="dxa"/>
            <w:hideMark/>
          </w:tcPr>
          <w:p w14:paraId="195E515E"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Liczba uczniów szkół i placówek kształcenia zawodowego uczestniczących w stażach i praktykach u pracodawcy</w:t>
            </w:r>
          </w:p>
        </w:tc>
        <w:tc>
          <w:tcPr>
            <w:tcW w:w="1020" w:type="dxa"/>
            <w:noWrap/>
            <w:hideMark/>
          </w:tcPr>
          <w:p w14:paraId="5264368C"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6 066</w:t>
            </w:r>
          </w:p>
        </w:tc>
        <w:tc>
          <w:tcPr>
            <w:tcW w:w="1758" w:type="dxa"/>
            <w:noWrap/>
            <w:hideMark/>
          </w:tcPr>
          <w:p w14:paraId="698D89ED"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13 401</w:t>
            </w:r>
          </w:p>
        </w:tc>
        <w:tc>
          <w:tcPr>
            <w:tcW w:w="1303" w:type="dxa"/>
            <w:noWrap/>
            <w:hideMark/>
          </w:tcPr>
          <w:p w14:paraId="75F1269B"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221%</w:t>
            </w:r>
          </w:p>
        </w:tc>
      </w:tr>
      <w:tr w:rsidR="00915AF8" w:rsidRPr="008A150D" w14:paraId="7EE6773A" w14:textId="77777777" w:rsidTr="00E24BD3">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582" w:type="dxa"/>
            <w:hideMark/>
          </w:tcPr>
          <w:p w14:paraId="537E7007" w14:textId="77777777" w:rsidR="00915AF8" w:rsidRPr="00E24BD3" w:rsidRDefault="00915AF8" w:rsidP="00DF64C7">
            <w:pPr>
              <w:spacing w:line="240" w:lineRule="auto"/>
              <w:jc w:val="left"/>
              <w:rPr>
                <w:rFonts w:eastAsia="Times New Roman" w:cs="Arial"/>
                <w:sz w:val="20"/>
                <w:szCs w:val="20"/>
                <w:lang w:eastAsia="pl-PL"/>
              </w:rPr>
            </w:pPr>
            <w:r w:rsidRPr="00E24BD3">
              <w:rPr>
                <w:rFonts w:eastAsia="Times New Roman" w:cs="Arial"/>
                <w:sz w:val="20"/>
                <w:szCs w:val="20"/>
                <w:lang w:eastAsia="pl-PL"/>
              </w:rPr>
              <w:t>XI</w:t>
            </w:r>
          </w:p>
        </w:tc>
        <w:tc>
          <w:tcPr>
            <w:tcW w:w="4408" w:type="dxa"/>
            <w:hideMark/>
          </w:tcPr>
          <w:p w14:paraId="349CA418"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Liczba uczniów szkół i placówek kształcenia zawodowego uczestniczących w stażach i praktykach u pracodawcy - mężczyźni</w:t>
            </w:r>
          </w:p>
        </w:tc>
        <w:tc>
          <w:tcPr>
            <w:tcW w:w="1020" w:type="dxa"/>
            <w:noWrap/>
            <w:hideMark/>
          </w:tcPr>
          <w:p w14:paraId="7850079B"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3 943</w:t>
            </w:r>
          </w:p>
        </w:tc>
        <w:tc>
          <w:tcPr>
            <w:tcW w:w="1758" w:type="dxa"/>
            <w:noWrap/>
            <w:hideMark/>
          </w:tcPr>
          <w:p w14:paraId="3140ABD0"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7 932</w:t>
            </w:r>
          </w:p>
        </w:tc>
        <w:tc>
          <w:tcPr>
            <w:tcW w:w="1303" w:type="dxa"/>
            <w:noWrap/>
            <w:hideMark/>
          </w:tcPr>
          <w:p w14:paraId="190C10A0"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201%</w:t>
            </w:r>
          </w:p>
        </w:tc>
      </w:tr>
      <w:tr w:rsidR="00915AF8" w:rsidRPr="008A150D" w14:paraId="78217686" w14:textId="77777777" w:rsidTr="00E24BD3">
        <w:trPr>
          <w:trHeight w:val="815"/>
        </w:trPr>
        <w:tc>
          <w:tcPr>
            <w:cnfStyle w:val="001000000000" w:firstRow="0" w:lastRow="0" w:firstColumn="1" w:lastColumn="0" w:oddVBand="0" w:evenVBand="0" w:oddHBand="0" w:evenHBand="0" w:firstRowFirstColumn="0" w:firstRowLastColumn="0" w:lastRowFirstColumn="0" w:lastRowLastColumn="0"/>
            <w:tcW w:w="582" w:type="dxa"/>
            <w:hideMark/>
          </w:tcPr>
          <w:p w14:paraId="6A78F99C" w14:textId="77777777" w:rsidR="00915AF8" w:rsidRPr="00E24BD3" w:rsidRDefault="00915AF8" w:rsidP="00DF64C7">
            <w:pPr>
              <w:spacing w:line="240" w:lineRule="auto"/>
              <w:jc w:val="left"/>
              <w:rPr>
                <w:rFonts w:eastAsia="Times New Roman" w:cs="Arial"/>
                <w:sz w:val="20"/>
                <w:szCs w:val="20"/>
                <w:lang w:eastAsia="pl-PL"/>
              </w:rPr>
            </w:pPr>
            <w:r w:rsidRPr="00E24BD3">
              <w:rPr>
                <w:rFonts w:eastAsia="Times New Roman" w:cs="Arial"/>
                <w:sz w:val="20"/>
                <w:szCs w:val="20"/>
                <w:lang w:eastAsia="pl-PL"/>
              </w:rPr>
              <w:t>XI</w:t>
            </w:r>
          </w:p>
        </w:tc>
        <w:tc>
          <w:tcPr>
            <w:tcW w:w="4408" w:type="dxa"/>
            <w:hideMark/>
          </w:tcPr>
          <w:p w14:paraId="3E0CB428"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Liczba uczniów szkół i placówek kształcenia zawodowego uczestniczących w stażach i praktykach u pracodawcy - kobiety</w:t>
            </w:r>
          </w:p>
        </w:tc>
        <w:tc>
          <w:tcPr>
            <w:tcW w:w="1020" w:type="dxa"/>
            <w:noWrap/>
            <w:hideMark/>
          </w:tcPr>
          <w:p w14:paraId="08683E3F"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2 123</w:t>
            </w:r>
          </w:p>
        </w:tc>
        <w:tc>
          <w:tcPr>
            <w:tcW w:w="1758" w:type="dxa"/>
            <w:noWrap/>
            <w:hideMark/>
          </w:tcPr>
          <w:p w14:paraId="2228B6F4"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4 155</w:t>
            </w:r>
          </w:p>
        </w:tc>
        <w:tc>
          <w:tcPr>
            <w:tcW w:w="1303" w:type="dxa"/>
            <w:noWrap/>
            <w:hideMark/>
          </w:tcPr>
          <w:p w14:paraId="0EFF6DBC"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196%</w:t>
            </w:r>
          </w:p>
        </w:tc>
      </w:tr>
      <w:tr w:rsidR="00915AF8" w:rsidRPr="008A150D" w14:paraId="103502E2" w14:textId="77777777" w:rsidTr="00E24BD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82" w:type="dxa"/>
            <w:hideMark/>
          </w:tcPr>
          <w:p w14:paraId="36CCD97B" w14:textId="77777777" w:rsidR="00915AF8" w:rsidRPr="00E24BD3" w:rsidRDefault="00915AF8" w:rsidP="00DF64C7">
            <w:pPr>
              <w:spacing w:line="240" w:lineRule="auto"/>
              <w:jc w:val="left"/>
              <w:rPr>
                <w:rFonts w:eastAsia="Times New Roman" w:cs="Arial"/>
                <w:sz w:val="20"/>
                <w:szCs w:val="20"/>
                <w:lang w:eastAsia="pl-PL"/>
              </w:rPr>
            </w:pPr>
            <w:r w:rsidRPr="00E24BD3">
              <w:rPr>
                <w:rFonts w:eastAsia="Times New Roman" w:cs="Arial"/>
                <w:sz w:val="20"/>
                <w:szCs w:val="20"/>
                <w:lang w:eastAsia="pl-PL"/>
              </w:rPr>
              <w:t>XII</w:t>
            </w:r>
          </w:p>
        </w:tc>
        <w:tc>
          <w:tcPr>
            <w:tcW w:w="4408" w:type="dxa"/>
            <w:hideMark/>
          </w:tcPr>
          <w:p w14:paraId="6BC0259D"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Potencjał objętej wsparciem infrastruktury w zakresie opieki nad dziećmi lub infrastruktury edukacyjnej</w:t>
            </w:r>
          </w:p>
        </w:tc>
        <w:tc>
          <w:tcPr>
            <w:tcW w:w="1020" w:type="dxa"/>
            <w:noWrap/>
            <w:hideMark/>
          </w:tcPr>
          <w:p w14:paraId="456FE162"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32 329</w:t>
            </w:r>
          </w:p>
        </w:tc>
        <w:tc>
          <w:tcPr>
            <w:tcW w:w="1758" w:type="dxa"/>
            <w:hideMark/>
          </w:tcPr>
          <w:p w14:paraId="7026556C"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40 940,00</w:t>
            </w:r>
          </w:p>
        </w:tc>
        <w:tc>
          <w:tcPr>
            <w:tcW w:w="1303" w:type="dxa"/>
            <w:noWrap/>
            <w:hideMark/>
          </w:tcPr>
          <w:p w14:paraId="09A814DC"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127%</w:t>
            </w:r>
          </w:p>
        </w:tc>
      </w:tr>
      <w:tr w:rsidR="00915AF8" w:rsidRPr="008A150D" w14:paraId="6C95513C" w14:textId="77777777" w:rsidTr="00CE3714">
        <w:trPr>
          <w:trHeight w:val="544"/>
        </w:trPr>
        <w:tc>
          <w:tcPr>
            <w:cnfStyle w:val="001000000000" w:firstRow="0" w:lastRow="0" w:firstColumn="1" w:lastColumn="0" w:oddVBand="0" w:evenVBand="0" w:oddHBand="0" w:evenHBand="0" w:firstRowFirstColumn="0" w:firstRowLastColumn="0" w:lastRowFirstColumn="0" w:lastRowLastColumn="0"/>
            <w:tcW w:w="582" w:type="dxa"/>
          </w:tcPr>
          <w:p w14:paraId="5CBC4C1A" w14:textId="77777777" w:rsidR="00915AF8" w:rsidRPr="00E24BD3" w:rsidRDefault="00915AF8" w:rsidP="00DF64C7">
            <w:pPr>
              <w:spacing w:line="240" w:lineRule="auto"/>
              <w:jc w:val="left"/>
              <w:rPr>
                <w:rFonts w:eastAsia="Times New Roman" w:cs="Arial"/>
                <w:sz w:val="20"/>
                <w:szCs w:val="20"/>
                <w:lang w:eastAsia="pl-PL"/>
              </w:rPr>
            </w:pPr>
            <w:r w:rsidRPr="00E24BD3">
              <w:rPr>
                <w:rFonts w:eastAsia="Times New Roman" w:cs="Arial"/>
                <w:sz w:val="20"/>
                <w:szCs w:val="20"/>
                <w:lang w:eastAsia="pl-PL"/>
              </w:rPr>
              <w:t>XII</w:t>
            </w:r>
          </w:p>
        </w:tc>
        <w:tc>
          <w:tcPr>
            <w:tcW w:w="4408" w:type="dxa"/>
          </w:tcPr>
          <w:p w14:paraId="3EC05D88"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Liczba wspartych obiektów infrastruktury kształcenia zawodowego</w:t>
            </w:r>
          </w:p>
        </w:tc>
        <w:tc>
          <w:tcPr>
            <w:tcW w:w="1020" w:type="dxa"/>
            <w:noWrap/>
          </w:tcPr>
          <w:p w14:paraId="74D10D4F"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52</w:t>
            </w:r>
          </w:p>
        </w:tc>
        <w:tc>
          <w:tcPr>
            <w:tcW w:w="1758" w:type="dxa"/>
          </w:tcPr>
          <w:p w14:paraId="12F886EA"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136</w:t>
            </w:r>
          </w:p>
        </w:tc>
        <w:tc>
          <w:tcPr>
            <w:tcW w:w="1303" w:type="dxa"/>
            <w:noWrap/>
          </w:tcPr>
          <w:p w14:paraId="635C722F"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pl-PL"/>
              </w:rPr>
            </w:pPr>
            <w:r w:rsidRPr="00E24BD3">
              <w:rPr>
                <w:rFonts w:eastAsia="Times New Roman" w:cs="Arial"/>
                <w:sz w:val="20"/>
                <w:szCs w:val="20"/>
                <w:lang w:eastAsia="pl-PL"/>
              </w:rPr>
              <w:t>262%</w:t>
            </w:r>
          </w:p>
        </w:tc>
      </w:tr>
    </w:tbl>
    <w:p w14:paraId="375A54AC" w14:textId="77777777" w:rsidR="00915AF8" w:rsidRPr="00C61A66" w:rsidRDefault="00915AF8" w:rsidP="00DF64C7">
      <w:pPr>
        <w:pStyle w:val="podpisrdailustracji"/>
        <w:jc w:val="left"/>
      </w:pPr>
      <w:r>
        <w:t>Źródło: Opracowanie własne na podstawie monitoringu  wskaźników rzeczowych na dzień 30.09.2019 r.</w:t>
      </w:r>
    </w:p>
    <w:p w14:paraId="1F6F174A" w14:textId="77777777" w:rsidR="00915AF8" w:rsidRDefault="00915AF8" w:rsidP="00DF64C7">
      <w:pPr>
        <w:pStyle w:val="podpisrdailustracji"/>
        <w:jc w:val="left"/>
      </w:pPr>
      <w:r>
        <w:rPr>
          <w:sz w:val="22"/>
        </w:rPr>
        <w:t>Pełna ocena realizacji celów końcowych wskaźników ram wykonania dla poszczególnych Osi priorytetowych bez uwzględnienia wskaźników finansowych nie byłaby możliwa. Z tego też względu dokonano również zestawienia wartości docelowych, szacunkowych, a także prognozowanych dla wskaźników finansowych. W poniższej tabeli umieszczono dwa scenariusze prognoz opartych o średnioroczne tempo kontraktacji w ramach OP XI i XII. Scenariusz optymistyczny zakładał, że przyszłe średnioroczne tempo będzie takie samo jak dotychczasowe, natomiast scenariusz pesymistyczny przyjmował założenie, iż tempo średnioroczne stanowiło będzie 75% dotychczasowego tempa kontraktacji. Oceniono bowiem, że realne przyszłe tempo kontraktacji było trudne do określenia, jednak zakładano, że może być niższe od dotychczasowego z uwagi na zaspokojenie znacznej części potrzeb w poszczególnych obszarach interwencji. Zwrócono przy tym uwagę na możliwość zmian w zakresie potencjału kadrowego instytucji zaangażowanych we wdrażanie Programu, ponieważ wraz z postępem wdrażania założono wzrost nakładów pracy koniecznych do zaangażowania w rozliczanie wniosków o płatność, co z kolei mogłoby powodować potrzebę przesuwania pracowników z komórek odpowiedzialnych za nabór i ocenę projektów do komórek rozliczeniowych. Opisana sytuacja mogła hipotetycznie mieć niekorzystne przełożenie na istniejące tempo kontraktacji. Biorąc pod uwagę wskazane potencjalne ograniczenia oceniono, że scenariusz optymistyczny należy traktować jako podstawowy w prognozowaniu wskaźników finansowych przy założeniu, że jego realizacja będzie obarczona pewnym ryzykiem.</w:t>
      </w:r>
    </w:p>
    <w:p w14:paraId="03DD2C55" w14:textId="77777777" w:rsidR="00915AF8" w:rsidRDefault="00915AF8" w:rsidP="00DF64C7">
      <w:pPr>
        <w:jc w:val="left"/>
      </w:pPr>
      <w:r>
        <w:t>Jak wynika z zaprezentowanych danych, r</w:t>
      </w:r>
      <w:r w:rsidRPr="007C221C">
        <w:t xml:space="preserve">ealizacja wskaźników finansowych szacowana na podstawie umów o dofinansowanie przekroczyła graniczne 85% w przypadku Osi priorytetowej XII (stopień realizacji </w:t>
      </w:r>
      <w:r>
        <w:t>104,3</w:t>
      </w:r>
      <w:r w:rsidRPr="007C221C">
        <w:t>%)</w:t>
      </w:r>
      <w:r>
        <w:t>, natomiast w przypadku XI OP szacunkowa wartość wynosi 74,4%</w:t>
      </w:r>
      <w:r w:rsidRPr="007C221C">
        <w:t>. Według</w:t>
      </w:r>
      <w:r w:rsidRPr="00EB0D44">
        <w:t xml:space="preserve"> </w:t>
      </w:r>
      <w:r w:rsidRPr="007C221C">
        <w:t>scenariusza optymistycznego</w:t>
      </w:r>
      <w:r>
        <w:t xml:space="preserve">, </w:t>
      </w:r>
      <w:r w:rsidRPr="007C221C">
        <w:t xml:space="preserve">próg 85% stopnia realizacji </w:t>
      </w:r>
      <w:r>
        <w:t xml:space="preserve">ma być </w:t>
      </w:r>
      <w:r w:rsidRPr="007C221C">
        <w:t xml:space="preserve">przekroczony </w:t>
      </w:r>
      <w:r>
        <w:t xml:space="preserve">w obu badanych Osiach (101,1% dla XI OP oraz 169,2% dla XII OP). Próg ten w przypadku zarówno OP XI (89,9%), jak i XII (150,4%) ma zostać osiągnięty również w przypadku scenariusza pesymistycznego. Oznacza to, że prawdopodobieństwo braku </w:t>
      </w:r>
      <w:r w:rsidRPr="007C221C">
        <w:t xml:space="preserve">realizacji celów końcowych </w:t>
      </w:r>
      <w:r>
        <w:t>jest bardzo niskie.</w:t>
      </w:r>
    </w:p>
    <w:p w14:paraId="56FA6011" w14:textId="77777777" w:rsidR="00915AF8" w:rsidRDefault="00915AF8" w:rsidP="00DF64C7">
      <w:pPr>
        <w:pStyle w:val="Legenda"/>
        <w:jc w:val="left"/>
      </w:pPr>
      <w:bookmarkStart w:id="150" w:name="_Toc33457238"/>
      <w:r>
        <w:t xml:space="preserve">Tabela </w:t>
      </w:r>
      <w:r w:rsidR="000F2849">
        <w:rPr>
          <w:noProof/>
        </w:rPr>
        <w:t>47</w:t>
      </w:r>
      <w:r>
        <w:t>.</w:t>
      </w:r>
      <w:r w:rsidRPr="007C221C">
        <w:t xml:space="preserve"> </w:t>
      </w:r>
      <w:r>
        <w:t>Wartości wskaźników finansowych ram wykonania prognozowane na podstawie średniorocznego tempa dotychczasowej kontraktacji dla OP XI i XII RPO WSL 2014-2020</w:t>
      </w:r>
      <w:bookmarkEnd w:id="150"/>
    </w:p>
    <w:tbl>
      <w:tblPr>
        <w:tblStyle w:val="Tabelasiatki4akcent61"/>
        <w:tblW w:w="9288" w:type="dxa"/>
        <w:tblLayout w:type="fixed"/>
        <w:tblLook w:val="04A0" w:firstRow="1" w:lastRow="0" w:firstColumn="1" w:lastColumn="0" w:noHBand="0" w:noVBand="1"/>
        <w:tblCaption w:val="Wartości wskaźników finansowych ram wykonania prognozowane na podstawie średniorocznego tempa dotychczasowej kontraktacji dla OP XI i XII RPO WSL 2014-2020"/>
        <w:tblDescription w:val="Wartość docelowa 2023 (EUR):&#10;OP XI - 229 287 231&#10;OP XII - 95 412 345&#10;Szacunek na podstawie podpisanych umów (EUR):&#10;OP XI - 170 589 997&#10;OP XII - 99 506 220&#10;Szacunek na podstawie podpisanych umów (%):&#10;OP XI - 74,4%&#10;OP XII - 104,3%&#10;Prognoza na podstawie średniorocznego tempa kontraktacji – wariant optymistyczny (EUR):&#10;OP XI - 231 886 507&#10;OP XII - 161 397 376&#10;Prognoza na podstawie średniorocznego tempa kontraktacji – wariant optymistyczny (%):&#10;OP XI - 101,1%&#10;OP XII - 169,2%&#10;Prognoza na podstawie średniorocznego tempa kontraktacji – wariant pesymistyczny (EUR):&#10;OP XI - 206 121 340&#10;OP XII - 143 464 333,94&#10;Prognoza na podstawie średniorocznego tempa kontraktacji – wariant pesymistyczny (%):&#10;OP XI - 89,9%&#10;OP XII - 150,4%"/>
      </w:tblPr>
      <w:tblGrid>
        <w:gridCol w:w="817"/>
        <w:gridCol w:w="1419"/>
        <w:gridCol w:w="1417"/>
        <w:gridCol w:w="851"/>
        <w:gridCol w:w="1417"/>
        <w:gridCol w:w="992"/>
        <w:gridCol w:w="1417"/>
        <w:gridCol w:w="958"/>
      </w:tblGrid>
      <w:tr w:rsidR="00915AF8" w:rsidRPr="00B726F0" w14:paraId="184D73CE" w14:textId="77777777" w:rsidTr="00E24B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5E4445F0" w14:textId="77777777" w:rsidR="00915AF8" w:rsidRPr="00252FD6" w:rsidRDefault="00915AF8" w:rsidP="00DF64C7">
            <w:pPr>
              <w:spacing w:line="240" w:lineRule="auto"/>
              <w:jc w:val="left"/>
              <w:rPr>
                <w:sz w:val="20"/>
                <w:szCs w:val="20"/>
              </w:rPr>
            </w:pPr>
            <w:r w:rsidRPr="00252FD6">
              <w:rPr>
                <w:sz w:val="20"/>
                <w:szCs w:val="20"/>
              </w:rPr>
              <w:t>OP</w:t>
            </w:r>
          </w:p>
        </w:tc>
        <w:tc>
          <w:tcPr>
            <w:tcW w:w="1419" w:type="dxa"/>
            <w:vMerge w:val="restart"/>
          </w:tcPr>
          <w:p w14:paraId="7C3BF940" w14:textId="77777777" w:rsidR="00915AF8" w:rsidRPr="00252FD6"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252FD6">
              <w:rPr>
                <w:sz w:val="20"/>
                <w:szCs w:val="20"/>
              </w:rPr>
              <w:t>Wartość docelowa 2023 (EUR)</w:t>
            </w:r>
          </w:p>
        </w:tc>
        <w:tc>
          <w:tcPr>
            <w:tcW w:w="2268" w:type="dxa"/>
            <w:gridSpan w:val="2"/>
          </w:tcPr>
          <w:p w14:paraId="23D61020" w14:textId="77777777" w:rsidR="00915AF8" w:rsidRPr="00252FD6"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252FD6">
              <w:rPr>
                <w:sz w:val="20"/>
                <w:szCs w:val="20"/>
              </w:rPr>
              <w:t>Szacunek na podstawie podpisanych umów</w:t>
            </w:r>
          </w:p>
        </w:tc>
        <w:tc>
          <w:tcPr>
            <w:tcW w:w="2409" w:type="dxa"/>
            <w:gridSpan w:val="2"/>
          </w:tcPr>
          <w:p w14:paraId="66356979" w14:textId="77777777" w:rsidR="00915AF8" w:rsidRPr="00252FD6"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252FD6">
              <w:rPr>
                <w:sz w:val="20"/>
                <w:szCs w:val="20"/>
              </w:rPr>
              <w:t>Prognoza na podstawie średniorocznego tempa kontraktacji – wariant optymistyczny</w:t>
            </w:r>
          </w:p>
        </w:tc>
        <w:tc>
          <w:tcPr>
            <w:tcW w:w="2375" w:type="dxa"/>
            <w:gridSpan w:val="2"/>
          </w:tcPr>
          <w:p w14:paraId="2A1C3C99" w14:textId="77777777" w:rsidR="00915AF8" w:rsidRPr="00252FD6"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252FD6">
              <w:rPr>
                <w:sz w:val="20"/>
                <w:szCs w:val="20"/>
              </w:rPr>
              <w:t>Prognoza na podstawie średniorocznego tempa kontraktacji – wariant pesymistyczny</w:t>
            </w:r>
          </w:p>
        </w:tc>
      </w:tr>
      <w:tr w:rsidR="00915AF8" w:rsidRPr="00B726F0" w14:paraId="7EFA3759" w14:textId="77777777" w:rsidTr="00E24B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7" w:type="dxa"/>
            <w:vMerge/>
          </w:tcPr>
          <w:p w14:paraId="6E605E7B" w14:textId="77777777" w:rsidR="00915AF8" w:rsidRPr="00B726F0" w:rsidRDefault="00915AF8" w:rsidP="00DF64C7">
            <w:pPr>
              <w:spacing w:line="240" w:lineRule="auto"/>
              <w:jc w:val="left"/>
              <w:rPr>
                <w:b w:val="0"/>
                <w:sz w:val="20"/>
                <w:szCs w:val="20"/>
              </w:rPr>
            </w:pPr>
          </w:p>
        </w:tc>
        <w:tc>
          <w:tcPr>
            <w:tcW w:w="1419" w:type="dxa"/>
            <w:vMerge/>
          </w:tcPr>
          <w:p w14:paraId="02157AD1" w14:textId="77777777" w:rsidR="00915AF8" w:rsidRPr="00B726F0"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p>
        </w:tc>
        <w:tc>
          <w:tcPr>
            <w:tcW w:w="1417" w:type="dxa"/>
          </w:tcPr>
          <w:p w14:paraId="0D154738" w14:textId="77777777" w:rsidR="00915AF8" w:rsidRPr="00B726F0"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B726F0">
              <w:rPr>
                <w:sz w:val="20"/>
                <w:szCs w:val="20"/>
              </w:rPr>
              <w:t>Wartość (EUR)</w:t>
            </w:r>
          </w:p>
        </w:tc>
        <w:tc>
          <w:tcPr>
            <w:tcW w:w="851" w:type="dxa"/>
          </w:tcPr>
          <w:p w14:paraId="0459F808" w14:textId="77777777" w:rsidR="00915AF8" w:rsidRPr="00B726F0"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B726F0">
              <w:rPr>
                <w:sz w:val="20"/>
                <w:szCs w:val="20"/>
              </w:rPr>
              <w:t>2023 (%)</w:t>
            </w:r>
          </w:p>
        </w:tc>
        <w:tc>
          <w:tcPr>
            <w:tcW w:w="1417" w:type="dxa"/>
          </w:tcPr>
          <w:p w14:paraId="0A8CF65C" w14:textId="77777777" w:rsidR="00915AF8" w:rsidRPr="00B726F0"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B726F0">
              <w:rPr>
                <w:sz w:val="20"/>
                <w:szCs w:val="20"/>
              </w:rPr>
              <w:t>Wartość (EUR)</w:t>
            </w:r>
          </w:p>
        </w:tc>
        <w:tc>
          <w:tcPr>
            <w:tcW w:w="992" w:type="dxa"/>
          </w:tcPr>
          <w:p w14:paraId="5CD3D920" w14:textId="77777777" w:rsidR="00915AF8" w:rsidRPr="00B726F0"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B726F0">
              <w:rPr>
                <w:sz w:val="20"/>
                <w:szCs w:val="20"/>
              </w:rPr>
              <w:t>2023 (%)</w:t>
            </w:r>
          </w:p>
        </w:tc>
        <w:tc>
          <w:tcPr>
            <w:tcW w:w="1417" w:type="dxa"/>
          </w:tcPr>
          <w:p w14:paraId="463D9248" w14:textId="77777777" w:rsidR="00915AF8" w:rsidRPr="00B726F0"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B726F0">
              <w:rPr>
                <w:sz w:val="20"/>
                <w:szCs w:val="20"/>
              </w:rPr>
              <w:t>Wartość (EUR)</w:t>
            </w:r>
          </w:p>
        </w:tc>
        <w:tc>
          <w:tcPr>
            <w:tcW w:w="958" w:type="dxa"/>
          </w:tcPr>
          <w:p w14:paraId="4321B3C4" w14:textId="77777777" w:rsidR="00915AF8" w:rsidRPr="00B726F0"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B726F0">
              <w:rPr>
                <w:sz w:val="20"/>
                <w:szCs w:val="20"/>
              </w:rPr>
              <w:t>2023 (%)</w:t>
            </w:r>
          </w:p>
        </w:tc>
      </w:tr>
      <w:tr w:rsidR="00915AF8" w:rsidRPr="00B726F0" w14:paraId="5695D4BF" w14:textId="77777777" w:rsidTr="00E24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02A46AB" w14:textId="77777777" w:rsidR="00915AF8" w:rsidRPr="00B726F0" w:rsidRDefault="00915AF8" w:rsidP="00DF64C7">
            <w:pPr>
              <w:spacing w:line="240" w:lineRule="auto"/>
              <w:jc w:val="left"/>
              <w:rPr>
                <w:b w:val="0"/>
                <w:sz w:val="20"/>
                <w:szCs w:val="20"/>
              </w:rPr>
            </w:pPr>
            <w:r w:rsidRPr="00B726F0">
              <w:rPr>
                <w:b w:val="0"/>
                <w:sz w:val="20"/>
                <w:szCs w:val="20"/>
              </w:rPr>
              <w:t>OP XI</w:t>
            </w:r>
          </w:p>
        </w:tc>
        <w:tc>
          <w:tcPr>
            <w:tcW w:w="1419" w:type="dxa"/>
          </w:tcPr>
          <w:p w14:paraId="50E5F958" w14:textId="77777777" w:rsidR="00915AF8" w:rsidRPr="00B726F0"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726F0">
              <w:rPr>
                <w:sz w:val="20"/>
                <w:szCs w:val="20"/>
              </w:rPr>
              <w:t>229 287 231</w:t>
            </w:r>
          </w:p>
        </w:tc>
        <w:tc>
          <w:tcPr>
            <w:tcW w:w="1417" w:type="dxa"/>
          </w:tcPr>
          <w:p w14:paraId="219B7C0A" w14:textId="77777777" w:rsidR="00915AF8" w:rsidRPr="00B726F0"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170 589 997</w:t>
            </w:r>
          </w:p>
        </w:tc>
        <w:tc>
          <w:tcPr>
            <w:tcW w:w="851" w:type="dxa"/>
          </w:tcPr>
          <w:p w14:paraId="64F241A7" w14:textId="77777777" w:rsidR="00915AF8" w:rsidRPr="00B726F0"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74,4</w:t>
            </w:r>
            <w:r w:rsidRPr="00B726F0">
              <w:rPr>
                <w:sz w:val="20"/>
                <w:szCs w:val="20"/>
              </w:rPr>
              <w:t>%</w:t>
            </w:r>
          </w:p>
        </w:tc>
        <w:tc>
          <w:tcPr>
            <w:tcW w:w="1417" w:type="dxa"/>
          </w:tcPr>
          <w:p w14:paraId="3CCDA272" w14:textId="77777777" w:rsidR="00915AF8" w:rsidRPr="00B726F0"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231 886 507</w:t>
            </w:r>
          </w:p>
        </w:tc>
        <w:tc>
          <w:tcPr>
            <w:tcW w:w="992" w:type="dxa"/>
          </w:tcPr>
          <w:p w14:paraId="37DDD624" w14:textId="77777777" w:rsidR="00915AF8" w:rsidRPr="00B726F0"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726F0">
              <w:rPr>
                <w:sz w:val="20"/>
                <w:szCs w:val="20"/>
              </w:rPr>
              <w:t>10</w:t>
            </w:r>
            <w:r>
              <w:rPr>
                <w:sz w:val="20"/>
                <w:szCs w:val="20"/>
              </w:rPr>
              <w:t>1</w:t>
            </w:r>
            <w:r w:rsidRPr="00B726F0">
              <w:rPr>
                <w:sz w:val="20"/>
                <w:szCs w:val="20"/>
              </w:rPr>
              <w:t>,</w:t>
            </w:r>
            <w:r>
              <w:rPr>
                <w:sz w:val="20"/>
                <w:szCs w:val="20"/>
              </w:rPr>
              <w:t>1</w:t>
            </w:r>
            <w:r w:rsidRPr="00B726F0">
              <w:rPr>
                <w:sz w:val="20"/>
                <w:szCs w:val="20"/>
              </w:rPr>
              <w:t>%</w:t>
            </w:r>
          </w:p>
        </w:tc>
        <w:tc>
          <w:tcPr>
            <w:tcW w:w="1417" w:type="dxa"/>
          </w:tcPr>
          <w:p w14:paraId="546CFE0A" w14:textId="77777777" w:rsidR="00915AF8" w:rsidRPr="00B726F0"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206 121 340</w:t>
            </w:r>
          </w:p>
        </w:tc>
        <w:tc>
          <w:tcPr>
            <w:tcW w:w="958" w:type="dxa"/>
          </w:tcPr>
          <w:p w14:paraId="745AB31A" w14:textId="77777777" w:rsidR="00915AF8" w:rsidRPr="00B726F0"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89,9</w:t>
            </w:r>
            <w:r w:rsidRPr="00B726F0">
              <w:rPr>
                <w:sz w:val="20"/>
                <w:szCs w:val="20"/>
              </w:rPr>
              <w:t>%</w:t>
            </w:r>
          </w:p>
        </w:tc>
      </w:tr>
      <w:tr w:rsidR="00915AF8" w:rsidRPr="00B726F0" w14:paraId="6893A613" w14:textId="77777777" w:rsidTr="00E24BD3">
        <w:tc>
          <w:tcPr>
            <w:cnfStyle w:val="001000000000" w:firstRow="0" w:lastRow="0" w:firstColumn="1" w:lastColumn="0" w:oddVBand="0" w:evenVBand="0" w:oddHBand="0" w:evenHBand="0" w:firstRowFirstColumn="0" w:firstRowLastColumn="0" w:lastRowFirstColumn="0" w:lastRowLastColumn="0"/>
            <w:tcW w:w="817" w:type="dxa"/>
          </w:tcPr>
          <w:p w14:paraId="4D0F773B" w14:textId="77777777" w:rsidR="00915AF8" w:rsidRPr="00B726F0" w:rsidRDefault="00915AF8" w:rsidP="00DF64C7">
            <w:pPr>
              <w:spacing w:line="240" w:lineRule="auto"/>
              <w:jc w:val="left"/>
              <w:rPr>
                <w:b w:val="0"/>
                <w:sz w:val="20"/>
                <w:szCs w:val="20"/>
              </w:rPr>
            </w:pPr>
            <w:r w:rsidRPr="00B726F0">
              <w:rPr>
                <w:b w:val="0"/>
                <w:sz w:val="20"/>
                <w:szCs w:val="20"/>
              </w:rPr>
              <w:t>OP XII</w:t>
            </w:r>
          </w:p>
        </w:tc>
        <w:tc>
          <w:tcPr>
            <w:tcW w:w="1419" w:type="dxa"/>
          </w:tcPr>
          <w:p w14:paraId="655DF616" w14:textId="77777777" w:rsidR="00915AF8" w:rsidRPr="00B726F0"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726F0">
              <w:rPr>
                <w:sz w:val="20"/>
                <w:szCs w:val="20"/>
              </w:rPr>
              <w:t>95 412 345</w:t>
            </w:r>
          </w:p>
        </w:tc>
        <w:tc>
          <w:tcPr>
            <w:tcW w:w="1417" w:type="dxa"/>
          </w:tcPr>
          <w:p w14:paraId="60B69A28" w14:textId="77777777" w:rsidR="00915AF8" w:rsidRPr="00B726F0"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99 506 220</w:t>
            </w:r>
          </w:p>
        </w:tc>
        <w:tc>
          <w:tcPr>
            <w:tcW w:w="851" w:type="dxa"/>
          </w:tcPr>
          <w:p w14:paraId="5844ED83" w14:textId="77777777" w:rsidR="00915AF8" w:rsidRPr="00B726F0"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104,3%</w:t>
            </w:r>
          </w:p>
        </w:tc>
        <w:tc>
          <w:tcPr>
            <w:tcW w:w="1417" w:type="dxa"/>
          </w:tcPr>
          <w:p w14:paraId="67589387" w14:textId="77777777" w:rsidR="00915AF8" w:rsidRPr="00B726F0"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161 397 376</w:t>
            </w:r>
          </w:p>
        </w:tc>
        <w:tc>
          <w:tcPr>
            <w:tcW w:w="992" w:type="dxa"/>
          </w:tcPr>
          <w:p w14:paraId="4C20932F" w14:textId="77777777" w:rsidR="00915AF8" w:rsidRPr="00B726F0"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169,2%</w:t>
            </w:r>
          </w:p>
        </w:tc>
        <w:tc>
          <w:tcPr>
            <w:tcW w:w="1417" w:type="dxa"/>
          </w:tcPr>
          <w:p w14:paraId="18BB568E" w14:textId="77777777" w:rsidR="00915AF8" w:rsidRPr="00B726F0"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143 464 333,94</w:t>
            </w:r>
          </w:p>
        </w:tc>
        <w:tc>
          <w:tcPr>
            <w:tcW w:w="958" w:type="dxa"/>
          </w:tcPr>
          <w:p w14:paraId="65F44F50" w14:textId="77777777" w:rsidR="00915AF8" w:rsidRPr="00B726F0"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150,4%</w:t>
            </w:r>
          </w:p>
        </w:tc>
      </w:tr>
    </w:tbl>
    <w:p w14:paraId="035703F8" w14:textId="77777777" w:rsidR="00915AF8" w:rsidRDefault="00915AF8" w:rsidP="00DF64C7">
      <w:pPr>
        <w:pStyle w:val="podpisrdailustracji"/>
        <w:jc w:val="left"/>
      </w:pPr>
      <w:r>
        <w:t>Źródło: Opracowanie własne na podstawie danych wygenerowanych z SL2014 (data dostępu: 1.10.2019 r.).</w:t>
      </w:r>
    </w:p>
    <w:p w14:paraId="3C3FE523" w14:textId="77777777" w:rsidR="00915AF8" w:rsidRDefault="00915AF8" w:rsidP="00DF64C7">
      <w:pPr>
        <w:pStyle w:val="Wyrnienie"/>
        <w:jc w:val="left"/>
      </w:pPr>
      <w:r>
        <w:t>Obecny i prognozowany stan realizacji wskaźników produktu</w:t>
      </w:r>
    </w:p>
    <w:p w14:paraId="7A463159" w14:textId="77777777" w:rsidR="00915AF8" w:rsidRDefault="00915AF8" w:rsidP="00DF64C7">
      <w:pPr>
        <w:jc w:val="left"/>
      </w:pPr>
      <w:r>
        <w:t>W przypadku wskaźników produktu analizie poddanych zostało 20 wskaźników EFS i EFRR, z spośród których 18 osiągnęło szacunkową realizację na poziomie równym lub wyższym od wartości docelowej w 2023 r. 100% szacowanej realizacji nie zostało osiągnięte w przypadku wskaźników:</w:t>
      </w:r>
    </w:p>
    <w:p w14:paraId="71E02807" w14:textId="77777777" w:rsidR="00915AF8" w:rsidRDefault="00915AF8" w:rsidP="00DF64C7">
      <w:pPr>
        <w:pStyle w:val="Akapitzlist"/>
        <w:numPr>
          <w:ilvl w:val="0"/>
          <w:numId w:val="75"/>
        </w:numPr>
        <w:jc w:val="left"/>
      </w:pPr>
      <w:r w:rsidRPr="003E400D">
        <w:t>Liczba uczniów objętych wsparciem w zakresie rozwijania kompetencji kluczowych lub umiejętności uniwersalnych niezbędnych na rynku pracy w programie</w:t>
      </w:r>
      <w:r>
        <w:t xml:space="preserve"> (24%);</w:t>
      </w:r>
    </w:p>
    <w:p w14:paraId="3F6C88C2" w14:textId="77777777" w:rsidR="00915AF8" w:rsidRDefault="00915AF8" w:rsidP="00DF64C7">
      <w:pPr>
        <w:pStyle w:val="Akapitzlist"/>
        <w:numPr>
          <w:ilvl w:val="0"/>
          <w:numId w:val="75"/>
        </w:numPr>
        <w:jc w:val="left"/>
      </w:pPr>
      <w:r w:rsidRPr="003E400D">
        <w:t>Liczba osób uczestniczących w szkolnych formach kształcenia w programie</w:t>
      </w:r>
      <w:r>
        <w:t xml:space="preserve"> (14%).</w:t>
      </w:r>
    </w:p>
    <w:p w14:paraId="41C749D3" w14:textId="77777777" w:rsidR="00915AF8" w:rsidRDefault="00915AF8" w:rsidP="00DF64C7">
      <w:pPr>
        <w:jc w:val="left"/>
      </w:pPr>
    </w:p>
    <w:p w14:paraId="15680B35" w14:textId="22B23C81" w:rsidR="000F2849" w:rsidRDefault="000F2849" w:rsidP="00DF64C7">
      <w:pPr>
        <w:jc w:val="left"/>
      </w:pPr>
      <w:r>
        <w:t xml:space="preserve">Wskaźnik: </w:t>
      </w:r>
      <w:r w:rsidRPr="003E400D">
        <w:t>Liczba uczniów objętych wsparciem w zakresie rozwijania kompetencji kluczowych lub umiejętności uniwersalnych niezbędnych na rynku pracy w programie</w:t>
      </w:r>
      <w:r>
        <w:t>, został dodany do monitoringu po zmianie Regionalnego Programu Operacyjnego Województwa Śląskiego na lata 2014-2020 i ze względu na realizację projektu „Śląskie. Zawodowcy” w trybie pozakonkursowym, oraz podpisanie umowy na jego realizację w czerwcu 2019 r. szacowana wartość docelowa wskaźnika nie została osiągnięta w momencie opracowywania przedmiotowego raportu (na bazie danych z dnia 30.09.2019 r.). Jednakże w związku z założeniami projektu (</w:t>
      </w:r>
      <w:r w:rsidRPr="006E621A">
        <w:t>tworzenie warunków dla zajęć praktycznych dla około 1998 uczniów / uczennic</w:t>
      </w:r>
      <w:r>
        <w:rPr>
          <w:rStyle w:val="Odwoanieprzypisudolnego"/>
        </w:rPr>
        <w:footnoteReference w:id="138"/>
      </w:r>
      <w:r>
        <w:t>) w tym p</w:t>
      </w:r>
      <w:r w:rsidR="001412E4">
        <w:t>rzypadku nie istnieje zagrożenie</w:t>
      </w:r>
      <w:r>
        <w:t xml:space="preserve"> niezrealizowania wartości docelowej wskaźnika.</w:t>
      </w:r>
    </w:p>
    <w:p w14:paraId="5382A4C7" w14:textId="77777777" w:rsidR="00915AF8" w:rsidRDefault="00915AF8" w:rsidP="00DF64C7">
      <w:pPr>
        <w:jc w:val="left"/>
      </w:pPr>
    </w:p>
    <w:p w14:paraId="55F84CCB" w14:textId="77777777" w:rsidR="00915AF8" w:rsidRDefault="00915AF8" w:rsidP="00DF64C7">
      <w:pPr>
        <w:jc w:val="left"/>
      </w:pPr>
      <w:r>
        <w:t xml:space="preserve">W przypadku wskaźnika: </w:t>
      </w:r>
      <w:r w:rsidRPr="003E400D">
        <w:t>Liczba osób uczestniczących w szkolnych formach kształcenia w programie</w:t>
      </w:r>
      <w:r>
        <w:t xml:space="preserve"> niski poziom realizacji wskaźnika wynika z </w:t>
      </w:r>
      <w:r w:rsidRPr="00032F91">
        <w:t>niewielkiego zainteresowania udziałem w kształceniu w</w:t>
      </w:r>
      <w:r>
        <w:t xml:space="preserve"> </w:t>
      </w:r>
      <w:r w:rsidRPr="00032F91">
        <w:t>formach szkolnych</w:t>
      </w:r>
      <w:r>
        <w:t xml:space="preserve">. Jak wynika z zapisów Rocznego sprawozdania z wdrażania w ramach „Inwestycje na rzecz wzrostu i zatrudnienia” sytuacja ta występowała również w poprzedniej perspektywie finansowej (PO KL). Pomimo wprowadzenia dodatkowego kryterium premiującego projekty, w których co najmniej 35% uczestników korzysta z form szkolnych, nie zidentyfikowano znacznego </w:t>
      </w:r>
      <w:r w:rsidR="00FC1039">
        <w:t>zwiększenia</w:t>
      </w:r>
      <w:r>
        <w:t xml:space="preserve"> zainteresowania uczestnictwa w </w:t>
      </w:r>
      <w:r w:rsidRPr="003E400D">
        <w:t>szkolnych formach kształcenia</w:t>
      </w:r>
      <w:r>
        <w:t>. Dodatkowo, ze względu na brak uwzględnienia działania 11.3 w harmonogramie naboru wniosków na 2020 r. istnieje wysokie prawdopodobieństwo nieosiągnięcia wartości docelowej przedmiotowego wskaźnika.</w:t>
      </w:r>
    </w:p>
    <w:p w14:paraId="31A6F42B" w14:textId="77777777" w:rsidR="00915AF8" w:rsidRDefault="00915AF8" w:rsidP="00DF64C7">
      <w:pPr>
        <w:jc w:val="left"/>
      </w:pPr>
    </w:p>
    <w:p w14:paraId="6CF1E917" w14:textId="77777777" w:rsidR="00915AF8" w:rsidRDefault="00915AF8" w:rsidP="00DF64C7">
      <w:pPr>
        <w:jc w:val="left"/>
      </w:pPr>
      <w:r>
        <w:t>Ponadto pierwotnie zidentyfikowano możliwość nieosiągnięcia zakładanego na 2023 r. poziomu realizacji wskaźnika:</w:t>
      </w:r>
      <w:r w:rsidRPr="0073266C">
        <w:t xml:space="preserve"> Liczba podmiotów realizujących zadania centrum kształcenia zawodowego i ustawicznego objętych wsparciem w programie</w:t>
      </w:r>
      <w:r>
        <w:t>. Badani przedstawiciele IZ i IP wskazali jednak, że obniżono wartość docelową wskaźnika</w:t>
      </w:r>
      <w:r>
        <w:rPr>
          <w:rStyle w:val="Odwoanieprzypisudolnego"/>
        </w:rPr>
        <w:footnoteReference w:id="139"/>
      </w:r>
      <w:r>
        <w:t xml:space="preserve"> </w:t>
      </w:r>
      <w:r w:rsidRPr="00D87EBC">
        <w:t xml:space="preserve">(wartość wg stanu na 2019 r. wyniosła 2, a </w:t>
      </w:r>
      <w:r>
        <w:t xml:space="preserve">pierwotnie zakładana wartość </w:t>
      </w:r>
      <w:r w:rsidRPr="00D87EBC">
        <w:t>docelowa (2023 r.) wynieść m</w:t>
      </w:r>
      <w:r>
        <w:t>i</w:t>
      </w:r>
      <w:r w:rsidRPr="00D87EBC">
        <w:t>a</w:t>
      </w:r>
      <w:r>
        <w:t>ła</w:t>
      </w:r>
      <w:r w:rsidRPr="00D87EBC">
        <w:t xml:space="preserve"> 35, wobec czego </w:t>
      </w:r>
      <w:r>
        <w:t>zrealizowane zostałoby jedynie 6% zakła</w:t>
      </w:r>
      <w:r w:rsidRPr="00D87EBC">
        <w:t>danej</w:t>
      </w:r>
      <w:r>
        <w:t xml:space="preserve"> wartości). Powodem takiej sytuacji miał być fakt, iż dorośli decydują się raczej na formy pozaszkolne, trwające najwyżej kilkanaście tygodni (w przeciwieństwie do form szkolnych, które trwają najczęściej 6 semestrów). Ostatecznie wartość docelowa zmniejszona została z 35 do 2, wobec czego nie ma już ryzyka niezrealizowania tego wskaźnika. Wzrost kwalifikacji i kompetencji dorosłych mieszkańców województwa, który stanowi jeden z celów OP XI i XII zostanie więc zrealizowany głównie poprzez pozaszkolne formy kształcenia. </w:t>
      </w:r>
    </w:p>
    <w:p w14:paraId="1787FE89" w14:textId="77777777" w:rsidR="00915AF8" w:rsidRDefault="00915AF8" w:rsidP="00DF64C7">
      <w:pPr>
        <w:pStyle w:val="Legenda"/>
        <w:jc w:val="left"/>
      </w:pPr>
      <w:r>
        <w:t xml:space="preserve">Tabela </w:t>
      </w:r>
      <w:r w:rsidR="000F2849">
        <w:rPr>
          <w:noProof/>
        </w:rPr>
        <w:t>48.</w:t>
      </w:r>
      <w:r>
        <w:t xml:space="preserve"> </w:t>
      </w:r>
      <w:r w:rsidRPr="006B32EB">
        <w:t xml:space="preserve">Wartości wskaźników </w:t>
      </w:r>
      <w:r>
        <w:t>produktu</w:t>
      </w:r>
      <w:r w:rsidRPr="006B32EB">
        <w:t xml:space="preserve"> szacowane na podstawie podpisanych umów</w:t>
      </w:r>
    </w:p>
    <w:tbl>
      <w:tblPr>
        <w:tblStyle w:val="Tabelasiatki4akcent61"/>
        <w:tblW w:w="0" w:type="auto"/>
        <w:tblLayout w:type="fixed"/>
        <w:tblLook w:val="04A0" w:firstRow="1" w:lastRow="0" w:firstColumn="1" w:lastColumn="0" w:noHBand="0" w:noVBand="1"/>
        <w:tblCaption w:val="Wartości wskaźników produktu szacowane na podstawie podpisanych umów."/>
        <w:tblDescription w:val="Tabela przedstawia wartości wskaźników produktu szacowane na podstawie podpisanych umów. Najwyższa wartość szacowanej realizacji (795%) przypadła na wskaźnik Liczba osób uczestniczących w pozaszkolnych formach kształcenia w programie, najniższa z kolei na Liczba uczniów objętych wsparciem w zakresie rozwijania kompetencji kluczowych lub umiejętności uniwersalnych niezbędnych na rynku pracy w programie (24%)"/>
      </w:tblPr>
      <w:tblGrid>
        <w:gridCol w:w="1101"/>
        <w:gridCol w:w="3827"/>
        <w:gridCol w:w="1476"/>
        <w:gridCol w:w="1359"/>
        <w:gridCol w:w="1276"/>
      </w:tblGrid>
      <w:tr w:rsidR="00602034" w:rsidRPr="00602034" w14:paraId="6FE01487" w14:textId="77777777" w:rsidTr="00602034">
        <w:trPr>
          <w:cnfStyle w:val="100000000000" w:firstRow="1" w:lastRow="0" w:firstColumn="0" w:lastColumn="0" w:oddVBand="0" w:evenVBand="0" w:oddHBand="0" w:evenHBand="0" w:firstRowFirstColumn="0" w:firstRowLastColumn="0" w:lastRowFirstColumn="0" w:lastRowLastColumn="0"/>
          <w:trHeight w:val="1275"/>
          <w:tblHeader/>
        </w:trPr>
        <w:tc>
          <w:tcPr>
            <w:cnfStyle w:val="001000000000" w:firstRow="0" w:lastRow="0" w:firstColumn="1" w:lastColumn="0" w:oddVBand="0" w:evenVBand="0" w:oddHBand="0" w:evenHBand="0" w:firstRowFirstColumn="0" w:firstRowLastColumn="0" w:lastRowFirstColumn="0" w:lastRowLastColumn="0"/>
            <w:tcW w:w="1101" w:type="dxa"/>
            <w:noWrap/>
            <w:hideMark/>
          </w:tcPr>
          <w:p w14:paraId="573C85E4" w14:textId="77777777" w:rsidR="00915AF8" w:rsidRPr="00E24BD3" w:rsidRDefault="00915AF8" w:rsidP="00DF64C7">
            <w:pPr>
              <w:spacing w:line="240" w:lineRule="auto"/>
              <w:jc w:val="left"/>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Działanie</w:t>
            </w:r>
          </w:p>
        </w:tc>
        <w:tc>
          <w:tcPr>
            <w:tcW w:w="3827" w:type="dxa"/>
            <w:noWrap/>
            <w:hideMark/>
          </w:tcPr>
          <w:p w14:paraId="47E9578A" w14:textId="77777777" w:rsidR="00915AF8" w:rsidRPr="00E24BD3"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Wskaźnik</w:t>
            </w:r>
          </w:p>
        </w:tc>
        <w:tc>
          <w:tcPr>
            <w:tcW w:w="1476" w:type="dxa"/>
            <w:noWrap/>
            <w:hideMark/>
          </w:tcPr>
          <w:p w14:paraId="5DD02F8F" w14:textId="77777777" w:rsidR="00915AF8" w:rsidRPr="00E24BD3"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Wartość docelowa</w:t>
            </w:r>
          </w:p>
        </w:tc>
        <w:tc>
          <w:tcPr>
            <w:tcW w:w="1359" w:type="dxa"/>
            <w:noWrap/>
            <w:hideMark/>
          </w:tcPr>
          <w:p w14:paraId="16BD6668" w14:textId="77777777" w:rsidR="00915AF8" w:rsidRPr="00E24BD3"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Szacowana realizacja na podstawie podpisanych umów</w:t>
            </w:r>
          </w:p>
        </w:tc>
        <w:tc>
          <w:tcPr>
            <w:tcW w:w="1276" w:type="dxa"/>
            <w:noWrap/>
            <w:hideMark/>
          </w:tcPr>
          <w:p w14:paraId="7B0E5502" w14:textId="77777777" w:rsidR="00915AF8" w:rsidRPr="00E24BD3" w:rsidRDefault="00915AF8"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 szacowanej realizacji</w:t>
            </w:r>
          </w:p>
        </w:tc>
      </w:tr>
      <w:tr w:rsidR="00915AF8" w:rsidRPr="008A150D" w14:paraId="0B4643EF" w14:textId="77777777" w:rsidTr="00E24BD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01" w:type="dxa"/>
            <w:noWrap/>
            <w:hideMark/>
          </w:tcPr>
          <w:p w14:paraId="028060FA"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11.1</w:t>
            </w:r>
          </w:p>
        </w:tc>
        <w:tc>
          <w:tcPr>
            <w:tcW w:w="3827" w:type="dxa"/>
            <w:noWrap/>
            <w:hideMark/>
          </w:tcPr>
          <w:p w14:paraId="121519E2"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dzieci objętych w ramach programu dodatkowymi zajęciami zwiększającymi ich szanse edukacyjne w edukacji przedszkolnej</w:t>
            </w:r>
          </w:p>
        </w:tc>
        <w:tc>
          <w:tcPr>
            <w:tcW w:w="1476" w:type="dxa"/>
            <w:noWrap/>
            <w:hideMark/>
          </w:tcPr>
          <w:p w14:paraId="4E8EBC62"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3081</w:t>
            </w:r>
          </w:p>
        </w:tc>
        <w:tc>
          <w:tcPr>
            <w:tcW w:w="1359" w:type="dxa"/>
            <w:noWrap/>
            <w:hideMark/>
          </w:tcPr>
          <w:p w14:paraId="54DDDECE"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6768</w:t>
            </w:r>
          </w:p>
        </w:tc>
        <w:tc>
          <w:tcPr>
            <w:tcW w:w="1276" w:type="dxa"/>
            <w:noWrap/>
            <w:hideMark/>
          </w:tcPr>
          <w:p w14:paraId="5EB9718E"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187%</w:t>
            </w:r>
          </w:p>
        </w:tc>
      </w:tr>
      <w:tr w:rsidR="00915AF8" w:rsidRPr="008A150D" w14:paraId="42504CF6" w14:textId="77777777" w:rsidTr="00E24BD3">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21A8D828"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11.1</w:t>
            </w:r>
          </w:p>
        </w:tc>
        <w:tc>
          <w:tcPr>
            <w:tcW w:w="3827" w:type="dxa"/>
            <w:noWrap/>
            <w:hideMark/>
          </w:tcPr>
          <w:p w14:paraId="65793013"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miejsc wychowania przedszkolnego dofinansowanych w programie</w:t>
            </w:r>
          </w:p>
        </w:tc>
        <w:tc>
          <w:tcPr>
            <w:tcW w:w="1476" w:type="dxa"/>
            <w:noWrap/>
            <w:hideMark/>
          </w:tcPr>
          <w:p w14:paraId="753635EC"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13984</w:t>
            </w:r>
          </w:p>
        </w:tc>
        <w:tc>
          <w:tcPr>
            <w:tcW w:w="1359" w:type="dxa"/>
            <w:noWrap/>
            <w:hideMark/>
          </w:tcPr>
          <w:p w14:paraId="3BBF8397"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13944</w:t>
            </w:r>
          </w:p>
        </w:tc>
        <w:tc>
          <w:tcPr>
            <w:tcW w:w="1276" w:type="dxa"/>
            <w:noWrap/>
            <w:hideMark/>
          </w:tcPr>
          <w:p w14:paraId="3D27FE37"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100%</w:t>
            </w:r>
          </w:p>
        </w:tc>
      </w:tr>
      <w:tr w:rsidR="00915AF8" w:rsidRPr="008A150D" w14:paraId="5AC3EF00" w14:textId="77777777" w:rsidTr="00E24B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1DA55010"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11.1</w:t>
            </w:r>
          </w:p>
        </w:tc>
        <w:tc>
          <w:tcPr>
            <w:tcW w:w="3827" w:type="dxa"/>
            <w:noWrap/>
            <w:hideMark/>
          </w:tcPr>
          <w:p w14:paraId="69FD2F5B"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uczniów objętych wsparciem w zakresie rozwijania kompetencji kluczowych lub umiejętności uniwersalnych niezbędnych na rynku pracy w programie</w:t>
            </w:r>
          </w:p>
        </w:tc>
        <w:tc>
          <w:tcPr>
            <w:tcW w:w="1476" w:type="dxa"/>
            <w:noWrap/>
            <w:hideMark/>
          </w:tcPr>
          <w:p w14:paraId="310EA315"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46366</w:t>
            </w:r>
          </w:p>
        </w:tc>
        <w:tc>
          <w:tcPr>
            <w:tcW w:w="1359" w:type="dxa"/>
            <w:noWrap/>
            <w:hideMark/>
          </w:tcPr>
          <w:p w14:paraId="19931B1F"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85561</w:t>
            </w:r>
          </w:p>
        </w:tc>
        <w:tc>
          <w:tcPr>
            <w:tcW w:w="1276" w:type="dxa"/>
            <w:noWrap/>
            <w:hideMark/>
          </w:tcPr>
          <w:p w14:paraId="3B843A78"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185%</w:t>
            </w:r>
          </w:p>
        </w:tc>
      </w:tr>
      <w:tr w:rsidR="00915AF8" w:rsidRPr="008A150D" w14:paraId="74D9A1AF" w14:textId="77777777" w:rsidTr="00E24BD3">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29B4B1F0"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11.1</w:t>
            </w:r>
          </w:p>
        </w:tc>
        <w:tc>
          <w:tcPr>
            <w:tcW w:w="3827" w:type="dxa"/>
            <w:noWrap/>
            <w:hideMark/>
          </w:tcPr>
          <w:p w14:paraId="141AFCFC"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szkół, których pracownie przedmiotowe zostały doposażone w programie</w:t>
            </w:r>
          </w:p>
        </w:tc>
        <w:tc>
          <w:tcPr>
            <w:tcW w:w="1476" w:type="dxa"/>
            <w:noWrap/>
            <w:hideMark/>
          </w:tcPr>
          <w:p w14:paraId="6A681D3F"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148</w:t>
            </w:r>
          </w:p>
        </w:tc>
        <w:tc>
          <w:tcPr>
            <w:tcW w:w="1359" w:type="dxa"/>
            <w:noWrap/>
            <w:hideMark/>
          </w:tcPr>
          <w:p w14:paraId="3736E197"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657</w:t>
            </w:r>
          </w:p>
        </w:tc>
        <w:tc>
          <w:tcPr>
            <w:tcW w:w="1276" w:type="dxa"/>
            <w:noWrap/>
            <w:hideMark/>
          </w:tcPr>
          <w:p w14:paraId="4F792051"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444%</w:t>
            </w:r>
          </w:p>
        </w:tc>
      </w:tr>
      <w:tr w:rsidR="00915AF8" w:rsidRPr="008A150D" w14:paraId="2D97C45F" w14:textId="77777777" w:rsidTr="00E24B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5C1CA3BE"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11.1</w:t>
            </w:r>
          </w:p>
        </w:tc>
        <w:tc>
          <w:tcPr>
            <w:tcW w:w="3827" w:type="dxa"/>
            <w:noWrap/>
            <w:hideMark/>
          </w:tcPr>
          <w:p w14:paraId="51C2A2E3"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szkół i placówek systemu oświaty wyposażonych w ramach programu w sprzęt TIK do prowadzenia zajęć edukacyjnych</w:t>
            </w:r>
          </w:p>
        </w:tc>
        <w:tc>
          <w:tcPr>
            <w:tcW w:w="1476" w:type="dxa"/>
            <w:noWrap/>
            <w:hideMark/>
          </w:tcPr>
          <w:p w14:paraId="32EFC9C3"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155</w:t>
            </w:r>
          </w:p>
        </w:tc>
        <w:tc>
          <w:tcPr>
            <w:tcW w:w="1359" w:type="dxa"/>
            <w:noWrap/>
            <w:hideMark/>
          </w:tcPr>
          <w:p w14:paraId="341C1BE0"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749</w:t>
            </w:r>
          </w:p>
        </w:tc>
        <w:tc>
          <w:tcPr>
            <w:tcW w:w="1276" w:type="dxa"/>
            <w:noWrap/>
            <w:hideMark/>
          </w:tcPr>
          <w:p w14:paraId="356638A4"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483%</w:t>
            </w:r>
          </w:p>
        </w:tc>
      </w:tr>
      <w:tr w:rsidR="00915AF8" w:rsidRPr="008A150D" w14:paraId="0980BD89" w14:textId="77777777" w:rsidTr="00E24BD3">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32552D5B"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11.4</w:t>
            </w:r>
          </w:p>
        </w:tc>
        <w:tc>
          <w:tcPr>
            <w:tcW w:w="3827" w:type="dxa"/>
            <w:noWrap/>
            <w:hideMark/>
          </w:tcPr>
          <w:p w14:paraId="08B9C26C"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osób o niskich kwalifikacjach objętych wsparciem w programie</w:t>
            </w:r>
          </w:p>
        </w:tc>
        <w:tc>
          <w:tcPr>
            <w:tcW w:w="1476" w:type="dxa"/>
            <w:noWrap/>
            <w:hideMark/>
          </w:tcPr>
          <w:p w14:paraId="59644BDA"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15412</w:t>
            </w:r>
          </w:p>
        </w:tc>
        <w:tc>
          <w:tcPr>
            <w:tcW w:w="1359" w:type="dxa"/>
            <w:noWrap/>
            <w:hideMark/>
          </w:tcPr>
          <w:p w14:paraId="77BEC0E2"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16241</w:t>
            </w:r>
          </w:p>
        </w:tc>
        <w:tc>
          <w:tcPr>
            <w:tcW w:w="1276" w:type="dxa"/>
            <w:noWrap/>
            <w:hideMark/>
          </w:tcPr>
          <w:p w14:paraId="6BFAA45F"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105%</w:t>
            </w:r>
          </w:p>
        </w:tc>
      </w:tr>
      <w:tr w:rsidR="00915AF8" w:rsidRPr="008A150D" w14:paraId="27FB9F60" w14:textId="77777777" w:rsidTr="00E24B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2AF3EF56"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11.4</w:t>
            </w:r>
          </w:p>
        </w:tc>
        <w:tc>
          <w:tcPr>
            <w:tcW w:w="3827" w:type="dxa"/>
            <w:noWrap/>
            <w:hideMark/>
          </w:tcPr>
          <w:p w14:paraId="6B31836B"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osób w wieku 50 lat i więcej objętych wsparciem w programie</w:t>
            </w:r>
          </w:p>
        </w:tc>
        <w:tc>
          <w:tcPr>
            <w:tcW w:w="1476" w:type="dxa"/>
            <w:noWrap/>
            <w:hideMark/>
          </w:tcPr>
          <w:p w14:paraId="658B7D28"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3626</w:t>
            </w:r>
          </w:p>
        </w:tc>
        <w:tc>
          <w:tcPr>
            <w:tcW w:w="1359" w:type="dxa"/>
            <w:noWrap/>
            <w:hideMark/>
          </w:tcPr>
          <w:p w14:paraId="334D46EB"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5879</w:t>
            </w:r>
          </w:p>
        </w:tc>
        <w:tc>
          <w:tcPr>
            <w:tcW w:w="1276" w:type="dxa"/>
            <w:noWrap/>
            <w:hideMark/>
          </w:tcPr>
          <w:p w14:paraId="36A6619D"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162%</w:t>
            </w:r>
          </w:p>
        </w:tc>
      </w:tr>
      <w:tr w:rsidR="00915AF8" w:rsidRPr="008A150D" w14:paraId="29F6C66A" w14:textId="77777777" w:rsidTr="00E24BD3">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B1DE975"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11.4</w:t>
            </w:r>
          </w:p>
        </w:tc>
        <w:tc>
          <w:tcPr>
            <w:tcW w:w="3827" w:type="dxa"/>
            <w:noWrap/>
            <w:hideMark/>
          </w:tcPr>
          <w:p w14:paraId="45922790"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osób w wieku 25 lat i więcej objętych wsparciem w programie</w:t>
            </w:r>
          </w:p>
        </w:tc>
        <w:tc>
          <w:tcPr>
            <w:tcW w:w="1476" w:type="dxa"/>
            <w:noWrap/>
            <w:hideMark/>
          </w:tcPr>
          <w:p w14:paraId="1304951C"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14506</w:t>
            </w:r>
          </w:p>
        </w:tc>
        <w:tc>
          <w:tcPr>
            <w:tcW w:w="1359" w:type="dxa"/>
            <w:noWrap/>
            <w:hideMark/>
          </w:tcPr>
          <w:p w14:paraId="31D905D3"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26435</w:t>
            </w:r>
          </w:p>
        </w:tc>
        <w:tc>
          <w:tcPr>
            <w:tcW w:w="1276" w:type="dxa"/>
            <w:noWrap/>
            <w:hideMark/>
          </w:tcPr>
          <w:p w14:paraId="6DC14166"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182%</w:t>
            </w:r>
          </w:p>
        </w:tc>
      </w:tr>
      <w:tr w:rsidR="00915AF8" w:rsidRPr="008A150D" w14:paraId="5A414944" w14:textId="77777777" w:rsidTr="00E24B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B269AC2"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11.2</w:t>
            </w:r>
          </w:p>
        </w:tc>
        <w:tc>
          <w:tcPr>
            <w:tcW w:w="3827" w:type="dxa"/>
            <w:noWrap/>
            <w:hideMark/>
          </w:tcPr>
          <w:p w14:paraId="130C04E8"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uczniów szkół i placówek kształcenia zawodowego uczestniczących w stażach i praktykach u pracodawcy</w:t>
            </w:r>
          </w:p>
        </w:tc>
        <w:tc>
          <w:tcPr>
            <w:tcW w:w="1476" w:type="dxa"/>
            <w:noWrap/>
            <w:hideMark/>
          </w:tcPr>
          <w:p w14:paraId="4F24F8A5"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6066</w:t>
            </w:r>
          </w:p>
        </w:tc>
        <w:tc>
          <w:tcPr>
            <w:tcW w:w="1359" w:type="dxa"/>
            <w:noWrap/>
            <w:hideMark/>
          </w:tcPr>
          <w:p w14:paraId="5863ACE7"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13401</w:t>
            </w:r>
          </w:p>
        </w:tc>
        <w:tc>
          <w:tcPr>
            <w:tcW w:w="1276" w:type="dxa"/>
            <w:noWrap/>
            <w:hideMark/>
          </w:tcPr>
          <w:p w14:paraId="02ED0764"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221%</w:t>
            </w:r>
          </w:p>
        </w:tc>
      </w:tr>
      <w:tr w:rsidR="00915AF8" w:rsidRPr="008A150D" w14:paraId="6E864A74" w14:textId="77777777" w:rsidTr="00E24BD3">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15A4898E"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11.2</w:t>
            </w:r>
          </w:p>
        </w:tc>
        <w:tc>
          <w:tcPr>
            <w:tcW w:w="3827" w:type="dxa"/>
            <w:noWrap/>
            <w:hideMark/>
          </w:tcPr>
          <w:p w14:paraId="643DBA84"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uczniów objętych wsparciem w zakresie rozwijania kompetencji kluczowych lub umiejętności uniwersalnych niezbędnych na rynku pracy w programie</w:t>
            </w:r>
          </w:p>
        </w:tc>
        <w:tc>
          <w:tcPr>
            <w:tcW w:w="1476" w:type="dxa"/>
            <w:noWrap/>
            <w:hideMark/>
          </w:tcPr>
          <w:p w14:paraId="2F29410E"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1897</w:t>
            </w:r>
          </w:p>
        </w:tc>
        <w:tc>
          <w:tcPr>
            <w:tcW w:w="1359" w:type="dxa"/>
            <w:noWrap/>
            <w:hideMark/>
          </w:tcPr>
          <w:p w14:paraId="5CB18D87"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455</w:t>
            </w:r>
          </w:p>
        </w:tc>
        <w:tc>
          <w:tcPr>
            <w:tcW w:w="1276" w:type="dxa"/>
            <w:noWrap/>
            <w:hideMark/>
          </w:tcPr>
          <w:p w14:paraId="228F4CE9"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24%</w:t>
            </w:r>
          </w:p>
        </w:tc>
      </w:tr>
      <w:tr w:rsidR="00915AF8" w:rsidRPr="008A150D" w14:paraId="3BEE86F2" w14:textId="77777777" w:rsidTr="00E24B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30E32CBE"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11.3</w:t>
            </w:r>
          </w:p>
        </w:tc>
        <w:tc>
          <w:tcPr>
            <w:tcW w:w="3827" w:type="dxa"/>
            <w:noWrap/>
            <w:hideMark/>
          </w:tcPr>
          <w:p w14:paraId="16383E62"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osób uczestniczących w pozaszkolnych formach kształcenia w programie</w:t>
            </w:r>
          </w:p>
        </w:tc>
        <w:tc>
          <w:tcPr>
            <w:tcW w:w="1476" w:type="dxa"/>
            <w:noWrap/>
            <w:hideMark/>
          </w:tcPr>
          <w:p w14:paraId="06BDE26A"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4729</w:t>
            </w:r>
          </w:p>
        </w:tc>
        <w:tc>
          <w:tcPr>
            <w:tcW w:w="1359" w:type="dxa"/>
            <w:noWrap/>
            <w:hideMark/>
          </w:tcPr>
          <w:p w14:paraId="3DA3A173"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37597</w:t>
            </w:r>
          </w:p>
        </w:tc>
        <w:tc>
          <w:tcPr>
            <w:tcW w:w="1276" w:type="dxa"/>
            <w:noWrap/>
            <w:hideMark/>
          </w:tcPr>
          <w:p w14:paraId="4975814F"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795%</w:t>
            </w:r>
          </w:p>
        </w:tc>
      </w:tr>
      <w:tr w:rsidR="00915AF8" w:rsidRPr="008A150D" w14:paraId="0AAEED22" w14:textId="77777777" w:rsidTr="00E24BD3">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48BBC42F"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11.3</w:t>
            </w:r>
          </w:p>
        </w:tc>
        <w:tc>
          <w:tcPr>
            <w:tcW w:w="3827" w:type="dxa"/>
            <w:noWrap/>
            <w:hideMark/>
          </w:tcPr>
          <w:p w14:paraId="666229D8"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podmiotów realizujących zadania centrum kształcenia zawodowego i ustawicznego objętych wsparciem w programie</w:t>
            </w:r>
          </w:p>
        </w:tc>
        <w:tc>
          <w:tcPr>
            <w:tcW w:w="1476" w:type="dxa"/>
            <w:noWrap/>
            <w:hideMark/>
          </w:tcPr>
          <w:p w14:paraId="5EEC3D73"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2</w:t>
            </w:r>
          </w:p>
        </w:tc>
        <w:tc>
          <w:tcPr>
            <w:tcW w:w="1359" w:type="dxa"/>
            <w:noWrap/>
            <w:hideMark/>
          </w:tcPr>
          <w:p w14:paraId="27FE59E4"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2</w:t>
            </w:r>
          </w:p>
        </w:tc>
        <w:tc>
          <w:tcPr>
            <w:tcW w:w="1276" w:type="dxa"/>
            <w:noWrap/>
            <w:hideMark/>
          </w:tcPr>
          <w:p w14:paraId="63CB55FE"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100%</w:t>
            </w:r>
          </w:p>
        </w:tc>
      </w:tr>
      <w:tr w:rsidR="00915AF8" w:rsidRPr="008A150D" w14:paraId="165CEE4C" w14:textId="77777777" w:rsidTr="00E24B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3CBEE7D"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11.2</w:t>
            </w:r>
          </w:p>
        </w:tc>
        <w:tc>
          <w:tcPr>
            <w:tcW w:w="3827" w:type="dxa"/>
            <w:noWrap/>
            <w:hideMark/>
          </w:tcPr>
          <w:p w14:paraId="71893A00"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nauczycieli kształcenia zawodowego oraz instruktorów praktycznej nauki zawodu objętych wsparciem w programie</w:t>
            </w:r>
          </w:p>
        </w:tc>
        <w:tc>
          <w:tcPr>
            <w:tcW w:w="1476" w:type="dxa"/>
            <w:noWrap/>
            <w:hideMark/>
          </w:tcPr>
          <w:p w14:paraId="3883174C"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269</w:t>
            </w:r>
          </w:p>
        </w:tc>
        <w:tc>
          <w:tcPr>
            <w:tcW w:w="1359" w:type="dxa"/>
            <w:noWrap/>
            <w:hideMark/>
          </w:tcPr>
          <w:p w14:paraId="18219DD9"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1766</w:t>
            </w:r>
          </w:p>
        </w:tc>
        <w:tc>
          <w:tcPr>
            <w:tcW w:w="1276" w:type="dxa"/>
            <w:noWrap/>
            <w:hideMark/>
          </w:tcPr>
          <w:p w14:paraId="5CB13C23"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657%</w:t>
            </w:r>
          </w:p>
        </w:tc>
      </w:tr>
      <w:tr w:rsidR="00915AF8" w:rsidRPr="008A150D" w14:paraId="3AE84E31" w14:textId="77777777" w:rsidTr="00E24BD3">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062E9C73"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11.2</w:t>
            </w:r>
          </w:p>
        </w:tc>
        <w:tc>
          <w:tcPr>
            <w:tcW w:w="3827" w:type="dxa"/>
            <w:noWrap/>
            <w:hideMark/>
          </w:tcPr>
          <w:p w14:paraId="45349C27"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szkół i placówek kształcenia zawodowego doposażonych w programie w sprzęt i materiały dydaktyczne niezbędne do realizacji kształcenia zawodowego</w:t>
            </w:r>
          </w:p>
        </w:tc>
        <w:tc>
          <w:tcPr>
            <w:tcW w:w="1476" w:type="dxa"/>
            <w:noWrap/>
            <w:hideMark/>
          </w:tcPr>
          <w:p w14:paraId="0E575CBD"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67</w:t>
            </w:r>
          </w:p>
        </w:tc>
        <w:tc>
          <w:tcPr>
            <w:tcW w:w="1359" w:type="dxa"/>
            <w:noWrap/>
            <w:hideMark/>
          </w:tcPr>
          <w:p w14:paraId="488D6699"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296</w:t>
            </w:r>
          </w:p>
        </w:tc>
        <w:tc>
          <w:tcPr>
            <w:tcW w:w="1276" w:type="dxa"/>
            <w:noWrap/>
            <w:hideMark/>
          </w:tcPr>
          <w:p w14:paraId="73A5CE4D"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442%</w:t>
            </w:r>
          </w:p>
        </w:tc>
      </w:tr>
      <w:tr w:rsidR="00915AF8" w:rsidRPr="008A150D" w14:paraId="7994BAE1" w14:textId="77777777" w:rsidTr="00E24B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D0C8F21"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11.3</w:t>
            </w:r>
          </w:p>
        </w:tc>
        <w:tc>
          <w:tcPr>
            <w:tcW w:w="3827" w:type="dxa"/>
            <w:noWrap/>
            <w:hideMark/>
          </w:tcPr>
          <w:p w14:paraId="65DBE351"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osób uczestniczących w szkolnych formach kształcenia w programie</w:t>
            </w:r>
          </w:p>
        </w:tc>
        <w:tc>
          <w:tcPr>
            <w:tcW w:w="1476" w:type="dxa"/>
            <w:noWrap/>
            <w:hideMark/>
          </w:tcPr>
          <w:p w14:paraId="3FAC7DDB"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1804</w:t>
            </w:r>
          </w:p>
        </w:tc>
        <w:tc>
          <w:tcPr>
            <w:tcW w:w="1359" w:type="dxa"/>
            <w:noWrap/>
            <w:hideMark/>
          </w:tcPr>
          <w:p w14:paraId="576515D2"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250</w:t>
            </w:r>
          </w:p>
        </w:tc>
        <w:tc>
          <w:tcPr>
            <w:tcW w:w="1276" w:type="dxa"/>
            <w:noWrap/>
            <w:hideMark/>
          </w:tcPr>
          <w:p w14:paraId="5C02FC45"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14%</w:t>
            </w:r>
          </w:p>
        </w:tc>
      </w:tr>
      <w:tr w:rsidR="00915AF8" w:rsidRPr="008A150D" w14:paraId="515B61E2" w14:textId="77777777" w:rsidTr="00E24BD3">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59D24572"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12.1</w:t>
            </w:r>
          </w:p>
        </w:tc>
        <w:tc>
          <w:tcPr>
            <w:tcW w:w="3827" w:type="dxa"/>
            <w:noWrap/>
            <w:hideMark/>
          </w:tcPr>
          <w:p w14:paraId="72BEFC0E"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wspartych obiektów infrastruktury przedszkolnej</w:t>
            </w:r>
          </w:p>
        </w:tc>
        <w:tc>
          <w:tcPr>
            <w:tcW w:w="1476" w:type="dxa"/>
            <w:noWrap/>
            <w:hideMark/>
          </w:tcPr>
          <w:p w14:paraId="23D89688"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50</w:t>
            </w:r>
          </w:p>
        </w:tc>
        <w:tc>
          <w:tcPr>
            <w:tcW w:w="1359" w:type="dxa"/>
            <w:noWrap/>
            <w:hideMark/>
          </w:tcPr>
          <w:p w14:paraId="4713932E"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71</w:t>
            </w:r>
          </w:p>
        </w:tc>
        <w:tc>
          <w:tcPr>
            <w:tcW w:w="1276" w:type="dxa"/>
            <w:noWrap/>
            <w:hideMark/>
          </w:tcPr>
          <w:p w14:paraId="55023941"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142%</w:t>
            </w:r>
          </w:p>
        </w:tc>
      </w:tr>
      <w:tr w:rsidR="00915AF8" w:rsidRPr="008A150D" w14:paraId="754E6BBF" w14:textId="77777777" w:rsidTr="00E24B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39C6EAD3"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12.1</w:t>
            </w:r>
          </w:p>
        </w:tc>
        <w:tc>
          <w:tcPr>
            <w:tcW w:w="3827" w:type="dxa"/>
            <w:noWrap/>
            <w:hideMark/>
          </w:tcPr>
          <w:p w14:paraId="1F2B84AF"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Potencjał objętej wsparciem infrastruktury w zakresie opieki nad dziećmi lub infrastruktury edukacyjnej</w:t>
            </w:r>
          </w:p>
        </w:tc>
        <w:tc>
          <w:tcPr>
            <w:tcW w:w="1476" w:type="dxa"/>
            <w:noWrap/>
            <w:hideMark/>
          </w:tcPr>
          <w:p w14:paraId="638DF3DB"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32329</w:t>
            </w:r>
          </w:p>
        </w:tc>
        <w:tc>
          <w:tcPr>
            <w:tcW w:w="1359" w:type="dxa"/>
            <w:noWrap/>
            <w:hideMark/>
          </w:tcPr>
          <w:p w14:paraId="57D100EF"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40940</w:t>
            </w:r>
          </w:p>
        </w:tc>
        <w:tc>
          <w:tcPr>
            <w:tcW w:w="1276" w:type="dxa"/>
            <w:noWrap/>
            <w:hideMark/>
          </w:tcPr>
          <w:p w14:paraId="081DABA4"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127%</w:t>
            </w:r>
          </w:p>
        </w:tc>
      </w:tr>
      <w:tr w:rsidR="00915AF8" w:rsidRPr="008A150D" w14:paraId="74A3EDDE" w14:textId="77777777" w:rsidTr="00E24BD3">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5C886EED"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12.2</w:t>
            </w:r>
          </w:p>
        </w:tc>
        <w:tc>
          <w:tcPr>
            <w:tcW w:w="3827" w:type="dxa"/>
            <w:noWrap/>
            <w:hideMark/>
          </w:tcPr>
          <w:p w14:paraId="791473B4"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wspartych obiektów infrastruktury kształcenia zawodowego</w:t>
            </w:r>
          </w:p>
        </w:tc>
        <w:tc>
          <w:tcPr>
            <w:tcW w:w="1476" w:type="dxa"/>
            <w:noWrap/>
            <w:hideMark/>
          </w:tcPr>
          <w:p w14:paraId="20A7B907"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52</w:t>
            </w:r>
          </w:p>
        </w:tc>
        <w:tc>
          <w:tcPr>
            <w:tcW w:w="1359" w:type="dxa"/>
            <w:noWrap/>
            <w:hideMark/>
          </w:tcPr>
          <w:p w14:paraId="5D72061A"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136</w:t>
            </w:r>
          </w:p>
        </w:tc>
        <w:tc>
          <w:tcPr>
            <w:tcW w:w="1276" w:type="dxa"/>
            <w:noWrap/>
            <w:hideMark/>
          </w:tcPr>
          <w:p w14:paraId="7A60F500"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262%</w:t>
            </w:r>
          </w:p>
        </w:tc>
      </w:tr>
      <w:tr w:rsidR="00915AF8" w:rsidRPr="008A150D" w14:paraId="24F2D8C0" w14:textId="77777777" w:rsidTr="00E24B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4FE95B01"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12.2</w:t>
            </w:r>
          </w:p>
        </w:tc>
        <w:tc>
          <w:tcPr>
            <w:tcW w:w="3827" w:type="dxa"/>
            <w:noWrap/>
            <w:hideMark/>
          </w:tcPr>
          <w:p w14:paraId="46550ADB" w14:textId="77777777" w:rsidR="00915AF8" w:rsidRPr="00E24BD3" w:rsidRDefault="00915AF8"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Potencjał objętej wsparciem infrastruktury w zakresie opieki nad dziećmi lub infrastruktury edukacyjnej</w:t>
            </w:r>
          </w:p>
        </w:tc>
        <w:tc>
          <w:tcPr>
            <w:tcW w:w="1476" w:type="dxa"/>
            <w:noWrap/>
            <w:hideMark/>
          </w:tcPr>
          <w:p w14:paraId="478E5710"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32329</w:t>
            </w:r>
          </w:p>
        </w:tc>
        <w:tc>
          <w:tcPr>
            <w:tcW w:w="1359" w:type="dxa"/>
            <w:noWrap/>
            <w:hideMark/>
          </w:tcPr>
          <w:p w14:paraId="3AAEE30B"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40940</w:t>
            </w:r>
          </w:p>
        </w:tc>
        <w:tc>
          <w:tcPr>
            <w:tcW w:w="1276" w:type="dxa"/>
            <w:noWrap/>
            <w:hideMark/>
          </w:tcPr>
          <w:p w14:paraId="6248FBDB" w14:textId="77777777" w:rsidR="00915AF8" w:rsidRPr="00E24BD3" w:rsidRDefault="00915AF8"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127%</w:t>
            </w:r>
          </w:p>
        </w:tc>
      </w:tr>
      <w:tr w:rsidR="00915AF8" w:rsidRPr="008A150D" w14:paraId="4432B8CF" w14:textId="77777777" w:rsidTr="00E24BD3">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13720F93" w14:textId="77777777" w:rsidR="00915AF8" w:rsidRPr="00E24BD3" w:rsidRDefault="00915AF8" w:rsidP="00DF64C7">
            <w:pPr>
              <w:spacing w:line="240" w:lineRule="auto"/>
              <w:jc w:val="left"/>
              <w:rPr>
                <w:rFonts w:eastAsia="Times New Roman" w:cs="Arial"/>
                <w:color w:val="000000"/>
                <w:sz w:val="20"/>
                <w:szCs w:val="20"/>
                <w:lang w:eastAsia="pl-PL"/>
              </w:rPr>
            </w:pPr>
            <w:r w:rsidRPr="00E24BD3">
              <w:rPr>
                <w:rFonts w:eastAsia="Times New Roman" w:cs="Arial"/>
                <w:color w:val="000000"/>
                <w:sz w:val="20"/>
                <w:szCs w:val="20"/>
                <w:lang w:eastAsia="pl-PL"/>
              </w:rPr>
              <w:t>12.3</w:t>
            </w:r>
          </w:p>
        </w:tc>
        <w:tc>
          <w:tcPr>
            <w:tcW w:w="3827" w:type="dxa"/>
            <w:noWrap/>
            <w:hideMark/>
          </w:tcPr>
          <w:p w14:paraId="19CC3B5E" w14:textId="77777777" w:rsidR="00915AF8" w:rsidRPr="00E24BD3" w:rsidRDefault="00915AF8"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Liczba osób odwiedzających Planetarium Śląskie ze zorganizowanych grup uczniowskich i przedszkolnych</w:t>
            </w:r>
          </w:p>
        </w:tc>
        <w:tc>
          <w:tcPr>
            <w:tcW w:w="1476" w:type="dxa"/>
            <w:noWrap/>
            <w:hideMark/>
          </w:tcPr>
          <w:p w14:paraId="4B0E4B22"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156000</w:t>
            </w:r>
          </w:p>
        </w:tc>
        <w:tc>
          <w:tcPr>
            <w:tcW w:w="1359" w:type="dxa"/>
            <w:noWrap/>
            <w:hideMark/>
          </w:tcPr>
          <w:p w14:paraId="7E6523DA"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156000</w:t>
            </w:r>
          </w:p>
        </w:tc>
        <w:tc>
          <w:tcPr>
            <w:tcW w:w="1276" w:type="dxa"/>
            <w:noWrap/>
            <w:hideMark/>
          </w:tcPr>
          <w:p w14:paraId="091D4D7F" w14:textId="77777777" w:rsidR="00915AF8" w:rsidRPr="00E24BD3" w:rsidRDefault="00915AF8"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E24BD3">
              <w:rPr>
                <w:rFonts w:eastAsia="Times New Roman" w:cs="Arial"/>
                <w:color w:val="000000"/>
                <w:sz w:val="20"/>
                <w:szCs w:val="20"/>
                <w:lang w:eastAsia="pl-PL"/>
              </w:rPr>
              <w:t>100%</w:t>
            </w:r>
          </w:p>
        </w:tc>
      </w:tr>
    </w:tbl>
    <w:p w14:paraId="68E8B576" w14:textId="77777777" w:rsidR="00915AF8" w:rsidRDefault="00915AF8" w:rsidP="00DF64C7">
      <w:pPr>
        <w:pStyle w:val="podpisrdailustracji"/>
        <w:jc w:val="left"/>
      </w:pPr>
      <w:r>
        <w:t>Źródło: Opracowanie własne na podstawie monitoringu  wskaźników rzeczowych na dzień 30.09.2019 r.</w:t>
      </w:r>
    </w:p>
    <w:p w14:paraId="42866F05" w14:textId="77777777" w:rsidR="000F2849" w:rsidRDefault="000F2849" w:rsidP="00DF64C7">
      <w:pPr>
        <w:pStyle w:val="Wyrnienie"/>
        <w:jc w:val="left"/>
      </w:pPr>
      <w:r w:rsidRPr="00D85E08">
        <w:t>Obecny i prognozowany stan realizacji wskaźników rezultatu</w:t>
      </w:r>
    </w:p>
    <w:p w14:paraId="3A5DF606" w14:textId="77777777" w:rsidR="000F2849" w:rsidRPr="00EE2BAC" w:rsidRDefault="000F2849" w:rsidP="00DF64C7">
      <w:pPr>
        <w:jc w:val="left"/>
      </w:pPr>
      <w:r w:rsidRPr="003C6D87">
        <w:t>Analizy wskaźników rezultatu bezpośredniego</w:t>
      </w:r>
      <w:r>
        <w:t xml:space="preserve"> wykonane w ramach ewaluacji objęły wyłącznie Osie priorytetowe z EFS, z uwagi na fakt, iż zgodnie z</w:t>
      </w:r>
      <w:r w:rsidRPr="00EE2BAC">
        <w:t xml:space="preserve"> </w:t>
      </w:r>
      <w:r w:rsidRPr="003C6D87">
        <w:t>S</w:t>
      </w:r>
      <w:r>
        <w:t>z</w:t>
      </w:r>
      <w:r w:rsidRPr="003C6D87">
        <w:t>OOP RPO WSL 2014-2020</w:t>
      </w:r>
      <w:r>
        <w:t xml:space="preserve"> wskaźniki EFRR traktowane są jako nieobligatoryjne</w:t>
      </w:r>
      <w:r w:rsidRPr="003C6D87">
        <w:t xml:space="preserve">. </w:t>
      </w:r>
      <w:r>
        <w:t xml:space="preserve">Wśród </w:t>
      </w:r>
      <w:r w:rsidRPr="003C6D87">
        <w:t xml:space="preserve">analizowanych wskaźników rezultatu bezpośredniego w przypadku </w:t>
      </w:r>
      <w:r>
        <w:t xml:space="preserve">9 (na 10) z nich, dotyczących </w:t>
      </w:r>
      <w:r w:rsidRPr="003C6D87">
        <w:t>Osi priorytetowej XI Wzmocnienie potencjału edukacyjnego</w:t>
      </w:r>
      <w:r>
        <w:t>, osiągnęło</w:t>
      </w:r>
      <w:r w:rsidRPr="003C6D87">
        <w:t xml:space="preserve"> stopień realizacji taki sam lub większy niż wartość docelowa wskaźnika na 2023</w:t>
      </w:r>
      <w:r>
        <w:t>.</w:t>
      </w:r>
    </w:p>
    <w:p w14:paraId="41B40A8A" w14:textId="77777777" w:rsidR="000F2849" w:rsidRDefault="000F2849" w:rsidP="00DF64C7">
      <w:pPr>
        <w:jc w:val="left"/>
      </w:pPr>
    </w:p>
    <w:p w14:paraId="3305191D" w14:textId="77777777" w:rsidR="000F2849" w:rsidRDefault="000F2849" w:rsidP="00DF64C7">
      <w:pPr>
        <w:jc w:val="left"/>
      </w:pPr>
      <w:r>
        <w:t xml:space="preserve">Jedynie w przypadku wskaźnika: </w:t>
      </w:r>
      <w:r w:rsidRPr="00032F91">
        <w:t>Liczba uczniów, którzy nabyli kompetencje kluczowe lub umiejętności uniwersalne niezbędne na rynku pracy po opuszczeniu programu</w:t>
      </w:r>
      <w:r>
        <w:t xml:space="preserve">, który został dodany do monitoringu po zmianie Regionalnego Programu Operacyjnego Województwa Śląskiego na lata 2014-2020 i ze względu na realizację projektu „Śląskie. </w:t>
      </w:r>
      <w:r w:rsidR="00FC1039">
        <w:t>Zawodowcy</w:t>
      </w:r>
      <w:r>
        <w:t>” w trybie pozakonkursowym, oraz podpisanie umowy na jego realizację w czerwcu 2019 r. szacowana wartość docelowa wskaźnika nie została osiągnięta w momencie opracowywania przedmiotowego raportu (na bazie danych z dnia 30.09.2019 r.). Jednakże w związku z założeniami projektu (</w:t>
      </w:r>
      <w:r w:rsidRPr="006E621A">
        <w:t>tworzenie warunków dla zajęć praktycznych dla około 1998 uczniów / uczennic</w:t>
      </w:r>
      <w:r>
        <w:rPr>
          <w:rStyle w:val="Odwoanieprzypisudolnego"/>
        </w:rPr>
        <w:footnoteReference w:id="140"/>
      </w:r>
      <w:r>
        <w:t>) w przypadku analizowanego wskaźnika nie istnieje zagrożenia niezrealizowania wartości docelowej wskaźnika.</w:t>
      </w:r>
    </w:p>
    <w:p w14:paraId="65A1443A" w14:textId="77777777" w:rsidR="000F2849" w:rsidRDefault="000F2849" w:rsidP="00DF64C7">
      <w:pPr>
        <w:pStyle w:val="Legenda"/>
        <w:jc w:val="left"/>
      </w:pPr>
      <w:r>
        <w:t xml:space="preserve">Tabela </w:t>
      </w:r>
      <w:r>
        <w:rPr>
          <w:noProof/>
        </w:rPr>
        <w:t>49.</w:t>
      </w:r>
      <w:r>
        <w:t xml:space="preserve"> </w:t>
      </w:r>
      <w:r w:rsidRPr="00010B58">
        <w:t xml:space="preserve">Wartości wskaźników </w:t>
      </w:r>
      <w:r>
        <w:t>rezultatu</w:t>
      </w:r>
      <w:r w:rsidRPr="00010B58">
        <w:t xml:space="preserve"> szacowane na podstawie podpisanych umów</w:t>
      </w:r>
    </w:p>
    <w:tbl>
      <w:tblPr>
        <w:tblStyle w:val="Tabelasiatki4akcent61"/>
        <w:tblW w:w="0" w:type="auto"/>
        <w:tblLayout w:type="fixed"/>
        <w:tblLook w:val="04A0" w:firstRow="1" w:lastRow="0" w:firstColumn="1" w:lastColumn="0" w:noHBand="0" w:noVBand="1"/>
        <w:tblCaption w:val="Wartości wskaźników rezultatu szacowane na podstawie podpisanych umów"/>
        <w:tblDescription w:val="Tabela przedstawia wartości wskaźników rezultatu szacowane na podstawie podpisanych umów. Najwyższa wartość szacowanej realizacji (4244%) przypadła na wskaźnik Liczba osób, które uzyskały kwalifikacje w ramach pozaszkolnych form kształceniu , najniższa z kolei na Liczba uczniów, którzy nabyli kompetencje kluczowe lub umiejętności uniwersalne niezbędne na rynku pracy po opuszczeniu programu (35%)"/>
      </w:tblPr>
      <w:tblGrid>
        <w:gridCol w:w="1101"/>
        <w:gridCol w:w="3827"/>
        <w:gridCol w:w="1476"/>
        <w:gridCol w:w="1359"/>
        <w:gridCol w:w="1276"/>
      </w:tblGrid>
      <w:tr w:rsidR="000F2849" w:rsidRPr="00602034" w14:paraId="0955CA58" w14:textId="77777777" w:rsidTr="008D5F51">
        <w:trPr>
          <w:cnfStyle w:val="100000000000" w:firstRow="1" w:lastRow="0" w:firstColumn="0" w:lastColumn="0" w:oddVBand="0" w:evenVBand="0" w:oddHBand="0" w:evenHBand="0" w:firstRowFirstColumn="0" w:firstRowLastColumn="0" w:lastRowFirstColumn="0" w:lastRowLastColumn="0"/>
          <w:trHeight w:val="1275"/>
          <w:tblHeader/>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6C344FA" w14:textId="77777777" w:rsidR="000F2849" w:rsidRPr="00E24BD3" w:rsidRDefault="000F2849" w:rsidP="00DF64C7">
            <w:pPr>
              <w:spacing w:line="240" w:lineRule="auto"/>
              <w:jc w:val="left"/>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Działanie</w:t>
            </w:r>
          </w:p>
        </w:tc>
        <w:tc>
          <w:tcPr>
            <w:tcW w:w="3827" w:type="dxa"/>
            <w:noWrap/>
            <w:hideMark/>
          </w:tcPr>
          <w:p w14:paraId="3C3A17D7" w14:textId="77777777" w:rsidR="000F2849" w:rsidRPr="00E24BD3" w:rsidRDefault="000F2849"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Wskaźnik</w:t>
            </w:r>
          </w:p>
        </w:tc>
        <w:tc>
          <w:tcPr>
            <w:tcW w:w="1476" w:type="dxa"/>
            <w:noWrap/>
            <w:hideMark/>
          </w:tcPr>
          <w:p w14:paraId="1BB17809" w14:textId="77777777" w:rsidR="000F2849" w:rsidRPr="00E24BD3" w:rsidRDefault="000F2849"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Wartość docelowa</w:t>
            </w:r>
          </w:p>
        </w:tc>
        <w:tc>
          <w:tcPr>
            <w:tcW w:w="1359" w:type="dxa"/>
            <w:noWrap/>
            <w:hideMark/>
          </w:tcPr>
          <w:p w14:paraId="0256BE73" w14:textId="77777777" w:rsidR="000F2849" w:rsidRPr="00E24BD3" w:rsidRDefault="000F2849"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Szacowana realizacja na podstawie podpisanych umów</w:t>
            </w:r>
          </w:p>
        </w:tc>
        <w:tc>
          <w:tcPr>
            <w:tcW w:w="1276" w:type="dxa"/>
            <w:noWrap/>
            <w:hideMark/>
          </w:tcPr>
          <w:p w14:paraId="54D4F8B3" w14:textId="77777777" w:rsidR="000F2849" w:rsidRPr="00E24BD3" w:rsidRDefault="000F2849"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 szacowanej realizacji</w:t>
            </w:r>
          </w:p>
        </w:tc>
      </w:tr>
      <w:tr w:rsidR="000F2849" w:rsidRPr="007275D1" w14:paraId="600AA9A0" w14:textId="77777777" w:rsidTr="008D5F51">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01" w:type="dxa"/>
            <w:noWrap/>
            <w:vAlign w:val="center"/>
          </w:tcPr>
          <w:p w14:paraId="3B4037E2" w14:textId="77777777" w:rsidR="000F2849" w:rsidRPr="00252FD6" w:rsidRDefault="000F2849" w:rsidP="00DF64C7">
            <w:pPr>
              <w:spacing w:line="240" w:lineRule="auto"/>
              <w:jc w:val="left"/>
              <w:rPr>
                <w:rFonts w:ascii="Calibri" w:eastAsia="Times New Roman" w:hAnsi="Calibri" w:cs="Calibri"/>
                <w:color w:val="000000"/>
                <w:sz w:val="20"/>
                <w:szCs w:val="20"/>
                <w:lang w:eastAsia="pl-PL"/>
              </w:rPr>
            </w:pPr>
            <w:r w:rsidRPr="00252FD6">
              <w:rPr>
                <w:color w:val="000000"/>
                <w:sz w:val="20"/>
                <w:szCs w:val="20"/>
              </w:rPr>
              <w:t>11.1</w:t>
            </w:r>
          </w:p>
        </w:tc>
        <w:tc>
          <w:tcPr>
            <w:tcW w:w="3827" w:type="dxa"/>
            <w:noWrap/>
            <w:vAlign w:val="center"/>
          </w:tcPr>
          <w:p w14:paraId="29ACAF7F" w14:textId="77777777" w:rsidR="000F2849" w:rsidRPr="008A150D" w:rsidRDefault="000F2849"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E24BD3">
              <w:rPr>
                <w:bCs/>
                <w:sz w:val="20"/>
                <w:szCs w:val="20"/>
              </w:rPr>
              <w:t>Liczba uczniów, którzy nabyli kompetencje kluczowe lub umiejętności uniwersalne niezbędne na rynku pracy po opuszczeniu programu</w:t>
            </w:r>
          </w:p>
        </w:tc>
        <w:tc>
          <w:tcPr>
            <w:tcW w:w="1476" w:type="dxa"/>
            <w:noWrap/>
            <w:vAlign w:val="center"/>
          </w:tcPr>
          <w:p w14:paraId="60D55F2C"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27 819</w:t>
            </w:r>
          </w:p>
        </w:tc>
        <w:tc>
          <w:tcPr>
            <w:tcW w:w="1359" w:type="dxa"/>
            <w:noWrap/>
            <w:vAlign w:val="center"/>
          </w:tcPr>
          <w:p w14:paraId="74B0F220"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sz w:val="20"/>
                <w:szCs w:val="20"/>
              </w:rPr>
              <w:t>71815</w:t>
            </w:r>
          </w:p>
        </w:tc>
        <w:tc>
          <w:tcPr>
            <w:tcW w:w="1276" w:type="dxa"/>
            <w:noWrap/>
            <w:vAlign w:val="center"/>
          </w:tcPr>
          <w:p w14:paraId="434598FB"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entury Gothic" w:hAnsi="Century Gothic" w:cs="Calibri"/>
                <w:bCs/>
                <w:color w:val="000000"/>
                <w:sz w:val="20"/>
                <w:szCs w:val="20"/>
              </w:rPr>
              <w:t>258%</w:t>
            </w:r>
          </w:p>
        </w:tc>
      </w:tr>
      <w:tr w:rsidR="000F2849" w:rsidRPr="007275D1" w14:paraId="535AF4DC" w14:textId="77777777" w:rsidTr="008D5F51">
        <w:trPr>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tcPr>
          <w:p w14:paraId="141A542A" w14:textId="77777777" w:rsidR="000F2849" w:rsidRPr="00252FD6" w:rsidRDefault="000F2849" w:rsidP="00DF64C7">
            <w:pPr>
              <w:spacing w:line="240" w:lineRule="auto"/>
              <w:jc w:val="left"/>
              <w:rPr>
                <w:rFonts w:ascii="Calibri" w:eastAsia="Times New Roman" w:hAnsi="Calibri" w:cs="Calibri"/>
                <w:color w:val="000000"/>
                <w:sz w:val="20"/>
                <w:szCs w:val="20"/>
                <w:lang w:eastAsia="pl-PL"/>
              </w:rPr>
            </w:pPr>
            <w:r w:rsidRPr="00252FD6">
              <w:rPr>
                <w:color w:val="000000"/>
                <w:sz w:val="20"/>
                <w:szCs w:val="20"/>
              </w:rPr>
              <w:t>11.1</w:t>
            </w:r>
          </w:p>
        </w:tc>
        <w:tc>
          <w:tcPr>
            <w:tcW w:w="3827" w:type="dxa"/>
            <w:noWrap/>
            <w:vAlign w:val="center"/>
          </w:tcPr>
          <w:p w14:paraId="511B9E75" w14:textId="77777777" w:rsidR="000F2849" w:rsidRPr="008A150D" w:rsidRDefault="000F2849"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bCs/>
                <w:color w:val="000000"/>
                <w:sz w:val="20"/>
                <w:szCs w:val="20"/>
              </w:rPr>
              <w:t>Liczba szkół, w których pracownie przedmiotowe wykorzystują doposażenie do prowadzenia zajęć edukacyjnych</w:t>
            </w:r>
          </w:p>
        </w:tc>
        <w:tc>
          <w:tcPr>
            <w:tcW w:w="1476" w:type="dxa"/>
            <w:noWrap/>
            <w:vAlign w:val="center"/>
          </w:tcPr>
          <w:p w14:paraId="2B9AC81F"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148</w:t>
            </w:r>
          </w:p>
        </w:tc>
        <w:tc>
          <w:tcPr>
            <w:tcW w:w="1359" w:type="dxa"/>
            <w:noWrap/>
            <w:vAlign w:val="center"/>
          </w:tcPr>
          <w:p w14:paraId="6BFC0A07"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662</w:t>
            </w:r>
          </w:p>
        </w:tc>
        <w:tc>
          <w:tcPr>
            <w:tcW w:w="1276" w:type="dxa"/>
            <w:noWrap/>
            <w:vAlign w:val="center"/>
          </w:tcPr>
          <w:p w14:paraId="3F19944C"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entury Gothic" w:hAnsi="Century Gothic" w:cs="Calibri"/>
                <w:bCs/>
                <w:color w:val="000000"/>
                <w:sz w:val="20"/>
                <w:szCs w:val="20"/>
              </w:rPr>
              <w:t>447%</w:t>
            </w:r>
          </w:p>
        </w:tc>
      </w:tr>
      <w:tr w:rsidR="000F2849" w:rsidRPr="007275D1" w14:paraId="60076265" w14:textId="77777777" w:rsidTr="008D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tcPr>
          <w:p w14:paraId="6370802D" w14:textId="77777777" w:rsidR="000F2849" w:rsidRPr="00252FD6" w:rsidRDefault="000F2849" w:rsidP="00DF64C7">
            <w:pPr>
              <w:spacing w:line="240" w:lineRule="auto"/>
              <w:jc w:val="left"/>
              <w:rPr>
                <w:rFonts w:ascii="Calibri" w:eastAsia="Times New Roman" w:hAnsi="Calibri" w:cs="Calibri"/>
                <w:color w:val="000000"/>
                <w:sz w:val="20"/>
                <w:szCs w:val="20"/>
                <w:lang w:eastAsia="pl-PL"/>
              </w:rPr>
            </w:pPr>
            <w:r w:rsidRPr="00252FD6">
              <w:rPr>
                <w:color w:val="000000"/>
                <w:sz w:val="20"/>
                <w:szCs w:val="20"/>
              </w:rPr>
              <w:t>11.1</w:t>
            </w:r>
          </w:p>
        </w:tc>
        <w:tc>
          <w:tcPr>
            <w:tcW w:w="3827" w:type="dxa"/>
            <w:noWrap/>
            <w:vAlign w:val="center"/>
          </w:tcPr>
          <w:p w14:paraId="6DF21988" w14:textId="77777777" w:rsidR="000F2849" w:rsidRPr="008A150D" w:rsidRDefault="000F2849"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E24BD3">
              <w:rPr>
                <w:bCs/>
                <w:color w:val="000000"/>
                <w:sz w:val="20"/>
                <w:szCs w:val="20"/>
              </w:rPr>
              <w:t>Liczba szkół i placówek systemu oświaty wykorzystujących sprzęt TIK do prowadzenia zajęć edukacyjnych</w:t>
            </w:r>
          </w:p>
        </w:tc>
        <w:tc>
          <w:tcPr>
            <w:tcW w:w="1476" w:type="dxa"/>
            <w:noWrap/>
            <w:vAlign w:val="center"/>
          </w:tcPr>
          <w:p w14:paraId="7BCA78C7"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155</w:t>
            </w:r>
          </w:p>
        </w:tc>
        <w:tc>
          <w:tcPr>
            <w:tcW w:w="1359" w:type="dxa"/>
            <w:noWrap/>
            <w:vAlign w:val="center"/>
          </w:tcPr>
          <w:p w14:paraId="21886C98"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749</w:t>
            </w:r>
          </w:p>
        </w:tc>
        <w:tc>
          <w:tcPr>
            <w:tcW w:w="1276" w:type="dxa"/>
            <w:noWrap/>
            <w:vAlign w:val="center"/>
          </w:tcPr>
          <w:p w14:paraId="09BAD844"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entury Gothic" w:hAnsi="Century Gothic" w:cs="Calibri"/>
                <w:bCs/>
                <w:color w:val="000000"/>
                <w:sz w:val="20"/>
                <w:szCs w:val="20"/>
              </w:rPr>
              <w:t>483%</w:t>
            </w:r>
          </w:p>
        </w:tc>
      </w:tr>
      <w:tr w:rsidR="000F2849" w:rsidRPr="007275D1" w14:paraId="7B10B58E" w14:textId="77777777" w:rsidTr="008D5F51">
        <w:trPr>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tcPr>
          <w:p w14:paraId="1656B7A7" w14:textId="77777777" w:rsidR="000F2849" w:rsidRPr="00252FD6" w:rsidRDefault="000F2849" w:rsidP="00DF64C7">
            <w:pPr>
              <w:spacing w:line="240" w:lineRule="auto"/>
              <w:jc w:val="left"/>
              <w:rPr>
                <w:rFonts w:ascii="Calibri" w:eastAsia="Times New Roman" w:hAnsi="Calibri" w:cs="Calibri"/>
                <w:color w:val="000000"/>
                <w:sz w:val="20"/>
                <w:szCs w:val="20"/>
                <w:lang w:eastAsia="pl-PL"/>
              </w:rPr>
            </w:pPr>
            <w:r w:rsidRPr="00252FD6">
              <w:rPr>
                <w:color w:val="000000"/>
                <w:sz w:val="20"/>
                <w:szCs w:val="20"/>
              </w:rPr>
              <w:t>11.4</w:t>
            </w:r>
          </w:p>
        </w:tc>
        <w:tc>
          <w:tcPr>
            <w:tcW w:w="3827" w:type="dxa"/>
            <w:noWrap/>
            <w:vAlign w:val="center"/>
          </w:tcPr>
          <w:p w14:paraId="17D037EB" w14:textId="77777777" w:rsidR="000F2849" w:rsidRPr="008A150D" w:rsidRDefault="000F2849"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bCs/>
                <w:color w:val="000000"/>
                <w:sz w:val="20"/>
                <w:szCs w:val="20"/>
              </w:rPr>
              <w:t xml:space="preserve">Liczba osób o niskich kwalifikacjach, które uzyskały kwalifikacje lub nabyły </w:t>
            </w:r>
            <w:r w:rsidR="00D86F90" w:rsidRPr="00E24BD3">
              <w:rPr>
                <w:bCs/>
                <w:color w:val="000000"/>
                <w:sz w:val="20"/>
                <w:szCs w:val="20"/>
              </w:rPr>
              <w:t>kompetencje</w:t>
            </w:r>
            <w:r w:rsidRPr="00E24BD3">
              <w:rPr>
                <w:bCs/>
                <w:color w:val="000000"/>
                <w:sz w:val="20"/>
                <w:szCs w:val="20"/>
              </w:rPr>
              <w:t xml:space="preserve"> po opuszczeniu programu</w:t>
            </w:r>
          </w:p>
        </w:tc>
        <w:tc>
          <w:tcPr>
            <w:tcW w:w="1476" w:type="dxa"/>
            <w:noWrap/>
            <w:vAlign w:val="center"/>
          </w:tcPr>
          <w:p w14:paraId="29FDF954"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9 247</w:t>
            </w:r>
          </w:p>
        </w:tc>
        <w:tc>
          <w:tcPr>
            <w:tcW w:w="1359" w:type="dxa"/>
            <w:noWrap/>
            <w:vAlign w:val="center"/>
          </w:tcPr>
          <w:p w14:paraId="0F52E5E2"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11750</w:t>
            </w:r>
          </w:p>
        </w:tc>
        <w:tc>
          <w:tcPr>
            <w:tcW w:w="1276" w:type="dxa"/>
            <w:noWrap/>
            <w:vAlign w:val="center"/>
          </w:tcPr>
          <w:p w14:paraId="7A49C4D2"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entury Gothic" w:hAnsi="Century Gothic" w:cs="Calibri"/>
                <w:bCs/>
                <w:color w:val="000000"/>
                <w:sz w:val="20"/>
                <w:szCs w:val="20"/>
              </w:rPr>
              <w:t>127%</w:t>
            </w:r>
          </w:p>
        </w:tc>
      </w:tr>
      <w:tr w:rsidR="000F2849" w:rsidRPr="007275D1" w14:paraId="757FEA9B" w14:textId="77777777" w:rsidTr="008D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tcPr>
          <w:p w14:paraId="4B11FFCC" w14:textId="77777777" w:rsidR="000F2849" w:rsidRPr="00252FD6" w:rsidRDefault="000F2849" w:rsidP="00DF64C7">
            <w:pPr>
              <w:spacing w:line="240" w:lineRule="auto"/>
              <w:jc w:val="left"/>
              <w:rPr>
                <w:rFonts w:ascii="Calibri" w:eastAsia="Times New Roman" w:hAnsi="Calibri" w:cs="Calibri"/>
                <w:color w:val="000000"/>
                <w:sz w:val="20"/>
                <w:szCs w:val="20"/>
                <w:lang w:eastAsia="pl-PL"/>
              </w:rPr>
            </w:pPr>
            <w:r w:rsidRPr="00252FD6">
              <w:rPr>
                <w:color w:val="000000"/>
                <w:sz w:val="20"/>
                <w:szCs w:val="20"/>
              </w:rPr>
              <w:t>11.4</w:t>
            </w:r>
          </w:p>
        </w:tc>
        <w:tc>
          <w:tcPr>
            <w:tcW w:w="3827" w:type="dxa"/>
            <w:noWrap/>
            <w:vAlign w:val="center"/>
          </w:tcPr>
          <w:p w14:paraId="0C8F0EA7" w14:textId="77777777" w:rsidR="000F2849" w:rsidRPr="008A150D" w:rsidRDefault="000F2849"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E24BD3">
              <w:rPr>
                <w:bCs/>
                <w:color w:val="000000"/>
                <w:sz w:val="20"/>
                <w:szCs w:val="20"/>
              </w:rPr>
              <w:t xml:space="preserve">Liczba osób w wieku 50 lat i więcej, które uzyskały kwalifikacje lub nabyły </w:t>
            </w:r>
            <w:r w:rsidR="00D86F90" w:rsidRPr="00E24BD3">
              <w:rPr>
                <w:bCs/>
                <w:color w:val="000000"/>
                <w:sz w:val="20"/>
                <w:szCs w:val="20"/>
              </w:rPr>
              <w:t>kompetencje</w:t>
            </w:r>
            <w:r w:rsidRPr="00E24BD3">
              <w:rPr>
                <w:bCs/>
                <w:color w:val="000000"/>
                <w:sz w:val="20"/>
                <w:szCs w:val="20"/>
              </w:rPr>
              <w:t xml:space="preserve"> po opuszczeniu programu</w:t>
            </w:r>
          </w:p>
        </w:tc>
        <w:tc>
          <w:tcPr>
            <w:tcW w:w="1476" w:type="dxa"/>
            <w:noWrap/>
            <w:vAlign w:val="center"/>
          </w:tcPr>
          <w:p w14:paraId="6731D277"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2 176</w:t>
            </w:r>
          </w:p>
        </w:tc>
        <w:tc>
          <w:tcPr>
            <w:tcW w:w="1359" w:type="dxa"/>
            <w:noWrap/>
            <w:vAlign w:val="center"/>
          </w:tcPr>
          <w:p w14:paraId="7D64091A"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4266</w:t>
            </w:r>
          </w:p>
        </w:tc>
        <w:tc>
          <w:tcPr>
            <w:tcW w:w="1276" w:type="dxa"/>
            <w:noWrap/>
            <w:vAlign w:val="center"/>
          </w:tcPr>
          <w:p w14:paraId="01BE1D8A"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entury Gothic" w:hAnsi="Century Gothic" w:cs="Calibri"/>
                <w:bCs/>
                <w:color w:val="000000"/>
                <w:sz w:val="20"/>
                <w:szCs w:val="20"/>
              </w:rPr>
              <w:t>196%</w:t>
            </w:r>
          </w:p>
        </w:tc>
      </w:tr>
      <w:tr w:rsidR="000F2849" w:rsidRPr="007275D1" w14:paraId="407ECF48" w14:textId="77777777" w:rsidTr="008D5F51">
        <w:trPr>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tcPr>
          <w:p w14:paraId="47583459" w14:textId="77777777" w:rsidR="000F2849" w:rsidRPr="00252FD6" w:rsidRDefault="000F2849" w:rsidP="00DF64C7">
            <w:pPr>
              <w:spacing w:line="240" w:lineRule="auto"/>
              <w:jc w:val="left"/>
              <w:rPr>
                <w:rFonts w:ascii="Calibri" w:eastAsia="Times New Roman" w:hAnsi="Calibri" w:cs="Calibri"/>
                <w:color w:val="000000"/>
                <w:sz w:val="20"/>
                <w:szCs w:val="20"/>
                <w:lang w:eastAsia="pl-PL"/>
              </w:rPr>
            </w:pPr>
            <w:r w:rsidRPr="00252FD6">
              <w:rPr>
                <w:color w:val="000000"/>
                <w:sz w:val="20"/>
                <w:szCs w:val="20"/>
              </w:rPr>
              <w:t>11.4</w:t>
            </w:r>
          </w:p>
        </w:tc>
        <w:tc>
          <w:tcPr>
            <w:tcW w:w="3827" w:type="dxa"/>
            <w:noWrap/>
            <w:vAlign w:val="center"/>
          </w:tcPr>
          <w:p w14:paraId="1DDD0470" w14:textId="77777777" w:rsidR="000F2849" w:rsidRPr="008A150D" w:rsidRDefault="000F2849"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bCs/>
                <w:color w:val="000000"/>
                <w:sz w:val="20"/>
                <w:szCs w:val="20"/>
              </w:rPr>
              <w:t>Liczba osób w wieku 25 lat i więcej, które uzyskały kwalifikacje lub nabyły kompetencje po opuszczeniu programu</w:t>
            </w:r>
          </w:p>
        </w:tc>
        <w:tc>
          <w:tcPr>
            <w:tcW w:w="1476" w:type="dxa"/>
            <w:noWrap/>
            <w:vAlign w:val="center"/>
          </w:tcPr>
          <w:p w14:paraId="430008D1"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8 704</w:t>
            </w:r>
          </w:p>
        </w:tc>
        <w:tc>
          <w:tcPr>
            <w:tcW w:w="1359" w:type="dxa"/>
            <w:noWrap/>
            <w:vAlign w:val="center"/>
          </w:tcPr>
          <w:p w14:paraId="735F0261"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19154</w:t>
            </w:r>
          </w:p>
        </w:tc>
        <w:tc>
          <w:tcPr>
            <w:tcW w:w="1276" w:type="dxa"/>
            <w:noWrap/>
            <w:vAlign w:val="center"/>
          </w:tcPr>
          <w:p w14:paraId="1EEB35E2"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entury Gothic" w:hAnsi="Century Gothic" w:cs="Calibri"/>
                <w:bCs/>
                <w:color w:val="000000"/>
                <w:sz w:val="20"/>
                <w:szCs w:val="20"/>
              </w:rPr>
              <w:t>220%</w:t>
            </w:r>
          </w:p>
        </w:tc>
      </w:tr>
      <w:tr w:rsidR="000F2849" w:rsidRPr="007275D1" w14:paraId="32A0D1E7" w14:textId="77777777" w:rsidTr="008D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tcPr>
          <w:p w14:paraId="5BE2CF20" w14:textId="77777777" w:rsidR="000F2849" w:rsidRPr="00252FD6" w:rsidRDefault="000F2849" w:rsidP="00DF64C7">
            <w:pPr>
              <w:spacing w:line="240" w:lineRule="auto"/>
              <w:jc w:val="left"/>
              <w:rPr>
                <w:rFonts w:ascii="Calibri" w:eastAsia="Times New Roman" w:hAnsi="Calibri" w:cs="Calibri"/>
                <w:color w:val="000000"/>
                <w:sz w:val="20"/>
                <w:szCs w:val="20"/>
                <w:lang w:eastAsia="pl-PL"/>
              </w:rPr>
            </w:pPr>
            <w:r w:rsidRPr="00252FD6">
              <w:rPr>
                <w:color w:val="000000"/>
                <w:sz w:val="20"/>
                <w:szCs w:val="20"/>
              </w:rPr>
              <w:t>11.3</w:t>
            </w:r>
          </w:p>
        </w:tc>
        <w:tc>
          <w:tcPr>
            <w:tcW w:w="3827" w:type="dxa"/>
            <w:noWrap/>
            <w:vAlign w:val="center"/>
          </w:tcPr>
          <w:p w14:paraId="2730F3E4" w14:textId="77777777" w:rsidR="000F2849" w:rsidRPr="008A150D" w:rsidRDefault="000F2849"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E24BD3">
              <w:rPr>
                <w:bCs/>
                <w:color w:val="000000"/>
                <w:sz w:val="20"/>
                <w:szCs w:val="20"/>
              </w:rPr>
              <w:t xml:space="preserve">Liczba osób, które uzyskały kwalifikacje w ramach pozaszkolnych form kształceniu </w:t>
            </w:r>
          </w:p>
        </w:tc>
        <w:tc>
          <w:tcPr>
            <w:tcW w:w="1476" w:type="dxa"/>
            <w:noWrap/>
            <w:vAlign w:val="center"/>
          </w:tcPr>
          <w:p w14:paraId="1C092F92"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709</w:t>
            </w:r>
          </w:p>
        </w:tc>
        <w:tc>
          <w:tcPr>
            <w:tcW w:w="1359" w:type="dxa"/>
            <w:noWrap/>
            <w:vAlign w:val="center"/>
          </w:tcPr>
          <w:p w14:paraId="2772C14B"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30091</w:t>
            </w:r>
          </w:p>
        </w:tc>
        <w:tc>
          <w:tcPr>
            <w:tcW w:w="1276" w:type="dxa"/>
            <w:noWrap/>
            <w:vAlign w:val="center"/>
          </w:tcPr>
          <w:p w14:paraId="786E1822"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entury Gothic" w:hAnsi="Century Gothic" w:cs="Calibri"/>
                <w:bCs/>
                <w:color w:val="000000"/>
                <w:sz w:val="20"/>
                <w:szCs w:val="20"/>
              </w:rPr>
              <w:t>4244%</w:t>
            </w:r>
          </w:p>
        </w:tc>
      </w:tr>
      <w:tr w:rsidR="000F2849" w:rsidRPr="007275D1" w14:paraId="26E2F5B1" w14:textId="77777777" w:rsidTr="008D5F51">
        <w:trPr>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tcPr>
          <w:p w14:paraId="5EA16701" w14:textId="77777777" w:rsidR="000F2849" w:rsidRPr="00252FD6" w:rsidRDefault="000F2849" w:rsidP="00DF64C7">
            <w:pPr>
              <w:spacing w:line="240" w:lineRule="auto"/>
              <w:jc w:val="left"/>
              <w:rPr>
                <w:rFonts w:ascii="Calibri" w:eastAsia="Times New Roman" w:hAnsi="Calibri" w:cs="Calibri"/>
                <w:color w:val="000000"/>
                <w:sz w:val="20"/>
                <w:szCs w:val="20"/>
                <w:lang w:eastAsia="pl-PL"/>
              </w:rPr>
            </w:pPr>
            <w:r w:rsidRPr="00252FD6">
              <w:rPr>
                <w:color w:val="000000"/>
                <w:sz w:val="20"/>
                <w:szCs w:val="20"/>
              </w:rPr>
              <w:t>11.2</w:t>
            </w:r>
          </w:p>
        </w:tc>
        <w:tc>
          <w:tcPr>
            <w:tcW w:w="3827" w:type="dxa"/>
            <w:noWrap/>
            <w:vAlign w:val="center"/>
          </w:tcPr>
          <w:p w14:paraId="70F97444" w14:textId="77777777" w:rsidR="000F2849" w:rsidRPr="008A150D" w:rsidRDefault="000F2849"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bCs/>
                <w:color w:val="000000"/>
                <w:sz w:val="20"/>
                <w:szCs w:val="20"/>
              </w:rPr>
              <w:t>Liczba szkół i placówek kształcenia zawodowego wykorzystujących doposażenie zakupione dzięki EFS</w:t>
            </w:r>
          </w:p>
        </w:tc>
        <w:tc>
          <w:tcPr>
            <w:tcW w:w="1476" w:type="dxa"/>
            <w:noWrap/>
            <w:vAlign w:val="center"/>
          </w:tcPr>
          <w:p w14:paraId="2CEE4BEA"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67</w:t>
            </w:r>
          </w:p>
        </w:tc>
        <w:tc>
          <w:tcPr>
            <w:tcW w:w="1359" w:type="dxa"/>
            <w:noWrap/>
            <w:vAlign w:val="center"/>
          </w:tcPr>
          <w:p w14:paraId="4CE3298C"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299</w:t>
            </w:r>
          </w:p>
        </w:tc>
        <w:tc>
          <w:tcPr>
            <w:tcW w:w="1276" w:type="dxa"/>
            <w:noWrap/>
            <w:vAlign w:val="center"/>
          </w:tcPr>
          <w:p w14:paraId="41BDBC05"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entury Gothic" w:hAnsi="Century Gothic" w:cs="Calibri"/>
                <w:bCs/>
                <w:color w:val="000000"/>
                <w:sz w:val="20"/>
                <w:szCs w:val="20"/>
              </w:rPr>
              <w:t>446%</w:t>
            </w:r>
          </w:p>
        </w:tc>
      </w:tr>
      <w:tr w:rsidR="000F2849" w:rsidRPr="007275D1" w14:paraId="6980E6FB" w14:textId="77777777" w:rsidTr="008D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tcPr>
          <w:p w14:paraId="6BF85406" w14:textId="77777777" w:rsidR="000F2849" w:rsidRPr="00252FD6" w:rsidRDefault="000F2849" w:rsidP="00DF64C7">
            <w:pPr>
              <w:spacing w:line="240" w:lineRule="auto"/>
              <w:jc w:val="left"/>
              <w:rPr>
                <w:rFonts w:ascii="Calibri" w:eastAsia="Times New Roman" w:hAnsi="Calibri" w:cs="Calibri"/>
                <w:color w:val="000000"/>
                <w:sz w:val="20"/>
                <w:szCs w:val="20"/>
                <w:lang w:eastAsia="pl-PL"/>
              </w:rPr>
            </w:pPr>
            <w:r w:rsidRPr="00252FD6">
              <w:rPr>
                <w:color w:val="000000"/>
                <w:sz w:val="20"/>
                <w:szCs w:val="20"/>
              </w:rPr>
              <w:t>11.2</w:t>
            </w:r>
          </w:p>
        </w:tc>
        <w:tc>
          <w:tcPr>
            <w:tcW w:w="3827" w:type="dxa"/>
            <w:noWrap/>
            <w:vAlign w:val="center"/>
          </w:tcPr>
          <w:p w14:paraId="30BC6A62" w14:textId="77777777" w:rsidR="000F2849" w:rsidRPr="008A150D" w:rsidRDefault="000F2849" w:rsidP="00DF64C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E24BD3">
              <w:rPr>
                <w:bCs/>
                <w:color w:val="000000"/>
                <w:sz w:val="20"/>
                <w:szCs w:val="20"/>
              </w:rPr>
              <w:t xml:space="preserve">Liczba nauczycieli kształcenia zawodowego oraz instruktorów praktycznej nauki zawodu, którzy uzyskali kwalifikacje lub nabyli </w:t>
            </w:r>
            <w:r w:rsidR="00D86F90" w:rsidRPr="00E24BD3">
              <w:rPr>
                <w:bCs/>
                <w:color w:val="000000"/>
                <w:sz w:val="20"/>
                <w:szCs w:val="20"/>
              </w:rPr>
              <w:t>kompetencje</w:t>
            </w:r>
            <w:r w:rsidRPr="00E24BD3">
              <w:rPr>
                <w:bCs/>
                <w:color w:val="000000"/>
                <w:sz w:val="20"/>
                <w:szCs w:val="20"/>
              </w:rPr>
              <w:t xml:space="preserve"> po opuszczeniu programu</w:t>
            </w:r>
          </w:p>
        </w:tc>
        <w:tc>
          <w:tcPr>
            <w:tcW w:w="1476" w:type="dxa"/>
            <w:noWrap/>
            <w:vAlign w:val="center"/>
          </w:tcPr>
          <w:p w14:paraId="474A0359"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215</w:t>
            </w:r>
          </w:p>
        </w:tc>
        <w:tc>
          <w:tcPr>
            <w:tcW w:w="1359" w:type="dxa"/>
            <w:noWrap/>
            <w:vAlign w:val="center"/>
          </w:tcPr>
          <w:p w14:paraId="7D6F4DB0"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1672</w:t>
            </w:r>
          </w:p>
        </w:tc>
        <w:tc>
          <w:tcPr>
            <w:tcW w:w="1276" w:type="dxa"/>
            <w:noWrap/>
            <w:vAlign w:val="center"/>
          </w:tcPr>
          <w:p w14:paraId="32044968" w14:textId="77777777" w:rsidR="000F2849" w:rsidRPr="008A150D"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entury Gothic" w:hAnsi="Century Gothic" w:cs="Calibri"/>
                <w:bCs/>
                <w:color w:val="000000"/>
                <w:sz w:val="20"/>
                <w:szCs w:val="20"/>
              </w:rPr>
              <w:t>778%</w:t>
            </w:r>
          </w:p>
        </w:tc>
      </w:tr>
      <w:tr w:rsidR="000F2849" w:rsidRPr="007275D1" w14:paraId="0A067FAA" w14:textId="77777777" w:rsidTr="008D5F51">
        <w:trPr>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tcPr>
          <w:p w14:paraId="112A20F9" w14:textId="77777777" w:rsidR="000F2849" w:rsidRPr="00252FD6" w:rsidRDefault="000F2849" w:rsidP="00DF64C7">
            <w:pPr>
              <w:spacing w:line="240" w:lineRule="auto"/>
              <w:jc w:val="left"/>
              <w:rPr>
                <w:rFonts w:ascii="Calibri" w:eastAsia="Times New Roman" w:hAnsi="Calibri" w:cs="Calibri"/>
                <w:color w:val="000000"/>
                <w:sz w:val="20"/>
                <w:szCs w:val="20"/>
                <w:lang w:eastAsia="pl-PL"/>
              </w:rPr>
            </w:pPr>
            <w:r w:rsidRPr="00252FD6">
              <w:rPr>
                <w:color w:val="000000"/>
                <w:sz w:val="20"/>
                <w:szCs w:val="20"/>
              </w:rPr>
              <w:t>11.2</w:t>
            </w:r>
          </w:p>
        </w:tc>
        <w:tc>
          <w:tcPr>
            <w:tcW w:w="3827" w:type="dxa"/>
            <w:noWrap/>
            <w:vAlign w:val="center"/>
          </w:tcPr>
          <w:p w14:paraId="183FB89E" w14:textId="77777777" w:rsidR="000F2849" w:rsidRPr="008A150D" w:rsidRDefault="000F2849" w:rsidP="00DF64C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bCs/>
                <w:sz w:val="20"/>
                <w:szCs w:val="20"/>
              </w:rPr>
              <w:t>Liczba uczniów, którzy nabyli kompetencje kluczowe lub umiejętności uniwersalne niezbędne na rynku pracy po opuszczeniu programu</w:t>
            </w:r>
          </w:p>
        </w:tc>
        <w:tc>
          <w:tcPr>
            <w:tcW w:w="1476" w:type="dxa"/>
            <w:noWrap/>
            <w:vAlign w:val="center"/>
          </w:tcPr>
          <w:p w14:paraId="5F9A35CD"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color w:val="000000"/>
                <w:sz w:val="20"/>
                <w:szCs w:val="20"/>
              </w:rPr>
              <w:t>1 043</w:t>
            </w:r>
          </w:p>
        </w:tc>
        <w:tc>
          <w:tcPr>
            <w:tcW w:w="1359" w:type="dxa"/>
            <w:noWrap/>
            <w:vAlign w:val="center"/>
          </w:tcPr>
          <w:p w14:paraId="3A0EE05A"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8A150D">
              <w:rPr>
                <w:rFonts w:ascii="Century Gothic" w:hAnsi="Century Gothic" w:cs="Calibri"/>
                <w:sz w:val="20"/>
                <w:szCs w:val="20"/>
              </w:rPr>
              <w:t>364</w:t>
            </w:r>
          </w:p>
        </w:tc>
        <w:tc>
          <w:tcPr>
            <w:tcW w:w="1276" w:type="dxa"/>
            <w:noWrap/>
            <w:vAlign w:val="center"/>
          </w:tcPr>
          <w:p w14:paraId="67C19F3B" w14:textId="77777777" w:rsidR="000F2849" w:rsidRPr="008A150D" w:rsidRDefault="000F2849" w:rsidP="002529E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pl-PL"/>
              </w:rPr>
            </w:pPr>
            <w:r w:rsidRPr="00E24BD3">
              <w:rPr>
                <w:rFonts w:ascii="Century Gothic" w:hAnsi="Century Gothic" w:cs="Calibri"/>
                <w:bCs/>
                <w:color w:val="000000"/>
                <w:sz w:val="20"/>
                <w:szCs w:val="20"/>
              </w:rPr>
              <w:t>35%</w:t>
            </w:r>
          </w:p>
        </w:tc>
      </w:tr>
    </w:tbl>
    <w:p w14:paraId="365C5F72" w14:textId="77777777" w:rsidR="000F2849" w:rsidRPr="00806E3D" w:rsidRDefault="000F2849" w:rsidP="00DF64C7">
      <w:pPr>
        <w:pStyle w:val="podpisrdailustracji"/>
        <w:jc w:val="left"/>
        <w:rPr>
          <w:rFonts w:ascii="Times New Roman" w:eastAsia="Calibri" w:hAnsi="Times New Roman"/>
        </w:rPr>
      </w:pPr>
      <w:r>
        <w:t>Źródło: Opracowanie własne na podstawie monitoringu  wskaźników rzeczowych na dzień 30.09.2019 r.</w:t>
      </w:r>
    </w:p>
    <w:p w14:paraId="10C66538" w14:textId="77777777" w:rsidR="000F2849" w:rsidRDefault="000F2849" w:rsidP="00DF64C7">
      <w:pPr>
        <w:jc w:val="left"/>
      </w:pPr>
      <w:r>
        <w:t>Szacowana wartość wskaźnika rezultatu długoterminowego wynosi 544%, w związku z czym nie istnieje ryzyko nieosiągnięcia wartości docelowej wskaźnika (2023 r.).</w:t>
      </w:r>
    </w:p>
    <w:p w14:paraId="2625CFCA" w14:textId="77777777" w:rsidR="000F2849" w:rsidRDefault="000F2849" w:rsidP="00DF64C7">
      <w:pPr>
        <w:pStyle w:val="Legenda"/>
        <w:jc w:val="left"/>
      </w:pPr>
      <w:r>
        <w:t xml:space="preserve">Tabela </w:t>
      </w:r>
      <w:r>
        <w:rPr>
          <w:noProof/>
        </w:rPr>
        <w:t>50.</w:t>
      </w:r>
      <w:r>
        <w:t xml:space="preserve"> </w:t>
      </w:r>
      <w:r w:rsidRPr="00010B58">
        <w:t xml:space="preserve">Wartości wskaźników </w:t>
      </w:r>
      <w:r>
        <w:t>rezultatu</w:t>
      </w:r>
      <w:r w:rsidRPr="00010B58">
        <w:t xml:space="preserve"> </w:t>
      </w:r>
      <w:r>
        <w:t>długoterminowego</w:t>
      </w:r>
    </w:p>
    <w:tbl>
      <w:tblPr>
        <w:tblStyle w:val="Tabelasiatki4akcent61"/>
        <w:tblW w:w="0" w:type="auto"/>
        <w:tblLayout w:type="fixed"/>
        <w:tblLook w:val="04A0" w:firstRow="1" w:lastRow="0" w:firstColumn="1" w:lastColumn="0" w:noHBand="0" w:noVBand="1"/>
        <w:tblCaption w:val="Wartości wskaźników rezultatu długoterminowego"/>
        <w:tblDescription w:val="Tabela przedstawia wartości wskaźników rezultatu długoterminowego. Liczba miejsc wychowania przedszkolnego, które funkcjonują 2 lata po uzyskaniu dofinansowania ze środków EFS:&#10;wartość docelowa 2 563 &#10;Szacowana realizacja na podstawie podpisanych umów&#10;13 944  &#10;% szacowanej realizacji 544%"/>
      </w:tblPr>
      <w:tblGrid>
        <w:gridCol w:w="4436"/>
        <w:gridCol w:w="1711"/>
        <w:gridCol w:w="1575"/>
        <w:gridCol w:w="1479"/>
      </w:tblGrid>
      <w:tr w:rsidR="000F2849" w:rsidRPr="00602034" w14:paraId="0BB365B9" w14:textId="77777777" w:rsidTr="00DA127E">
        <w:trPr>
          <w:cnfStyle w:val="100000000000" w:firstRow="1" w:lastRow="0" w:firstColumn="0" w:lastColumn="0" w:oddVBand="0" w:evenVBand="0" w:oddHBand="0" w:evenHBand="0" w:firstRowFirstColumn="0" w:firstRowLastColumn="0" w:lastRowFirstColumn="0" w:lastRowLastColumn="0"/>
          <w:trHeight w:val="1224"/>
          <w:tblHeader/>
        </w:trPr>
        <w:tc>
          <w:tcPr>
            <w:cnfStyle w:val="001000000000" w:firstRow="0" w:lastRow="0" w:firstColumn="1" w:lastColumn="0" w:oddVBand="0" w:evenVBand="0" w:oddHBand="0" w:evenHBand="0" w:firstRowFirstColumn="0" w:firstRowLastColumn="0" w:lastRowFirstColumn="0" w:lastRowLastColumn="0"/>
            <w:tcW w:w="4436" w:type="dxa"/>
            <w:noWrap/>
            <w:hideMark/>
          </w:tcPr>
          <w:p w14:paraId="13A145F0" w14:textId="77777777" w:rsidR="000F2849" w:rsidRPr="00E24BD3" w:rsidRDefault="000F2849" w:rsidP="00DF64C7">
            <w:pPr>
              <w:spacing w:line="240" w:lineRule="auto"/>
              <w:jc w:val="left"/>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Wskaźnik</w:t>
            </w:r>
          </w:p>
        </w:tc>
        <w:tc>
          <w:tcPr>
            <w:tcW w:w="1711" w:type="dxa"/>
            <w:noWrap/>
            <w:hideMark/>
          </w:tcPr>
          <w:p w14:paraId="2D04BB97" w14:textId="77777777" w:rsidR="000F2849" w:rsidRPr="00E24BD3" w:rsidRDefault="000F2849"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Wartość docelowa</w:t>
            </w:r>
          </w:p>
        </w:tc>
        <w:tc>
          <w:tcPr>
            <w:tcW w:w="1575" w:type="dxa"/>
            <w:noWrap/>
            <w:hideMark/>
          </w:tcPr>
          <w:p w14:paraId="299D5A90" w14:textId="77777777" w:rsidR="000F2849" w:rsidRPr="00E24BD3" w:rsidRDefault="000F2849"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Szacowana realizacja na podstawie podpisanych umów</w:t>
            </w:r>
          </w:p>
        </w:tc>
        <w:tc>
          <w:tcPr>
            <w:tcW w:w="1479" w:type="dxa"/>
            <w:noWrap/>
            <w:hideMark/>
          </w:tcPr>
          <w:p w14:paraId="14A7FD76" w14:textId="77777777" w:rsidR="000F2849" w:rsidRPr="00E24BD3" w:rsidRDefault="000F2849" w:rsidP="00DF64C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E24BD3">
              <w:rPr>
                <w:rFonts w:ascii="Calibri" w:eastAsia="Times New Roman" w:hAnsi="Calibri" w:cs="Calibri"/>
                <w:sz w:val="20"/>
                <w:szCs w:val="20"/>
                <w:lang w:eastAsia="pl-PL"/>
              </w:rPr>
              <w:t>% szacowanej realizacji</w:t>
            </w:r>
          </w:p>
        </w:tc>
      </w:tr>
      <w:tr w:rsidR="000F2849" w:rsidRPr="007275D1" w14:paraId="66629E4D" w14:textId="77777777" w:rsidTr="00DA127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436" w:type="dxa"/>
            <w:noWrap/>
          </w:tcPr>
          <w:p w14:paraId="7C52131D" w14:textId="77777777" w:rsidR="000F2849" w:rsidRPr="008A150D" w:rsidRDefault="000F2849" w:rsidP="00DF64C7">
            <w:pPr>
              <w:spacing w:line="240" w:lineRule="auto"/>
              <w:jc w:val="left"/>
              <w:rPr>
                <w:rFonts w:ascii="Calibri" w:eastAsia="Times New Roman" w:hAnsi="Calibri" w:cs="Calibri"/>
                <w:color w:val="000000"/>
                <w:sz w:val="20"/>
                <w:szCs w:val="20"/>
                <w:lang w:eastAsia="pl-PL"/>
              </w:rPr>
            </w:pPr>
            <w:r w:rsidRPr="000F2849">
              <w:rPr>
                <w:b w:val="0"/>
                <w:sz w:val="19"/>
                <w:szCs w:val="19"/>
              </w:rPr>
              <w:t>Liczba miejsc wychowania przedszkolnego, które funkcjonują 2 lata po uzyskaniu dofinansowania ze środków EFS</w:t>
            </w:r>
            <w:r w:rsidRPr="000F2849">
              <w:rPr>
                <w:rStyle w:val="Odwoanieprzypisudolnego"/>
                <w:b w:val="0"/>
                <w:sz w:val="19"/>
                <w:szCs w:val="19"/>
              </w:rPr>
              <w:footnoteReference w:id="141"/>
            </w:r>
          </w:p>
        </w:tc>
        <w:tc>
          <w:tcPr>
            <w:tcW w:w="1711" w:type="dxa"/>
            <w:noWrap/>
          </w:tcPr>
          <w:p w14:paraId="73B4467A" w14:textId="77777777" w:rsidR="000F2849" w:rsidRPr="00DA127E"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0"/>
                <w:szCs w:val="20"/>
                <w:lang w:eastAsia="pl-PL"/>
              </w:rPr>
            </w:pPr>
            <w:r w:rsidRPr="00DA127E">
              <w:rPr>
                <w:rFonts w:ascii="Century Gothic" w:hAnsi="Century Gothic" w:cs="Arial"/>
                <w:sz w:val="20"/>
                <w:szCs w:val="20"/>
              </w:rPr>
              <w:t>2</w:t>
            </w:r>
            <w:r>
              <w:rPr>
                <w:rFonts w:ascii="Century Gothic" w:hAnsi="Century Gothic" w:cs="Arial"/>
                <w:sz w:val="20"/>
                <w:szCs w:val="20"/>
              </w:rPr>
              <w:t xml:space="preserve"> </w:t>
            </w:r>
            <w:r w:rsidRPr="00DA127E">
              <w:rPr>
                <w:rFonts w:ascii="Century Gothic" w:hAnsi="Century Gothic" w:cs="Arial"/>
                <w:sz w:val="20"/>
                <w:szCs w:val="20"/>
              </w:rPr>
              <w:t>563</w:t>
            </w:r>
          </w:p>
        </w:tc>
        <w:tc>
          <w:tcPr>
            <w:tcW w:w="1575" w:type="dxa"/>
            <w:noWrap/>
          </w:tcPr>
          <w:p w14:paraId="6600BBC4" w14:textId="77777777" w:rsidR="000F2849" w:rsidRPr="00DA127E"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0"/>
                <w:szCs w:val="20"/>
                <w:lang w:eastAsia="pl-PL"/>
              </w:rPr>
            </w:pPr>
            <w:r w:rsidRPr="00DA127E">
              <w:rPr>
                <w:rFonts w:ascii="Century Gothic" w:eastAsia="Times New Roman" w:hAnsi="Century Gothic" w:cs="Calibri"/>
                <w:color w:val="000000"/>
                <w:sz w:val="20"/>
                <w:szCs w:val="20"/>
                <w:lang w:eastAsia="pl-PL"/>
              </w:rPr>
              <w:t>13</w:t>
            </w:r>
            <w:r>
              <w:rPr>
                <w:rFonts w:ascii="Century Gothic" w:eastAsia="Times New Roman" w:hAnsi="Century Gothic" w:cs="Calibri"/>
                <w:color w:val="000000"/>
                <w:sz w:val="20"/>
                <w:szCs w:val="20"/>
                <w:lang w:eastAsia="pl-PL"/>
              </w:rPr>
              <w:t xml:space="preserve"> </w:t>
            </w:r>
            <w:r w:rsidRPr="00DA127E">
              <w:rPr>
                <w:rFonts w:ascii="Century Gothic" w:eastAsia="Times New Roman" w:hAnsi="Century Gothic" w:cs="Calibri"/>
                <w:color w:val="000000"/>
                <w:sz w:val="20"/>
                <w:szCs w:val="20"/>
                <w:lang w:eastAsia="pl-PL"/>
              </w:rPr>
              <w:t>944</w:t>
            </w:r>
            <w:r>
              <w:rPr>
                <w:rStyle w:val="Odwoanieprzypisudolnego"/>
                <w:rFonts w:eastAsia="Times New Roman"/>
                <w:color w:val="000000"/>
                <w:sz w:val="20"/>
                <w:szCs w:val="20"/>
                <w:lang w:eastAsia="pl-PL"/>
              </w:rPr>
              <w:footnoteReference w:id="142"/>
            </w:r>
          </w:p>
        </w:tc>
        <w:tc>
          <w:tcPr>
            <w:tcW w:w="1479" w:type="dxa"/>
            <w:noWrap/>
          </w:tcPr>
          <w:p w14:paraId="45303B60" w14:textId="77777777" w:rsidR="000F2849" w:rsidRPr="00DA127E" w:rsidRDefault="000F2849" w:rsidP="002529E9">
            <w:pPr>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0"/>
                <w:szCs w:val="20"/>
                <w:lang w:eastAsia="pl-PL"/>
              </w:rPr>
            </w:pPr>
            <w:r>
              <w:rPr>
                <w:rFonts w:ascii="Century Gothic" w:eastAsia="Times New Roman" w:hAnsi="Century Gothic" w:cs="Calibri"/>
                <w:color w:val="000000"/>
                <w:sz w:val="20"/>
                <w:szCs w:val="20"/>
                <w:lang w:eastAsia="pl-PL"/>
              </w:rPr>
              <w:t>544%</w:t>
            </w:r>
          </w:p>
        </w:tc>
      </w:tr>
    </w:tbl>
    <w:p w14:paraId="705FD44D" w14:textId="77777777" w:rsidR="000F2849" w:rsidRDefault="00D86F90" w:rsidP="00DF64C7">
      <w:pPr>
        <w:pStyle w:val="podpisrdailustracji"/>
        <w:jc w:val="left"/>
      </w:pPr>
      <w:r>
        <w:t>Źródło</w:t>
      </w:r>
      <w:r w:rsidR="000F2849">
        <w:t xml:space="preserve">: opracowanie własne na podstawie: </w:t>
      </w:r>
      <w:r w:rsidR="000F2849">
        <w:rPr>
          <w:lang w:eastAsia="pl-PL"/>
        </w:rPr>
        <w:t>Ewaluacja uzyskanych wartości wskaźników rezultatu długoterminowego EFS i wskaźnika rezultatu EFRR oraz oszacowanie wartości wskaźnika produktu w ramach RPO WSL na lata 2014-2020.</w:t>
      </w:r>
    </w:p>
    <w:p w14:paraId="39BA7A08" w14:textId="77777777" w:rsidR="000F2849" w:rsidRDefault="000F2849" w:rsidP="00DF64C7">
      <w:pPr>
        <w:jc w:val="left"/>
        <w:rPr>
          <w:rStyle w:val="Odwoanieintensywne"/>
        </w:rPr>
      </w:pPr>
      <w:r w:rsidRPr="006C4203">
        <w:t>Eksperci stwierdzili, iż wskazana jest szczegółow</w:t>
      </w:r>
      <w:r>
        <w:t>a</w:t>
      </w:r>
      <w:r w:rsidRPr="006C4203">
        <w:t xml:space="preserve"> analiz</w:t>
      </w:r>
      <w:r>
        <w:t>a</w:t>
      </w:r>
      <w:r w:rsidRPr="006C4203">
        <w:t xml:space="preserve"> źródeł niezrealizowania zakładanych wartości wskaźników, jak na przykład nietrafiona promocja projektu, zbyt niski zasięg upowszechniania informacji czy też ryzyka losowe</w:t>
      </w:r>
      <w:r>
        <w:rPr>
          <w:rFonts w:eastAsia="Calibri"/>
        </w:rPr>
        <w:t xml:space="preserve">. Pozwoli to na zapobieganie ewentualnym problemom w przyszłości. Oprócz tego konieczne jest intensyfikacja kontaktów między szkolą a uczniem, </w:t>
      </w:r>
      <w:r w:rsidRPr="0012062E">
        <w:t>których celem jest pomoc w uzyskaniu  informacji zwrotnej na temat  przebiegu</w:t>
      </w:r>
      <w:r>
        <w:t xml:space="preserve"> projektu i jego efektów oraz systematyczne prowadzenie diagnozy potrzeb i możliwości realizacji założeń.</w:t>
      </w:r>
    </w:p>
    <w:p w14:paraId="41E848CB" w14:textId="77777777" w:rsidR="00915AF8" w:rsidRDefault="00915AF8" w:rsidP="00DF64C7">
      <w:pPr>
        <w:jc w:val="left"/>
        <w:rPr>
          <w:rStyle w:val="Odwoanieintensywne"/>
        </w:rPr>
      </w:pPr>
    </w:p>
    <w:p w14:paraId="073D5CF4" w14:textId="77777777" w:rsidR="00915AF8" w:rsidRPr="00372750" w:rsidRDefault="00915AF8" w:rsidP="00DF64C7">
      <w:pPr>
        <w:jc w:val="left"/>
        <w:rPr>
          <w:rStyle w:val="Odwoanieintensywne"/>
        </w:rPr>
      </w:pPr>
      <w:r w:rsidRPr="00372750">
        <w:rPr>
          <w:rStyle w:val="Odwoanieintensywne"/>
        </w:rPr>
        <w:t>Podsumowanie</w:t>
      </w:r>
    </w:p>
    <w:p w14:paraId="6ED181EB" w14:textId="77777777" w:rsidR="00915AF8" w:rsidRPr="008A150D" w:rsidRDefault="00915AF8" w:rsidP="00DF64C7">
      <w:pPr>
        <w:jc w:val="left"/>
      </w:pPr>
      <w:r>
        <w:t xml:space="preserve">Wyłącznie w przypadku jednego wskaźnika produktu: </w:t>
      </w:r>
      <w:r w:rsidRPr="003E400D">
        <w:t>Liczba osób uczestniczących w szkolnych formach kształcenia w programie</w:t>
      </w:r>
      <w:r>
        <w:t xml:space="preserve"> zidentyfikowano wysokie prawdopodobieństwo niezrealizowania jego wartości docelowej. Sytuacja ta nie zmieniła się pomimo wprowadzenia środka zaradczego w postaci dodatkowego kryterium premiującego projekty, w których co najmniej 35% uczestników korzysta z form szkolnych, ni</w:t>
      </w:r>
      <w:r w:rsidR="00C50655">
        <w:t>e zidentyfikowano znacznego zwię</w:t>
      </w:r>
      <w:r>
        <w:t xml:space="preserve">kszenia zainteresowania uczestnictwa w </w:t>
      </w:r>
      <w:r w:rsidRPr="003E400D">
        <w:t>szkolnych formach kształcenia</w:t>
      </w:r>
      <w:r>
        <w:t xml:space="preserve">. </w:t>
      </w:r>
    </w:p>
    <w:p w14:paraId="76720283" w14:textId="77777777" w:rsidR="00915AF8" w:rsidRPr="002D4D29" w:rsidRDefault="00915AF8" w:rsidP="00DF64C7">
      <w:pPr>
        <w:jc w:val="left"/>
      </w:pPr>
      <w:r>
        <w:t xml:space="preserve">Nie istnieje zagrożenie niezrealizowania pozostałych założonych wartości wskaźników produktu, rezultatu i rezultatu długoterminowego. Wyjątek stanowił do pewnego momentu przytoczony wcześniej wskaźnik </w:t>
      </w:r>
      <w:r w:rsidRPr="00372750">
        <w:rPr>
          <w:i/>
        </w:rPr>
        <w:t>Liczba podmiotów realizujących zadania centrum kształcenia zawodowego i ustawicznego objętych wsparciem w programie</w:t>
      </w:r>
      <w:r>
        <w:rPr>
          <w:i/>
        </w:rPr>
        <w:t xml:space="preserve">, </w:t>
      </w:r>
      <w:r>
        <w:t xml:space="preserve">w ramach którego została jednak zmodyfikowana zakładana wartość docelowa. </w:t>
      </w:r>
    </w:p>
    <w:p w14:paraId="0ED75C65" w14:textId="77777777" w:rsidR="000C0E23" w:rsidRDefault="000C0E23" w:rsidP="00DF64C7">
      <w:pPr>
        <w:jc w:val="left"/>
        <w:sectPr w:rsidR="000C0E23" w:rsidSect="00174F8C">
          <w:pgSz w:w="11906" w:h="16838"/>
          <w:pgMar w:top="1418" w:right="1418" w:bottom="1418" w:left="1418" w:header="709" w:footer="709" w:gutter="0"/>
          <w:cols w:space="708"/>
          <w:docGrid w:linePitch="360"/>
        </w:sectPr>
      </w:pPr>
    </w:p>
    <w:p w14:paraId="77004B75" w14:textId="77777777" w:rsidR="00483B85" w:rsidRDefault="00A464CB" w:rsidP="00DF64C7">
      <w:pPr>
        <w:pStyle w:val="Nagwek1"/>
        <w:jc w:val="left"/>
      </w:pPr>
      <w:bookmarkStart w:id="151" w:name="_Toc38035028"/>
      <w:r>
        <w:t>Wnioski i rekom</w:t>
      </w:r>
      <w:r w:rsidR="00483B85">
        <w:t>endacje</w:t>
      </w:r>
      <w:bookmarkEnd w:id="151"/>
    </w:p>
    <w:tbl>
      <w:tblPr>
        <w:tblStyle w:val="redniasiatka3akcent6"/>
        <w:tblW w:w="14449" w:type="dxa"/>
        <w:tblLayout w:type="fixed"/>
        <w:tblLook w:val="04A0" w:firstRow="1" w:lastRow="0" w:firstColumn="1" w:lastColumn="0" w:noHBand="0" w:noVBand="1"/>
        <w:tblCaption w:val="Tabela wniosków i rekomendacji"/>
      </w:tblPr>
      <w:tblGrid>
        <w:gridCol w:w="534"/>
        <w:gridCol w:w="3000"/>
        <w:gridCol w:w="2835"/>
        <w:gridCol w:w="2268"/>
        <w:gridCol w:w="2670"/>
        <w:gridCol w:w="1559"/>
        <w:gridCol w:w="1583"/>
      </w:tblGrid>
      <w:tr w:rsidR="004F55A6" w:rsidRPr="004F55A6" w14:paraId="34957524" w14:textId="77777777" w:rsidTr="00E85FEC">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534" w:type="dxa"/>
          </w:tcPr>
          <w:p w14:paraId="615BAD41" w14:textId="77777777" w:rsidR="004F55A6" w:rsidRPr="004F55A6" w:rsidRDefault="004F55A6" w:rsidP="00DF64C7">
            <w:pPr>
              <w:jc w:val="left"/>
              <w:rPr>
                <w:rFonts w:cs="Arial"/>
                <w:sz w:val="20"/>
                <w:szCs w:val="20"/>
              </w:rPr>
            </w:pPr>
            <w:r w:rsidRPr="004F55A6">
              <w:rPr>
                <w:rFonts w:cs="Arial"/>
                <w:sz w:val="20"/>
                <w:szCs w:val="20"/>
              </w:rPr>
              <w:t>Lp.</w:t>
            </w:r>
          </w:p>
        </w:tc>
        <w:tc>
          <w:tcPr>
            <w:tcW w:w="3000" w:type="dxa"/>
          </w:tcPr>
          <w:p w14:paraId="15128A3B" w14:textId="77777777" w:rsidR="004F55A6" w:rsidRPr="004F55A6" w:rsidRDefault="004F55A6"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F55A6">
              <w:rPr>
                <w:rFonts w:cs="Arial"/>
                <w:sz w:val="20"/>
                <w:szCs w:val="20"/>
              </w:rPr>
              <w:t>Treść wniosku (wraz ze wskazaniem strony w raporcie</w:t>
            </w:r>
          </w:p>
        </w:tc>
        <w:tc>
          <w:tcPr>
            <w:tcW w:w="2835" w:type="dxa"/>
          </w:tcPr>
          <w:p w14:paraId="034DB754" w14:textId="77777777" w:rsidR="004F55A6" w:rsidRPr="004F55A6" w:rsidRDefault="004F55A6"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F55A6">
              <w:rPr>
                <w:rFonts w:cs="Arial"/>
                <w:sz w:val="20"/>
                <w:szCs w:val="20"/>
              </w:rPr>
              <w:t>Treść rekomendacji (wraz ze wskazaniem strony w raporcie)</w:t>
            </w:r>
          </w:p>
        </w:tc>
        <w:tc>
          <w:tcPr>
            <w:tcW w:w="2268" w:type="dxa"/>
          </w:tcPr>
          <w:p w14:paraId="577EC657" w14:textId="77777777" w:rsidR="004F55A6" w:rsidRPr="004F55A6" w:rsidRDefault="004F55A6"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F55A6">
              <w:rPr>
                <w:rFonts w:cs="Arial"/>
                <w:sz w:val="20"/>
                <w:szCs w:val="20"/>
              </w:rPr>
              <w:t>Adresat rekomendacji (instytucja odpowiedzialna za wdrożenie rekomendacji)</w:t>
            </w:r>
          </w:p>
        </w:tc>
        <w:tc>
          <w:tcPr>
            <w:tcW w:w="2670" w:type="dxa"/>
          </w:tcPr>
          <w:p w14:paraId="358BD39F" w14:textId="77777777" w:rsidR="004F55A6" w:rsidRPr="004F55A6" w:rsidRDefault="004F55A6"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F55A6">
              <w:rPr>
                <w:rFonts w:cs="Arial"/>
                <w:sz w:val="20"/>
                <w:szCs w:val="20"/>
              </w:rPr>
              <w:t>Sposób wdrożenia (syntetyczne przedstawienie sposobu wdrożenia rekomendacji)</w:t>
            </w:r>
          </w:p>
        </w:tc>
        <w:tc>
          <w:tcPr>
            <w:tcW w:w="1559" w:type="dxa"/>
          </w:tcPr>
          <w:p w14:paraId="50424756" w14:textId="77777777" w:rsidR="004F55A6" w:rsidRPr="004F55A6" w:rsidRDefault="004F55A6"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F55A6">
              <w:rPr>
                <w:rFonts w:cs="Arial"/>
                <w:sz w:val="20"/>
                <w:szCs w:val="20"/>
              </w:rPr>
              <w:t>Termin wdrożenia rekomendacji (data dzienna kończąca dany kwartał)</w:t>
            </w:r>
          </w:p>
        </w:tc>
        <w:tc>
          <w:tcPr>
            <w:tcW w:w="1583" w:type="dxa"/>
          </w:tcPr>
          <w:p w14:paraId="19B7A083" w14:textId="77777777" w:rsidR="004F55A6" w:rsidRPr="004F55A6" w:rsidRDefault="004F55A6" w:rsidP="00DF64C7">
            <w:pPr>
              <w:jc w:val="left"/>
              <w:cnfStyle w:val="100000000000" w:firstRow="1" w:lastRow="0" w:firstColumn="0" w:lastColumn="0" w:oddVBand="0" w:evenVBand="0" w:oddHBand="0" w:evenHBand="0" w:firstRowFirstColumn="0" w:firstRowLastColumn="0" w:lastRowFirstColumn="0" w:lastRowLastColumn="0"/>
              <w:rPr>
                <w:rFonts w:cs="Arial"/>
                <w:sz w:val="20"/>
                <w:szCs w:val="20"/>
              </w:rPr>
            </w:pPr>
            <w:r w:rsidRPr="004F55A6">
              <w:rPr>
                <w:rFonts w:cs="Arial"/>
                <w:sz w:val="20"/>
                <w:szCs w:val="20"/>
              </w:rPr>
              <w:t>Klasa rekomendacji</w:t>
            </w:r>
          </w:p>
        </w:tc>
      </w:tr>
      <w:tr w:rsidR="00AD50A3" w:rsidRPr="004F55A6" w14:paraId="4AE53F4D" w14:textId="77777777" w:rsidTr="00E85FE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34" w:type="dxa"/>
          </w:tcPr>
          <w:p w14:paraId="64BBBEB7" w14:textId="77777777" w:rsidR="00AD50A3" w:rsidRPr="004F55A6" w:rsidRDefault="00AD50A3" w:rsidP="00DF64C7">
            <w:pPr>
              <w:jc w:val="left"/>
              <w:rPr>
                <w:rFonts w:cs="Arial"/>
                <w:sz w:val="20"/>
                <w:szCs w:val="20"/>
              </w:rPr>
            </w:pPr>
            <w:r>
              <w:rPr>
                <w:rFonts w:cs="Arial"/>
                <w:sz w:val="20"/>
                <w:szCs w:val="20"/>
              </w:rPr>
              <w:t>1.</w:t>
            </w:r>
          </w:p>
        </w:tc>
        <w:tc>
          <w:tcPr>
            <w:tcW w:w="3000" w:type="dxa"/>
          </w:tcPr>
          <w:p w14:paraId="11906E1E" w14:textId="77777777" w:rsidR="00AD50A3" w:rsidRPr="004F55A6" w:rsidRDefault="00C43F27"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Zidentyfikowano</w:t>
            </w:r>
            <w:r w:rsidR="00AD50A3" w:rsidRPr="00F90BB0">
              <w:rPr>
                <w:rFonts w:cs="Arial"/>
                <w:sz w:val="20"/>
                <w:szCs w:val="20"/>
              </w:rPr>
              <w:t xml:space="preserve"> szereg czynników zewnętrznych i wewnętrznych, które wpływają na utrudnienie realizacji projektów, a w związku z tym, także osiągnięcie założonych rezultatów. Do głównych problematycznych czynników należą: konieczność realizacji procedury zamówień publicznych, częste zmiany przepisów prawnych, opóźnienia w realizacji projektu (spowodowane opóźnieniami w przetargach oraz przedłużającym się czasem oceny wniosków), konieczność przygotowania obszernej dokumentacji </w:t>
            </w:r>
            <w:r w:rsidR="007803EB" w:rsidRPr="007803EB">
              <w:rPr>
                <w:rFonts w:cs="Arial"/>
                <w:sz w:val="20"/>
                <w:szCs w:val="20"/>
              </w:rPr>
              <w:t>projektowej,</w:t>
            </w:r>
            <w:r w:rsidR="00F77E07">
              <w:rPr>
                <w:rFonts w:cs="Arial"/>
                <w:sz w:val="20"/>
                <w:szCs w:val="20"/>
              </w:rPr>
              <w:t xml:space="preserve"> </w:t>
            </w:r>
            <w:r w:rsidR="00AD50A3" w:rsidRPr="00F90BB0">
              <w:rPr>
                <w:rFonts w:cs="Arial"/>
                <w:sz w:val="20"/>
                <w:szCs w:val="20"/>
              </w:rPr>
              <w:t xml:space="preserve">zmiany opiekunów projektów. </w:t>
            </w:r>
            <w:r w:rsidR="00EA061A">
              <w:rPr>
                <w:rFonts w:cs="Arial"/>
                <w:sz w:val="20"/>
                <w:szCs w:val="20"/>
              </w:rPr>
              <w:t xml:space="preserve"> (s. </w:t>
            </w:r>
            <w:r w:rsidR="008D5F51">
              <w:rPr>
                <w:rFonts w:cs="Arial"/>
                <w:sz w:val="20"/>
                <w:szCs w:val="20"/>
              </w:rPr>
              <w:t>65, 72</w:t>
            </w:r>
            <w:r w:rsidR="00EA061A">
              <w:rPr>
                <w:rFonts w:cs="Arial"/>
                <w:sz w:val="20"/>
                <w:szCs w:val="20"/>
              </w:rPr>
              <w:t>)</w:t>
            </w:r>
          </w:p>
        </w:tc>
        <w:tc>
          <w:tcPr>
            <w:tcW w:w="2835" w:type="dxa"/>
          </w:tcPr>
          <w:p w14:paraId="6CDD1D22"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 xml:space="preserve">W celu zapobiegania problemom związanym z realizacją projektów rekomenduje się organizację dodatkowych </w:t>
            </w:r>
            <w:r w:rsidRPr="00F90BB0">
              <w:rPr>
                <w:rFonts w:eastAsiaTheme="minorHAnsi" w:cs="Arial"/>
                <w:color w:val="000000" w:themeColor="text1"/>
                <w:sz w:val="20"/>
                <w:szCs w:val="20"/>
              </w:rPr>
              <w:t xml:space="preserve">szkoleń i konsultacji umożliwiających rozwiązanie </w:t>
            </w:r>
            <w:r w:rsidRPr="00F90BB0">
              <w:rPr>
                <w:rFonts w:cs="Arial"/>
                <w:color w:val="000000" w:themeColor="text1"/>
                <w:sz w:val="20"/>
                <w:szCs w:val="20"/>
              </w:rPr>
              <w:t>problematycznych kwestii zarówno na poziomie składania wniosku</w:t>
            </w:r>
            <w:r w:rsidRPr="00F90BB0">
              <w:rPr>
                <w:rFonts w:cs="Arial"/>
                <w:sz w:val="20"/>
                <w:szCs w:val="20"/>
              </w:rPr>
              <w:t xml:space="preserve">, jak i na poziomie </w:t>
            </w:r>
            <w:r w:rsidRPr="00F90BB0">
              <w:rPr>
                <w:rFonts w:cs="Arial"/>
                <w:color w:val="000000" w:themeColor="text1"/>
                <w:sz w:val="20"/>
                <w:szCs w:val="20"/>
              </w:rPr>
              <w:t xml:space="preserve">jego realizacji, </w:t>
            </w:r>
            <w:r w:rsidR="007803EB" w:rsidRPr="007803EB">
              <w:rPr>
                <w:rFonts w:cs="Arial"/>
                <w:color w:val="000000" w:themeColor="text1"/>
                <w:sz w:val="20"/>
                <w:szCs w:val="20"/>
              </w:rPr>
              <w:t xml:space="preserve"> </w:t>
            </w:r>
            <w:r w:rsidRPr="00F90BB0">
              <w:rPr>
                <w:rFonts w:eastAsiaTheme="minorHAnsi" w:cs="Arial"/>
                <w:color w:val="000000" w:themeColor="text1"/>
                <w:sz w:val="20"/>
                <w:szCs w:val="20"/>
              </w:rPr>
              <w:t xml:space="preserve"> zwiększenie liczby opiekunów projektów</w:t>
            </w:r>
            <w:r w:rsidR="008E6205">
              <w:rPr>
                <w:rFonts w:eastAsiaTheme="minorHAnsi" w:cs="Arial"/>
                <w:color w:val="000000" w:themeColor="text1"/>
                <w:sz w:val="20"/>
                <w:szCs w:val="20"/>
              </w:rPr>
              <w:t xml:space="preserve"> (uwarunkowane aktualnymi możliwościami stwarzanymi przez sytuację na rynku pracy)</w:t>
            </w:r>
            <w:r w:rsidRPr="00F90BB0">
              <w:rPr>
                <w:rFonts w:eastAsiaTheme="minorHAnsi" w:cs="Arial"/>
                <w:color w:val="000000" w:themeColor="text1"/>
                <w:sz w:val="20"/>
                <w:szCs w:val="20"/>
              </w:rPr>
              <w:t xml:space="preserve"> oraz szkole</w:t>
            </w:r>
            <w:r w:rsidR="00200A32">
              <w:rPr>
                <w:rFonts w:eastAsiaTheme="minorHAnsi" w:cs="Arial"/>
                <w:color w:val="000000" w:themeColor="text1"/>
                <w:sz w:val="20"/>
                <w:szCs w:val="20"/>
              </w:rPr>
              <w:t>ń</w:t>
            </w:r>
            <w:r w:rsidRPr="00F90BB0">
              <w:rPr>
                <w:rFonts w:eastAsiaTheme="minorHAnsi" w:cs="Arial"/>
                <w:color w:val="000000" w:themeColor="text1"/>
                <w:sz w:val="20"/>
                <w:szCs w:val="20"/>
              </w:rPr>
              <w:t xml:space="preserve"> dla nich (zarówno zakres merytoryczny, jak i kompetencje miękkie)</w:t>
            </w:r>
            <w:r w:rsidR="00BD5589">
              <w:rPr>
                <w:rFonts w:eastAsia="Calibri" w:cs="Arial"/>
                <w:color w:val="000000" w:themeColor="text1"/>
                <w:sz w:val="20"/>
                <w:szCs w:val="20"/>
              </w:rPr>
              <w:t>.</w:t>
            </w:r>
            <w:r w:rsidR="00200A32">
              <w:rPr>
                <w:rFonts w:eastAsia="Calibri" w:cs="Arial"/>
                <w:color w:val="000000" w:themeColor="text1"/>
                <w:sz w:val="20"/>
                <w:szCs w:val="20"/>
              </w:rPr>
              <w:t xml:space="preserve"> </w:t>
            </w:r>
            <w:r w:rsidR="0040364F">
              <w:rPr>
                <w:rFonts w:eastAsia="Calibri" w:cs="Arial"/>
                <w:color w:val="000000" w:themeColor="text1"/>
                <w:sz w:val="20"/>
                <w:szCs w:val="20"/>
              </w:rPr>
              <w:t xml:space="preserve"> Rekomendacja dotyczy perspektywy 2021-2027.</w:t>
            </w:r>
            <w:r w:rsidR="008D5F51">
              <w:rPr>
                <w:rFonts w:eastAsia="Calibri" w:cs="Arial"/>
                <w:color w:val="000000" w:themeColor="text1"/>
                <w:sz w:val="20"/>
                <w:szCs w:val="20"/>
              </w:rPr>
              <w:t xml:space="preserve"> (s.72</w:t>
            </w:r>
            <w:r w:rsidR="004F69F9">
              <w:rPr>
                <w:rFonts w:eastAsia="Calibri" w:cs="Arial"/>
                <w:color w:val="000000" w:themeColor="text1"/>
                <w:sz w:val="20"/>
                <w:szCs w:val="20"/>
              </w:rPr>
              <w:t>)</w:t>
            </w:r>
          </w:p>
        </w:tc>
        <w:tc>
          <w:tcPr>
            <w:tcW w:w="2268" w:type="dxa"/>
          </w:tcPr>
          <w:p w14:paraId="79B38FF1"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F90BB0">
              <w:rPr>
                <w:rFonts w:cs="Arial"/>
                <w:sz w:val="20"/>
                <w:szCs w:val="20"/>
              </w:rPr>
              <w:t xml:space="preserve">Instytucja Zarządzająca </w:t>
            </w:r>
            <w:r w:rsidRPr="00F90BB0">
              <w:rPr>
                <w:rFonts w:eastAsia="Times New Roman" w:cs="Arial"/>
                <w:color w:val="000000"/>
                <w:sz w:val="20"/>
                <w:szCs w:val="20"/>
                <w:lang w:eastAsia="pl-PL"/>
              </w:rPr>
              <w:t>RPO WSL 2014-2020</w:t>
            </w:r>
          </w:p>
          <w:p w14:paraId="78A614A5"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p w14:paraId="16730723"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 xml:space="preserve">Instytucje pośredniczące </w:t>
            </w:r>
            <w:r w:rsidRPr="00F90BB0">
              <w:rPr>
                <w:rFonts w:eastAsia="Times New Roman" w:cs="Arial"/>
                <w:color w:val="000000"/>
                <w:sz w:val="20"/>
                <w:szCs w:val="20"/>
                <w:lang w:eastAsia="pl-PL"/>
              </w:rPr>
              <w:t>RPO WSL 2014-2020</w:t>
            </w:r>
          </w:p>
          <w:p w14:paraId="55E593AB"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670" w:type="dxa"/>
          </w:tcPr>
          <w:p w14:paraId="635EEBAC"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Dodatkowe spotkania dla bene</w:t>
            </w:r>
            <w:r w:rsidRPr="008E6205">
              <w:rPr>
                <w:rFonts w:cs="Arial"/>
                <w:sz w:val="20"/>
                <w:szCs w:val="20"/>
              </w:rPr>
              <w:t xml:space="preserve">ficjentów powinny zawierać informacje dotyczące </w:t>
            </w:r>
            <w:r w:rsidR="008E6205" w:rsidRPr="007B5F7E">
              <w:rPr>
                <w:sz w:val="20"/>
                <w:szCs w:val="20"/>
              </w:rPr>
              <w:t>najczęściej popełnianych błędów na etapie składania wniosku o dofinansowanie, jak i nieprawidłowości podczas realizacji</w:t>
            </w:r>
            <w:r w:rsidRPr="008E6205">
              <w:rPr>
                <w:rFonts w:cs="Arial"/>
                <w:color w:val="000000" w:themeColor="text1"/>
                <w:sz w:val="20"/>
                <w:szCs w:val="20"/>
              </w:rPr>
              <w:t xml:space="preserve">. </w:t>
            </w:r>
            <w:r w:rsidR="007803EB" w:rsidRPr="008E6205">
              <w:rPr>
                <w:rFonts w:cs="Arial"/>
                <w:color w:val="000000" w:themeColor="text1"/>
                <w:sz w:val="20"/>
                <w:szCs w:val="20"/>
              </w:rPr>
              <w:t>Na spotkaniach</w:t>
            </w:r>
            <w:r w:rsidR="008E6205">
              <w:rPr>
                <w:rFonts w:cs="Arial"/>
                <w:color w:val="000000" w:themeColor="text1"/>
                <w:sz w:val="20"/>
                <w:szCs w:val="20"/>
              </w:rPr>
              <w:t xml:space="preserve"> (organizowanych w miarę bieżącego zapotrzebowania)</w:t>
            </w:r>
            <w:r w:rsidR="007803EB" w:rsidRPr="008E6205">
              <w:rPr>
                <w:rFonts w:cs="Arial"/>
                <w:color w:val="000000" w:themeColor="text1"/>
                <w:sz w:val="20"/>
                <w:szCs w:val="20"/>
              </w:rPr>
              <w:t xml:space="preserve"> powinna zostać także przedstawiona </w:t>
            </w:r>
            <w:r w:rsidR="00577906" w:rsidRPr="008E6205">
              <w:rPr>
                <w:rFonts w:cs="Arial"/>
                <w:color w:val="000000" w:themeColor="text1"/>
                <w:sz w:val="20"/>
                <w:szCs w:val="20"/>
              </w:rPr>
              <w:t>interpretacja</w:t>
            </w:r>
            <w:r w:rsidR="008E6205" w:rsidRPr="008E6205">
              <w:rPr>
                <w:rFonts w:cs="Arial"/>
                <w:color w:val="000000" w:themeColor="text1"/>
                <w:sz w:val="20"/>
                <w:szCs w:val="20"/>
              </w:rPr>
              <w:t xml:space="preserve"> </w:t>
            </w:r>
            <w:r w:rsidR="007803EB" w:rsidRPr="008E6205">
              <w:rPr>
                <w:rFonts w:cs="Arial"/>
                <w:color w:val="000000" w:themeColor="text1"/>
                <w:sz w:val="20"/>
                <w:szCs w:val="20"/>
              </w:rPr>
              <w:t>dotycząca zmian w przepisach prawnych</w:t>
            </w:r>
            <w:r w:rsidR="009F6B38">
              <w:rPr>
                <w:rFonts w:cs="Arial"/>
                <w:color w:val="000000" w:themeColor="text1"/>
                <w:sz w:val="20"/>
                <w:szCs w:val="20"/>
              </w:rPr>
              <w:t xml:space="preserve"> (w przypadku jej wydania)</w:t>
            </w:r>
            <w:r w:rsidR="007803EB" w:rsidRPr="008E6205">
              <w:rPr>
                <w:rFonts w:cs="Arial"/>
                <w:color w:val="000000" w:themeColor="text1"/>
                <w:sz w:val="20"/>
                <w:szCs w:val="20"/>
              </w:rPr>
              <w:t>, w tym w prawie zamówień publicznych</w:t>
            </w:r>
            <w:r w:rsidR="007803EB" w:rsidRPr="007803EB">
              <w:rPr>
                <w:rFonts w:cs="Arial"/>
                <w:color w:val="000000" w:themeColor="text1"/>
                <w:sz w:val="20"/>
                <w:szCs w:val="20"/>
              </w:rPr>
              <w:t>.</w:t>
            </w:r>
            <w:r w:rsidR="008E6205">
              <w:rPr>
                <w:rFonts w:cs="Arial"/>
                <w:color w:val="000000" w:themeColor="text1"/>
                <w:sz w:val="20"/>
                <w:szCs w:val="20"/>
              </w:rPr>
              <w:t xml:space="preserve"> </w:t>
            </w:r>
            <w:r w:rsidRPr="00F90BB0">
              <w:rPr>
                <w:rFonts w:eastAsiaTheme="minorHAnsi" w:cs="Arial"/>
                <w:color w:val="000000" w:themeColor="text1"/>
                <w:sz w:val="20"/>
                <w:szCs w:val="20"/>
              </w:rPr>
              <w:t xml:space="preserve">Szkolenia dla opiekunów projektów powinny doszkalać ich zarówno z zakresu wiedzy na temat projektów unijnych, dokumentacji programowej </w:t>
            </w:r>
            <w:r w:rsidR="00577906" w:rsidRPr="00577906">
              <w:rPr>
                <w:rFonts w:eastAsiaTheme="minorHAnsi" w:cs="Arial"/>
                <w:color w:val="000000" w:themeColor="text1"/>
                <w:sz w:val="20"/>
                <w:szCs w:val="20"/>
              </w:rPr>
              <w:t xml:space="preserve">czy </w:t>
            </w:r>
            <w:r w:rsidR="00BD5589">
              <w:rPr>
                <w:rFonts w:eastAsiaTheme="minorHAnsi" w:cs="Arial"/>
                <w:color w:val="000000" w:themeColor="text1"/>
                <w:sz w:val="20"/>
                <w:szCs w:val="20"/>
              </w:rPr>
              <w:t xml:space="preserve">interpretacji </w:t>
            </w:r>
            <w:r w:rsidR="00577906" w:rsidRPr="00577906">
              <w:rPr>
                <w:rFonts w:eastAsiaTheme="minorHAnsi" w:cs="Arial"/>
                <w:color w:val="000000" w:themeColor="text1"/>
                <w:sz w:val="20"/>
                <w:szCs w:val="20"/>
              </w:rPr>
              <w:t>przepisów prawnych</w:t>
            </w:r>
            <w:r w:rsidR="00BD5589">
              <w:rPr>
                <w:rFonts w:eastAsiaTheme="minorHAnsi" w:cs="Arial"/>
                <w:color w:val="000000" w:themeColor="text1"/>
                <w:sz w:val="20"/>
                <w:szCs w:val="20"/>
              </w:rPr>
              <w:t xml:space="preserve"> (w zakresie ich właściwego stosowania) </w:t>
            </w:r>
            <w:r w:rsidR="008E6205">
              <w:rPr>
                <w:rFonts w:eastAsiaTheme="minorHAnsi" w:cs="Arial"/>
                <w:color w:val="000000" w:themeColor="text1"/>
                <w:sz w:val="20"/>
                <w:szCs w:val="20"/>
              </w:rPr>
              <w:t xml:space="preserve"> </w:t>
            </w:r>
            <w:r w:rsidRPr="00F90BB0">
              <w:rPr>
                <w:rFonts w:eastAsiaTheme="minorHAnsi" w:cs="Arial"/>
                <w:color w:val="000000" w:themeColor="text1"/>
                <w:sz w:val="20"/>
                <w:szCs w:val="20"/>
              </w:rPr>
              <w:t xml:space="preserve">ale także z zakresu umiejętności interpersonalnych. </w:t>
            </w:r>
          </w:p>
        </w:tc>
        <w:tc>
          <w:tcPr>
            <w:tcW w:w="1559" w:type="dxa"/>
          </w:tcPr>
          <w:p w14:paraId="4B841C8C" w14:textId="77777777" w:rsidR="00AD50A3" w:rsidRPr="004F55A6" w:rsidRDefault="009F6B3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eastAsia="Times New Roman" w:cs="Arial"/>
                <w:color w:val="000000"/>
                <w:sz w:val="20"/>
                <w:szCs w:val="20"/>
                <w:lang w:eastAsia="pl-PL"/>
              </w:rPr>
              <w:t>Nowa p</w:t>
            </w:r>
            <w:r w:rsidR="008E6205">
              <w:rPr>
                <w:rFonts w:eastAsia="Times New Roman" w:cs="Arial"/>
                <w:color w:val="000000"/>
                <w:sz w:val="20"/>
                <w:szCs w:val="20"/>
                <w:lang w:eastAsia="pl-PL"/>
              </w:rPr>
              <w:t>erspektywa 2021-2027</w:t>
            </w:r>
            <w:r w:rsidR="000B3AF0">
              <w:rPr>
                <w:rFonts w:eastAsia="Times New Roman" w:cs="Arial"/>
                <w:color w:val="000000"/>
                <w:sz w:val="20"/>
                <w:szCs w:val="20"/>
                <w:lang w:eastAsia="pl-PL"/>
              </w:rPr>
              <w:t xml:space="preserve"> – 31.03.2021</w:t>
            </w:r>
          </w:p>
        </w:tc>
        <w:tc>
          <w:tcPr>
            <w:tcW w:w="1583" w:type="dxa"/>
          </w:tcPr>
          <w:p w14:paraId="2647F264"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Programowa</w:t>
            </w:r>
          </w:p>
          <w:p w14:paraId="312A9D67"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operacyjna</w:t>
            </w:r>
          </w:p>
        </w:tc>
      </w:tr>
      <w:tr w:rsidR="00AD50A3" w:rsidRPr="004F55A6" w14:paraId="6874018C" w14:textId="77777777" w:rsidTr="00E85FEC">
        <w:trPr>
          <w:trHeight w:val="794"/>
        </w:trPr>
        <w:tc>
          <w:tcPr>
            <w:cnfStyle w:val="001000000000" w:firstRow="0" w:lastRow="0" w:firstColumn="1" w:lastColumn="0" w:oddVBand="0" w:evenVBand="0" w:oddHBand="0" w:evenHBand="0" w:firstRowFirstColumn="0" w:firstRowLastColumn="0" w:lastRowFirstColumn="0" w:lastRowLastColumn="0"/>
            <w:tcW w:w="534" w:type="dxa"/>
          </w:tcPr>
          <w:p w14:paraId="57BA405E" w14:textId="77777777" w:rsidR="00AD50A3" w:rsidRPr="004F55A6" w:rsidRDefault="0040364F" w:rsidP="00DF64C7">
            <w:pPr>
              <w:jc w:val="left"/>
              <w:rPr>
                <w:rFonts w:cs="Arial"/>
                <w:sz w:val="20"/>
                <w:szCs w:val="20"/>
              </w:rPr>
            </w:pPr>
            <w:r>
              <w:rPr>
                <w:rFonts w:cs="Arial"/>
                <w:sz w:val="20"/>
                <w:szCs w:val="20"/>
              </w:rPr>
              <w:t>2</w:t>
            </w:r>
            <w:r w:rsidR="00AD50A3">
              <w:rPr>
                <w:rFonts w:cs="Arial"/>
                <w:sz w:val="20"/>
                <w:szCs w:val="20"/>
              </w:rPr>
              <w:t>.</w:t>
            </w:r>
          </w:p>
        </w:tc>
        <w:tc>
          <w:tcPr>
            <w:tcW w:w="3000" w:type="dxa"/>
          </w:tcPr>
          <w:p w14:paraId="1F44365C" w14:textId="77777777" w:rsidR="00AD50A3" w:rsidRPr="00476635"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76635">
              <w:rPr>
                <w:rFonts w:cs="Arial"/>
                <w:sz w:val="20"/>
                <w:szCs w:val="20"/>
              </w:rPr>
              <w:t xml:space="preserve">Projekty realizowane w formule ZIT/RIT uznać można za skuteczne, ponieważ </w:t>
            </w:r>
            <w:r w:rsidRPr="00476635">
              <w:rPr>
                <w:rFonts w:eastAsiaTheme="minorHAnsi" w:cs="Arial"/>
                <w:color w:val="000000" w:themeColor="text1"/>
                <w:sz w:val="20"/>
                <w:szCs w:val="20"/>
              </w:rPr>
              <w:t xml:space="preserve">umożliwiają one zniwelowanie różnic w zakresie poziomu społeczno-gospodarczego poszczególnych regionów poprzez pobudzenie ich potencjału w strategicznych obszarach. Taka formuła realizowania </w:t>
            </w:r>
            <w:r w:rsidR="009F6B38" w:rsidRPr="00476635">
              <w:rPr>
                <w:rFonts w:eastAsiaTheme="minorHAnsi" w:cs="Arial"/>
                <w:color w:val="000000" w:themeColor="text1"/>
                <w:sz w:val="20"/>
                <w:szCs w:val="20"/>
              </w:rPr>
              <w:t>projektów</w:t>
            </w:r>
            <w:r w:rsidRPr="00476635">
              <w:rPr>
                <w:rFonts w:eastAsiaTheme="minorHAnsi" w:cs="Arial"/>
                <w:color w:val="000000" w:themeColor="text1"/>
                <w:sz w:val="20"/>
                <w:szCs w:val="20"/>
              </w:rPr>
              <w:t xml:space="preserve"> jest korzystna przede wszystkim dla małych społeczności lokalnych. Problematyczna jest jednak zasadność </w:t>
            </w:r>
            <w:r w:rsidRPr="00476635">
              <w:rPr>
                <w:rFonts w:cs="Arial"/>
                <w:sz w:val="20"/>
                <w:szCs w:val="20"/>
              </w:rPr>
              <w:t>ogłaszania odrębnych konkursów dla formuł ZIT i RIT, ponieważ wiąże się to z dużymi obciążeniami dla referatów, które zajmują się wyborem projektów i powoduje wydłużenie procedury oceny wniosków o dofinansowanie.</w:t>
            </w:r>
            <w:r w:rsidR="00EA061A" w:rsidRPr="00476635">
              <w:rPr>
                <w:rFonts w:cs="Arial"/>
                <w:sz w:val="20"/>
                <w:szCs w:val="20"/>
              </w:rPr>
              <w:t xml:space="preserve"> </w:t>
            </w:r>
            <w:r w:rsidR="00E168F7" w:rsidRPr="00476635">
              <w:rPr>
                <w:rFonts w:cs="Arial"/>
                <w:sz w:val="20"/>
                <w:szCs w:val="20"/>
              </w:rPr>
              <w:t>(s. 1</w:t>
            </w:r>
            <w:r w:rsidR="00DA4902">
              <w:rPr>
                <w:rFonts w:cs="Arial"/>
                <w:sz w:val="20"/>
                <w:szCs w:val="20"/>
              </w:rPr>
              <w:t>41</w:t>
            </w:r>
            <w:r w:rsidR="00E168F7" w:rsidRPr="00476635">
              <w:rPr>
                <w:rFonts w:cs="Arial"/>
                <w:sz w:val="20"/>
                <w:szCs w:val="20"/>
              </w:rPr>
              <w:t>)</w:t>
            </w:r>
          </w:p>
        </w:tc>
        <w:tc>
          <w:tcPr>
            <w:tcW w:w="2835" w:type="dxa"/>
          </w:tcPr>
          <w:p w14:paraId="16E62398" w14:textId="77777777" w:rsidR="00AD50A3" w:rsidRPr="00476635"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76635">
              <w:rPr>
                <w:rFonts w:cs="Arial"/>
                <w:sz w:val="20"/>
                <w:szCs w:val="20"/>
              </w:rPr>
              <w:t>Rekomenduje się</w:t>
            </w:r>
            <w:r w:rsidR="004C6C09" w:rsidRPr="00476635">
              <w:rPr>
                <w:rFonts w:cs="Arial"/>
                <w:sz w:val="20"/>
                <w:szCs w:val="20"/>
              </w:rPr>
              <w:t xml:space="preserve"> kontynuowanie</w:t>
            </w:r>
            <w:r w:rsidRPr="00476635">
              <w:rPr>
                <w:rFonts w:cs="Arial"/>
                <w:sz w:val="20"/>
                <w:szCs w:val="20"/>
              </w:rPr>
              <w:t xml:space="preserve"> (w ramach przyszłej perspektywy</w:t>
            </w:r>
            <w:r w:rsidR="0040364F">
              <w:rPr>
                <w:rFonts w:cs="Arial"/>
                <w:sz w:val="20"/>
                <w:szCs w:val="20"/>
              </w:rPr>
              <w:t xml:space="preserve"> 2021-2027</w:t>
            </w:r>
            <w:r w:rsidRPr="00476635">
              <w:rPr>
                <w:rFonts w:cs="Arial"/>
                <w:sz w:val="20"/>
                <w:szCs w:val="20"/>
              </w:rPr>
              <w:t xml:space="preserve">) </w:t>
            </w:r>
            <w:r w:rsidR="004C6C09" w:rsidRPr="00476635">
              <w:rPr>
                <w:rFonts w:cs="Arial"/>
                <w:sz w:val="20"/>
                <w:szCs w:val="20"/>
              </w:rPr>
              <w:t>wsparcia</w:t>
            </w:r>
            <w:r w:rsidRPr="00476635">
              <w:rPr>
                <w:rFonts w:cs="Arial"/>
                <w:sz w:val="20"/>
                <w:szCs w:val="20"/>
              </w:rPr>
              <w:t xml:space="preserve"> projektów edukacyjnych  w formie instrumentów terytorialnych ZIT/RIT.</w:t>
            </w:r>
          </w:p>
          <w:p w14:paraId="15F02C3A" w14:textId="77777777" w:rsidR="00AD50A3" w:rsidRPr="00E24BD3" w:rsidRDefault="00AD50A3" w:rsidP="00DF64C7">
            <w:pPr>
              <w:jc w:val="left"/>
              <w:cnfStyle w:val="000000000000" w:firstRow="0" w:lastRow="0" w:firstColumn="0" w:lastColumn="0" w:oddVBand="0" w:evenVBand="0" w:oddHBand="0" w:evenHBand="0" w:firstRowFirstColumn="0" w:firstRowLastColumn="0" w:lastRowFirstColumn="0" w:lastRowLastColumn="0"/>
              <w:rPr>
                <w:rFonts w:eastAsia="Calibri" w:cs="Times New Roman"/>
                <w:b/>
                <w:bCs/>
                <w:i/>
                <w:sz w:val="20"/>
                <w:szCs w:val="20"/>
              </w:rPr>
            </w:pPr>
            <w:r w:rsidRPr="00E24BD3">
              <w:rPr>
                <w:rFonts w:cs="Arial"/>
                <w:sz w:val="20"/>
                <w:szCs w:val="20"/>
              </w:rPr>
              <w:t>Ważne jest organizowanie wspólnych naborów dla ZIT, RIT oraz działań konkursowych, przy jednoczesnym podziale alokacji między poszczególne subregiony. W ten sposób możliwe jest skrócenie procedur</w:t>
            </w:r>
            <w:r w:rsidR="00FB3371" w:rsidRPr="00E24BD3">
              <w:rPr>
                <w:rFonts w:cs="Arial"/>
                <w:sz w:val="20"/>
                <w:szCs w:val="20"/>
              </w:rPr>
              <w:t xml:space="preserve">, </w:t>
            </w:r>
            <w:r w:rsidRPr="00E24BD3">
              <w:rPr>
                <w:rFonts w:cs="Arial"/>
                <w:sz w:val="20"/>
                <w:szCs w:val="20"/>
              </w:rPr>
              <w:t>ułatwienie pracy dla ekspertów oceniających wnioski</w:t>
            </w:r>
            <w:r w:rsidR="00FB3371" w:rsidRPr="00E24BD3">
              <w:rPr>
                <w:rFonts w:cs="Arial"/>
                <w:sz w:val="20"/>
                <w:szCs w:val="20"/>
              </w:rPr>
              <w:t xml:space="preserve"> oraz </w:t>
            </w:r>
            <w:r w:rsidR="00FB3371" w:rsidRPr="00E24BD3">
              <w:rPr>
                <w:sz w:val="20"/>
                <w:szCs w:val="20"/>
              </w:rPr>
              <w:t>znaczne zmniejszenie obciążeń administracyjnych pracowników IOK zaangażowanych w proces oceny projektów (sekretarze KOP).</w:t>
            </w:r>
            <w:r w:rsidR="00DA4902">
              <w:rPr>
                <w:sz w:val="20"/>
                <w:szCs w:val="20"/>
              </w:rPr>
              <w:t xml:space="preserve"> (s. 141-142</w:t>
            </w:r>
            <w:r w:rsidR="004F69F9">
              <w:rPr>
                <w:sz w:val="20"/>
                <w:szCs w:val="20"/>
              </w:rPr>
              <w:t>)</w:t>
            </w:r>
          </w:p>
          <w:p w14:paraId="39DD74C7" w14:textId="77777777" w:rsidR="00AD50A3" w:rsidRPr="00476635"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68" w:type="dxa"/>
          </w:tcPr>
          <w:p w14:paraId="7FD5C99C" w14:textId="77777777" w:rsidR="00AD50A3" w:rsidRPr="00476635" w:rsidRDefault="00AD50A3" w:rsidP="00DF64C7">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476635">
              <w:rPr>
                <w:rFonts w:cs="Arial"/>
                <w:sz w:val="20"/>
                <w:szCs w:val="20"/>
              </w:rPr>
              <w:t xml:space="preserve">Instytucja Zarządzająca </w:t>
            </w:r>
            <w:r w:rsidRPr="00476635">
              <w:rPr>
                <w:rFonts w:eastAsia="Times New Roman" w:cs="Arial"/>
                <w:color w:val="000000"/>
                <w:sz w:val="20"/>
                <w:szCs w:val="20"/>
                <w:lang w:eastAsia="pl-PL"/>
              </w:rPr>
              <w:t>RPO WSL 2014-2020</w:t>
            </w:r>
          </w:p>
          <w:p w14:paraId="47A46546" w14:textId="77777777" w:rsidR="00AD50A3" w:rsidRPr="00476635"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08CE1529" w14:textId="77777777" w:rsidR="00AD50A3" w:rsidRPr="00476635"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76635">
              <w:rPr>
                <w:rFonts w:cs="Arial"/>
                <w:sz w:val="20"/>
                <w:szCs w:val="20"/>
              </w:rPr>
              <w:t xml:space="preserve">Instytucje pośredniczące </w:t>
            </w:r>
            <w:r w:rsidRPr="00476635">
              <w:rPr>
                <w:rFonts w:eastAsia="Times New Roman" w:cs="Arial"/>
                <w:color w:val="000000"/>
                <w:sz w:val="20"/>
                <w:szCs w:val="20"/>
                <w:lang w:eastAsia="pl-PL"/>
              </w:rPr>
              <w:t>RPO WSL 2014-2020</w:t>
            </w:r>
          </w:p>
          <w:p w14:paraId="650E7A7E" w14:textId="77777777" w:rsidR="00AD50A3" w:rsidRPr="00476635"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670" w:type="dxa"/>
          </w:tcPr>
          <w:p w14:paraId="777E213E" w14:textId="77777777" w:rsidR="00AD50A3" w:rsidRPr="00476635"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76635">
              <w:rPr>
                <w:rFonts w:cs="Arial"/>
                <w:sz w:val="20"/>
                <w:szCs w:val="20"/>
              </w:rPr>
              <w:t>Organizacja wspólnych naborów dla ZIT, RIT i projektów konkursowych w ramach poszczególnych Działań</w:t>
            </w:r>
            <w:r w:rsidR="00E24024">
              <w:rPr>
                <w:rFonts w:cs="Arial"/>
                <w:sz w:val="20"/>
                <w:szCs w:val="20"/>
              </w:rPr>
              <w:t>, z uwzględnieniem wspólnej procedury</w:t>
            </w:r>
            <w:r w:rsidR="00FB3371" w:rsidRPr="00476635">
              <w:rPr>
                <w:rFonts w:cs="Arial"/>
                <w:sz w:val="20"/>
                <w:szCs w:val="20"/>
              </w:rPr>
              <w:t xml:space="preserve">, zasad </w:t>
            </w:r>
            <w:r w:rsidR="00E24024">
              <w:rPr>
                <w:rFonts w:cs="Arial"/>
                <w:sz w:val="20"/>
                <w:szCs w:val="20"/>
              </w:rPr>
              <w:t>i</w:t>
            </w:r>
            <w:r w:rsidR="00E24024" w:rsidRPr="00476635">
              <w:rPr>
                <w:rFonts w:cs="Arial"/>
                <w:sz w:val="20"/>
                <w:szCs w:val="20"/>
              </w:rPr>
              <w:t xml:space="preserve"> </w:t>
            </w:r>
            <w:r w:rsidR="00FB3371" w:rsidRPr="00476635">
              <w:rPr>
                <w:rFonts w:cs="Arial"/>
                <w:sz w:val="20"/>
                <w:szCs w:val="20"/>
              </w:rPr>
              <w:t>kryteri</w:t>
            </w:r>
            <w:r w:rsidR="00E24024">
              <w:rPr>
                <w:rFonts w:cs="Arial"/>
                <w:sz w:val="20"/>
                <w:szCs w:val="20"/>
              </w:rPr>
              <w:t>ów oraz jednoczesnym zachowaniem</w:t>
            </w:r>
            <w:r w:rsidR="00FB3371" w:rsidRPr="00476635">
              <w:rPr>
                <w:rFonts w:cs="Arial"/>
                <w:sz w:val="20"/>
                <w:szCs w:val="20"/>
              </w:rPr>
              <w:t xml:space="preserve"> </w:t>
            </w:r>
            <w:r w:rsidR="00E24024">
              <w:rPr>
                <w:rFonts w:cs="Arial"/>
                <w:sz w:val="20"/>
                <w:szCs w:val="20"/>
              </w:rPr>
              <w:t xml:space="preserve">zróżnicowanej alokacji </w:t>
            </w:r>
            <w:r w:rsidR="00E24024" w:rsidRPr="00476635">
              <w:rPr>
                <w:rFonts w:cs="Arial"/>
                <w:sz w:val="20"/>
                <w:szCs w:val="20"/>
              </w:rPr>
              <w:t xml:space="preserve"> </w:t>
            </w:r>
            <w:r w:rsidR="00FB3371" w:rsidRPr="00476635">
              <w:rPr>
                <w:rFonts w:cs="Arial"/>
                <w:sz w:val="20"/>
                <w:szCs w:val="20"/>
              </w:rPr>
              <w:t>przeznaczon</w:t>
            </w:r>
            <w:r w:rsidR="00E24024">
              <w:rPr>
                <w:rFonts w:cs="Arial"/>
                <w:sz w:val="20"/>
                <w:szCs w:val="20"/>
              </w:rPr>
              <w:t>ej</w:t>
            </w:r>
            <w:r w:rsidR="00FB3371" w:rsidRPr="00476635">
              <w:rPr>
                <w:rFonts w:cs="Arial"/>
                <w:sz w:val="20"/>
                <w:szCs w:val="20"/>
              </w:rPr>
              <w:t xml:space="preserve"> dla poszczególnych subregionów.</w:t>
            </w:r>
            <w:r w:rsidR="00FB3371" w:rsidRPr="00476635" w:rsidDel="00FB3371">
              <w:rPr>
                <w:rFonts w:cs="Arial"/>
                <w:sz w:val="20"/>
                <w:szCs w:val="20"/>
              </w:rPr>
              <w:t xml:space="preserve"> </w:t>
            </w:r>
          </w:p>
        </w:tc>
        <w:tc>
          <w:tcPr>
            <w:tcW w:w="1559" w:type="dxa"/>
          </w:tcPr>
          <w:p w14:paraId="3CCE2FD3" w14:textId="77777777" w:rsidR="00AD50A3" w:rsidRPr="00476635" w:rsidRDefault="009F6B3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76635">
              <w:rPr>
                <w:rFonts w:eastAsia="Times New Roman" w:cs="Arial"/>
                <w:color w:val="000000"/>
                <w:sz w:val="20"/>
                <w:szCs w:val="20"/>
                <w:lang w:eastAsia="pl-PL"/>
              </w:rPr>
              <w:t>Nowa p</w:t>
            </w:r>
            <w:r w:rsidR="00FB3371" w:rsidRPr="00476635">
              <w:rPr>
                <w:rFonts w:eastAsia="Times New Roman" w:cs="Arial"/>
                <w:color w:val="000000"/>
                <w:sz w:val="20"/>
                <w:szCs w:val="20"/>
                <w:lang w:eastAsia="pl-PL"/>
              </w:rPr>
              <w:t>erspektywa 2021-2027</w:t>
            </w:r>
            <w:r w:rsidR="000B3AF0">
              <w:rPr>
                <w:rFonts w:eastAsia="Times New Roman" w:cs="Arial"/>
                <w:color w:val="000000"/>
                <w:sz w:val="20"/>
                <w:szCs w:val="20"/>
                <w:lang w:eastAsia="pl-PL"/>
              </w:rPr>
              <w:t xml:space="preserve"> - 31.03.2021</w:t>
            </w:r>
          </w:p>
        </w:tc>
        <w:tc>
          <w:tcPr>
            <w:tcW w:w="1583" w:type="dxa"/>
          </w:tcPr>
          <w:p w14:paraId="4D0D857F" w14:textId="77777777" w:rsidR="00AD50A3" w:rsidRPr="00476635"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76635">
              <w:rPr>
                <w:rFonts w:cs="Arial"/>
                <w:sz w:val="20"/>
                <w:szCs w:val="20"/>
              </w:rPr>
              <w:t>Programowa</w:t>
            </w:r>
          </w:p>
          <w:p w14:paraId="1AC73CCB" w14:textId="77777777" w:rsidR="00AD50A3" w:rsidRPr="00476635"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476635">
              <w:rPr>
                <w:rFonts w:cs="Arial"/>
                <w:sz w:val="20"/>
                <w:szCs w:val="20"/>
              </w:rPr>
              <w:t>operacyjna</w:t>
            </w:r>
          </w:p>
        </w:tc>
      </w:tr>
      <w:tr w:rsidR="00AD50A3" w:rsidRPr="004F55A6" w14:paraId="00DC9D34" w14:textId="77777777" w:rsidTr="00E85FE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4" w:type="dxa"/>
          </w:tcPr>
          <w:p w14:paraId="456C54D7" w14:textId="77777777" w:rsidR="00AD50A3" w:rsidRPr="004F55A6" w:rsidRDefault="0040364F" w:rsidP="00DF64C7">
            <w:pPr>
              <w:jc w:val="left"/>
              <w:rPr>
                <w:rFonts w:cs="Arial"/>
                <w:sz w:val="20"/>
                <w:szCs w:val="20"/>
              </w:rPr>
            </w:pPr>
            <w:r>
              <w:rPr>
                <w:rFonts w:cs="Arial"/>
                <w:sz w:val="20"/>
                <w:szCs w:val="20"/>
              </w:rPr>
              <w:t>3</w:t>
            </w:r>
            <w:r w:rsidR="00AD50A3">
              <w:rPr>
                <w:rFonts w:cs="Arial"/>
                <w:sz w:val="20"/>
                <w:szCs w:val="20"/>
              </w:rPr>
              <w:t>.</w:t>
            </w:r>
          </w:p>
        </w:tc>
        <w:tc>
          <w:tcPr>
            <w:tcW w:w="3000" w:type="dxa"/>
          </w:tcPr>
          <w:p w14:paraId="67FF950B"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Środki przeznaczone na szkolnictwo zawodowe</w:t>
            </w:r>
            <w:r w:rsidR="003D3789">
              <w:rPr>
                <w:rFonts w:cs="Arial"/>
                <w:sz w:val="20"/>
                <w:szCs w:val="20"/>
              </w:rPr>
              <w:t xml:space="preserve"> i ogólne</w:t>
            </w:r>
            <w:r w:rsidRPr="00F90BB0">
              <w:rPr>
                <w:rFonts w:cs="Arial"/>
                <w:sz w:val="20"/>
                <w:szCs w:val="20"/>
              </w:rPr>
              <w:t xml:space="preserve"> przynoszą wymierne korzyści.</w:t>
            </w:r>
          </w:p>
          <w:p w14:paraId="5305B823"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 xml:space="preserve">Mimo osiągnięcia założonych wskaźników, konieczne jest dalsze wspieranie edukacji na każdym szczeblu, w tym podnoszenie jakości oferty edukacyjnej, mając na uwadze zmieniające się potrzeby w tym zakresie. W największym stopniu wsparcia wymaga wciąż szkolnictwo zawodowe, gdzie widoczne są potrzeby zarówno społeczne (wzrost jakości kształcenia), jak i infrastrukturalne. </w:t>
            </w:r>
            <w:r w:rsidR="00E423DF">
              <w:rPr>
                <w:rFonts w:cs="Arial"/>
                <w:sz w:val="20"/>
                <w:szCs w:val="20"/>
              </w:rPr>
              <w:t>W przypadku edukacji przedszkolnej aktualne pozostają potrzeby w zakresie wzrostu dostępności miejsc przedszkolnych na obszarach wiejskich</w:t>
            </w:r>
            <w:r w:rsidR="00EA061A">
              <w:rPr>
                <w:rFonts w:cs="Arial"/>
                <w:sz w:val="20"/>
                <w:szCs w:val="20"/>
              </w:rPr>
              <w:t xml:space="preserve"> (s.</w:t>
            </w:r>
            <w:r w:rsidR="008D5F51">
              <w:rPr>
                <w:rFonts w:cs="Arial"/>
                <w:sz w:val="20"/>
                <w:szCs w:val="20"/>
              </w:rPr>
              <w:t xml:space="preserve"> 54-58</w:t>
            </w:r>
            <w:r w:rsidR="00CB4E3A">
              <w:rPr>
                <w:rFonts w:cs="Arial"/>
                <w:sz w:val="20"/>
                <w:szCs w:val="20"/>
              </w:rPr>
              <w:t>,</w:t>
            </w:r>
            <w:r w:rsidR="00EA061A">
              <w:rPr>
                <w:rFonts w:cs="Arial"/>
                <w:sz w:val="20"/>
                <w:szCs w:val="20"/>
              </w:rPr>
              <w:t xml:space="preserve"> </w:t>
            </w:r>
            <w:r w:rsidR="00E423DF">
              <w:rPr>
                <w:rFonts w:cs="Arial"/>
                <w:sz w:val="20"/>
                <w:szCs w:val="20"/>
              </w:rPr>
              <w:t>1</w:t>
            </w:r>
            <w:r w:rsidR="00E17508">
              <w:rPr>
                <w:rFonts w:cs="Arial"/>
                <w:sz w:val="20"/>
                <w:szCs w:val="20"/>
              </w:rPr>
              <w:t>5</w:t>
            </w:r>
            <w:r w:rsidR="00DA4902">
              <w:rPr>
                <w:rFonts w:cs="Arial"/>
                <w:sz w:val="20"/>
                <w:szCs w:val="20"/>
              </w:rPr>
              <w:t>6</w:t>
            </w:r>
            <w:r w:rsidR="00EA061A">
              <w:rPr>
                <w:rFonts w:cs="Arial"/>
                <w:sz w:val="20"/>
                <w:szCs w:val="20"/>
              </w:rPr>
              <w:t>)</w:t>
            </w:r>
          </w:p>
        </w:tc>
        <w:tc>
          <w:tcPr>
            <w:tcW w:w="2835" w:type="dxa"/>
          </w:tcPr>
          <w:p w14:paraId="1D75FB32"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Rekomenduje się utrzymanie wsparcia dla szkolnictwa zawodowego w przyszłej perspektywie finansowej</w:t>
            </w:r>
            <w:r w:rsidR="003D3789">
              <w:rPr>
                <w:rFonts w:cs="Arial"/>
                <w:sz w:val="20"/>
                <w:szCs w:val="20"/>
              </w:rPr>
              <w:t xml:space="preserve"> </w:t>
            </w:r>
            <w:r w:rsidR="0040364F">
              <w:rPr>
                <w:rFonts w:cs="Arial"/>
                <w:sz w:val="20"/>
                <w:szCs w:val="20"/>
              </w:rPr>
              <w:t xml:space="preserve">(2021-2027) </w:t>
            </w:r>
            <w:r w:rsidR="003D3789">
              <w:rPr>
                <w:rFonts w:cs="Arial"/>
                <w:sz w:val="20"/>
                <w:szCs w:val="20"/>
              </w:rPr>
              <w:t>zgodnie z przeprowadzoną w tym zakresie nową identyfikacją potrzeb.</w:t>
            </w:r>
            <w:r w:rsidR="00E423DF">
              <w:rPr>
                <w:rFonts w:cs="Arial"/>
                <w:sz w:val="20"/>
                <w:szCs w:val="20"/>
              </w:rPr>
              <w:t xml:space="preserve"> Rekomendowanym działaniem jest również dalsze wsparcie rozwoju edukacji przedszkolnej w zakresie wzrostu dostępności miejsc przedszkolnych, lecz w tym przypadku przede wszystkim na obszarach wiejskich.</w:t>
            </w:r>
            <w:r w:rsidR="00CB4E3A">
              <w:rPr>
                <w:rFonts w:cs="Arial"/>
                <w:sz w:val="20"/>
                <w:szCs w:val="20"/>
              </w:rPr>
              <w:t xml:space="preserve"> </w:t>
            </w:r>
            <w:r w:rsidR="008D5F51">
              <w:rPr>
                <w:rFonts w:cs="Arial"/>
                <w:sz w:val="20"/>
                <w:szCs w:val="20"/>
              </w:rPr>
              <w:t>(s. 54-58</w:t>
            </w:r>
            <w:r w:rsidR="00DA4902">
              <w:rPr>
                <w:rFonts w:cs="Arial"/>
                <w:sz w:val="20"/>
                <w:szCs w:val="20"/>
              </w:rPr>
              <w:t>, 156</w:t>
            </w:r>
            <w:r w:rsidR="00CB4E3A">
              <w:rPr>
                <w:rFonts w:cs="Arial"/>
                <w:sz w:val="20"/>
                <w:szCs w:val="20"/>
              </w:rPr>
              <w:t>)</w:t>
            </w:r>
          </w:p>
          <w:p w14:paraId="523276E5"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68" w:type="dxa"/>
          </w:tcPr>
          <w:p w14:paraId="7507FED6"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F90BB0">
              <w:rPr>
                <w:rFonts w:cs="Arial"/>
                <w:sz w:val="20"/>
                <w:szCs w:val="20"/>
              </w:rPr>
              <w:t xml:space="preserve">Instytucja Zarządzająca </w:t>
            </w:r>
            <w:r w:rsidRPr="00F90BB0">
              <w:rPr>
                <w:rFonts w:eastAsia="Times New Roman" w:cs="Arial"/>
                <w:color w:val="000000"/>
                <w:sz w:val="20"/>
                <w:szCs w:val="20"/>
                <w:lang w:eastAsia="pl-PL"/>
              </w:rPr>
              <w:t>RPO WSL 2014-2020</w:t>
            </w:r>
          </w:p>
          <w:p w14:paraId="4EC85B2A"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p w14:paraId="775E4B2C"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 xml:space="preserve">Instytucje pośredniczące </w:t>
            </w:r>
            <w:r w:rsidRPr="00F90BB0">
              <w:rPr>
                <w:rFonts w:eastAsia="Times New Roman" w:cs="Arial"/>
                <w:color w:val="000000"/>
                <w:sz w:val="20"/>
                <w:szCs w:val="20"/>
                <w:lang w:eastAsia="pl-PL"/>
              </w:rPr>
              <w:t>RPO WSL 2014-2020</w:t>
            </w:r>
          </w:p>
          <w:p w14:paraId="7776CCEB"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670" w:type="dxa"/>
          </w:tcPr>
          <w:p w14:paraId="23A04FFB"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Podczas projektowania Regionalnego Programu Operacyjnego Województwa Śląskiego w ramach perspektywy finansowej 2021-2027 powinno uwzględnić się wsparcie edukacji, w tym szczególnie szkolnictwa zawodowego</w:t>
            </w:r>
            <w:r w:rsidR="00E423DF">
              <w:rPr>
                <w:rFonts w:cs="Arial"/>
                <w:sz w:val="20"/>
                <w:szCs w:val="20"/>
              </w:rPr>
              <w:t xml:space="preserve"> oraz edukacji przedszkolnej</w:t>
            </w:r>
            <w:r w:rsidR="003D3789">
              <w:rPr>
                <w:rFonts w:cs="Arial"/>
                <w:sz w:val="20"/>
                <w:szCs w:val="20"/>
              </w:rPr>
              <w:t xml:space="preserve"> – na podstawie zaktualizowanej analizy potrzeb w tym zakresie.</w:t>
            </w:r>
          </w:p>
        </w:tc>
        <w:tc>
          <w:tcPr>
            <w:tcW w:w="1559" w:type="dxa"/>
          </w:tcPr>
          <w:p w14:paraId="5829065B" w14:textId="77777777" w:rsidR="00AD50A3" w:rsidRPr="004F55A6" w:rsidRDefault="009F6B38"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eastAsia="Times New Roman" w:cs="Arial"/>
                <w:color w:val="000000"/>
                <w:sz w:val="20"/>
                <w:szCs w:val="20"/>
                <w:lang w:eastAsia="pl-PL"/>
              </w:rPr>
              <w:t>Nowa p</w:t>
            </w:r>
            <w:r w:rsidR="007E1199">
              <w:rPr>
                <w:rFonts w:eastAsia="Times New Roman" w:cs="Arial"/>
                <w:color w:val="000000"/>
                <w:sz w:val="20"/>
                <w:szCs w:val="20"/>
                <w:lang w:eastAsia="pl-PL"/>
              </w:rPr>
              <w:t>erspektywa 2021-2027</w:t>
            </w:r>
            <w:r w:rsidR="000B3AF0">
              <w:rPr>
                <w:rFonts w:eastAsia="Times New Roman" w:cs="Arial"/>
                <w:color w:val="000000"/>
                <w:sz w:val="20"/>
                <w:szCs w:val="20"/>
                <w:lang w:eastAsia="pl-PL"/>
              </w:rPr>
              <w:t xml:space="preserve"> - 31.03.2021</w:t>
            </w:r>
          </w:p>
        </w:tc>
        <w:tc>
          <w:tcPr>
            <w:tcW w:w="1583" w:type="dxa"/>
          </w:tcPr>
          <w:p w14:paraId="38E5B769"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Programowa</w:t>
            </w:r>
          </w:p>
          <w:p w14:paraId="5FBA15A1"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operacyjna</w:t>
            </w:r>
          </w:p>
        </w:tc>
      </w:tr>
      <w:tr w:rsidR="00AD50A3" w:rsidRPr="004F55A6" w14:paraId="663DCCAC" w14:textId="77777777" w:rsidTr="00E85FEC">
        <w:trPr>
          <w:trHeight w:val="794"/>
        </w:trPr>
        <w:tc>
          <w:tcPr>
            <w:cnfStyle w:val="001000000000" w:firstRow="0" w:lastRow="0" w:firstColumn="1" w:lastColumn="0" w:oddVBand="0" w:evenVBand="0" w:oddHBand="0" w:evenHBand="0" w:firstRowFirstColumn="0" w:firstRowLastColumn="0" w:lastRowFirstColumn="0" w:lastRowLastColumn="0"/>
            <w:tcW w:w="534" w:type="dxa"/>
          </w:tcPr>
          <w:p w14:paraId="2A8793F5" w14:textId="77777777" w:rsidR="00AD50A3" w:rsidRPr="004F55A6" w:rsidRDefault="0040364F" w:rsidP="00DF64C7">
            <w:pPr>
              <w:jc w:val="left"/>
              <w:rPr>
                <w:rFonts w:cs="Arial"/>
                <w:sz w:val="20"/>
                <w:szCs w:val="20"/>
              </w:rPr>
            </w:pPr>
            <w:r>
              <w:rPr>
                <w:rFonts w:cs="Arial"/>
                <w:sz w:val="20"/>
                <w:szCs w:val="20"/>
              </w:rPr>
              <w:t>4</w:t>
            </w:r>
            <w:r w:rsidR="007E1199">
              <w:rPr>
                <w:rFonts w:cs="Arial"/>
                <w:sz w:val="20"/>
                <w:szCs w:val="20"/>
              </w:rPr>
              <w:t>.</w:t>
            </w:r>
          </w:p>
        </w:tc>
        <w:tc>
          <w:tcPr>
            <w:tcW w:w="3000" w:type="dxa"/>
          </w:tcPr>
          <w:p w14:paraId="2E43DD19" w14:textId="77777777" w:rsidR="00AD50A3" w:rsidRPr="004F55A6"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90BB0">
              <w:rPr>
                <w:rFonts w:cs="Arial"/>
                <w:sz w:val="20"/>
                <w:szCs w:val="20"/>
              </w:rPr>
              <w:t>Rozliczenie projektu w kontekście zakupionego przez placówki</w:t>
            </w:r>
            <w:r w:rsidR="00E24024">
              <w:rPr>
                <w:rFonts w:cs="Arial"/>
                <w:sz w:val="20"/>
                <w:szCs w:val="20"/>
              </w:rPr>
              <w:t xml:space="preserve"> przedszkolne </w:t>
            </w:r>
            <w:r w:rsidRPr="00F90BB0">
              <w:rPr>
                <w:rFonts w:cs="Arial"/>
                <w:sz w:val="20"/>
                <w:szCs w:val="20"/>
              </w:rPr>
              <w:t xml:space="preserve"> wyposażenia </w:t>
            </w:r>
            <w:r w:rsidR="00CE1EC6">
              <w:rPr>
                <w:rFonts w:cs="Arial"/>
                <w:sz w:val="20"/>
                <w:szCs w:val="20"/>
              </w:rPr>
              <w:t xml:space="preserve">(Działanie 12.1) </w:t>
            </w:r>
            <w:r w:rsidRPr="00F90BB0">
              <w:rPr>
                <w:rFonts w:cs="Arial"/>
                <w:sz w:val="20"/>
                <w:szCs w:val="20"/>
              </w:rPr>
              <w:t>generowało znaczne trudności (w tym zmiana definicji środka trwałego w rozumieniu Ustawy).</w:t>
            </w:r>
            <w:r w:rsidR="00EA061A">
              <w:rPr>
                <w:rFonts w:cs="Arial"/>
                <w:sz w:val="20"/>
                <w:szCs w:val="20"/>
              </w:rPr>
              <w:t xml:space="preserve"> (s. </w:t>
            </w:r>
            <w:r w:rsidR="008D5F51">
              <w:rPr>
                <w:rFonts w:cs="Arial"/>
                <w:sz w:val="20"/>
                <w:szCs w:val="20"/>
              </w:rPr>
              <w:t>71</w:t>
            </w:r>
            <w:r w:rsidR="00EA061A">
              <w:rPr>
                <w:rFonts w:cs="Arial"/>
                <w:sz w:val="20"/>
                <w:szCs w:val="20"/>
              </w:rPr>
              <w:t>)</w:t>
            </w:r>
          </w:p>
        </w:tc>
        <w:tc>
          <w:tcPr>
            <w:tcW w:w="2835" w:type="dxa"/>
          </w:tcPr>
          <w:p w14:paraId="7C85C4CF" w14:textId="77777777" w:rsidR="00AD50A3"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90BB0">
              <w:rPr>
                <w:rFonts w:cs="Arial"/>
                <w:sz w:val="20"/>
                <w:szCs w:val="20"/>
              </w:rPr>
              <w:t>Rekomenduje się, w przypadku realizacji projektu infrastrukturalnego, rozważenie możliwość wprowadzenia ryczałtu na wyposażenie placówek</w:t>
            </w:r>
            <w:r w:rsidR="00CE1EC6">
              <w:rPr>
                <w:rFonts w:cs="Arial"/>
                <w:sz w:val="20"/>
                <w:szCs w:val="20"/>
              </w:rPr>
              <w:t xml:space="preserve"> przedszkolnych (uproszczona metoda rozliczania wydatku).</w:t>
            </w:r>
          </w:p>
          <w:p w14:paraId="32DC2EA7" w14:textId="77777777" w:rsidR="0040364F" w:rsidRPr="004F55A6" w:rsidRDefault="0040364F"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eastAsia="Calibri" w:cs="Arial"/>
                <w:color w:val="000000" w:themeColor="text1"/>
                <w:sz w:val="20"/>
                <w:szCs w:val="20"/>
              </w:rPr>
              <w:t>Rekomendacja dotyczy perspektywy 2021-2027.</w:t>
            </w:r>
            <w:r w:rsidR="008D5F51">
              <w:rPr>
                <w:rFonts w:eastAsia="Calibri" w:cs="Arial"/>
                <w:color w:val="000000" w:themeColor="text1"/>
                <w:sz w:val="20"/>
                <w:szCs w:val="20"/>
              </w:rPr>
              <w:t xml:space="preserve"> (s. 71</w:t>
            </w:r>
            <w:r w:rsidR="00CB4E3A">
              <w:rPr>
                <w:rFonts w:eastAsia="Calibri" w:cs="Arial"/>
                <w:color w:val="000000" w:themeColor="text1"/>
                <w:sz w:val="20"/>
                <w:szCs w:val="20"/>
              </w:rPr>
              <w:t>)</w:t>
            </w:r>
          </w:p>
        </w:tc>
        <w:tc>
          <w:tcPr>
            <w:tcW w:w="2268" w:type="dxa"/>
          </w:tcPr>
          <w:p w14:paraId="43F678B0" w14:textId="77777777" w:rsidR="00AD50A3" w:rsidRPr="00F90BB0" w:rsidRDefault="00AD50A3" w:rsidP="00DF64C7">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F90BB0">
              <w:rPr>
                <w:rFonts w:cs="Arial"/>
                <w:sz w:val="20"/>
                <w:szCs w:val="20"/>
              </w:rPr>
              <w:t xml:space="preserve">Instytucja Zarządzająca </w:t>
            </w:r>
            <w:r w:rsidRPr="00F90BB0">
              <w:rPr>
                <w:rFonts w:eastAsia="Times New Roman" w:cs="Arial"/>
                <w:color w:val="000000"/>
                <w:sz w:val="20"/>
                <w:szCs w:val="20"/>
                <w:lang w:eastAsia="pl-PL"/>
              </w:rPr>
              <w:t>RPO WSL 2014-2020</w:t>
            </w:r>
          </w:p>
          <w:p w14:paraId="6180BE5E" w14:textId="77777777" w:rsidR="00AD50A3" w:rsidRPr="00F90BB0"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23141276" w14:textId="77777777" w:rsidR="00AD50A3" w:rsidRPr="004F55A6"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670" w:type="dxa"/>
          </w:tcPr>
          <w:p w14:paraId="54150B70" w14:textId="77777777" w:rsidR="00AD50A3" w:rsidRPr="004F55A6"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90BB0">
              <w:rPr>
                <w:rFonts w:cs="Arial"/>
                <w:sz w:val="20"/>
                <w:szCs w:val="20"/>
              </w:rPr>
              <w:t xml:space="preserve">Podczas projektowania Regionalnego Programu Operacyjnego Województwa Śląskiego w ramach perspektywy finansowej 2021-2027 należy uwzględnić </w:t>
            </w:r>
            <w:r w:rsidR="00CE1EC6">
              <w:rPr>
                <w:rFonts w:cs="Arial"/>
                <w:sz w:val="20"/>
                <w:szCs w:val="20"/>
              </w:rPr>
              <w:t xml:space="preserve">(w przypadku kontynuowania wsparcia dla placówek przedszkolnych) </w:t>
            </w:r>
            <w:r w:rsidRPr="00F90BB0">
              <w:rPr>
                <w:rFonts w:cs="Arial"/>
                <w:sz w:val="20"/>
                <w:szCs w:val="20"/>
              </w:rPr>
              <w:t xml:space="preserve">możliwość </w:t>
            </w:r>
            <w:r w:rsidR="007E1199">
              <w:rPr>
                <w:rFonts w:cs="Arial"/>
                <w:sz w:val="20"/>
                <w:szCs w:val="20"/>
              </w:rPr>
              <w:t>rozliczania zakupu</w:t>
            </w:r>
            <w:r w:rsidR="007E1199" w:rsidRPr="00F90BB0">
              <w:rPr>
                <w:rFonts w:cs="Arial"/>
                <w:sz w:val="20"/>
                <w:szCs w:val="20"/>
              </w:rPr>
              <w:t xml:space="preserve"> </w:t>
            </w:r>
            <w:r w:rsidRPr="00F90BB0">
              <w:rPr>
                <w:rFonts w:cs="Arial"/>
                <w:sz w:val="20"/>
                <w:szCs w:val="20"/>
              </w:rPr>
              <w:t>wyposażeni</w:t>
            </w:r>
            <w:r w:rsidR="007E1199">
              <w:rPr>
                <w:rFonts w:cs="Arial"/>
                <w:sz w:val="20"/>
                <w:szCs w:val="20"/>
              </w:rPr>
              <w:t>a</w:t>
            </w:r>
            <w:r w:rsidRPr="00F90BB0">
              <w:rPr>
                <w:rFonts w:cs="Arial"/>
                <w:sz w:val="20"/>
                <w:szCs w:val="20"/>
              </w:rPr>
              <w:t xml:space="preserve"> </w:t>
            </w:r>
            <w:r w:rsidR="007E1199">
              <w:rPr>
                <w:rFonts w:cs="Arial"/>
                <w:sz w:val="20"/>
                <w:szCs w:val="20"/>
              </w:rPr>
              <w:t>za pomocą ryczałtu (zgodnie z planowanymi do opublikowania wytycznymi</w:t>
            </w:r>
            <w:r w:rsidR="007E1199">
              <w:t xml:space="preserve">  dotyczącymi </w:t>
            </w:r>
            <w:r w:rsidR="007E1199" w:rsidRPr="007E1199">
              <w:rPr>
                <w:rFonts w:cs="Arial"/>
                <w:sz w:val="20"/>
                <w:szCs w:val="20"/>
              </w:rPr>
              <w:t>uproszczonych metod rozliczania wydatków</w:t>
            </w:r>
            <w:r w:rsidR="007E1199">
              <w:rPr>
                <w:rFonts w:cs="Arial"/>
                <w:sz w:val="20"/>
                <w:szCs w:val="20"/>
              </w:rPr>
              <w:t xml:space="preserve"> w kolejnej perspektywie finansowej)</w:t>
            </w:r>
            <w:r w:rsidRPr="00F90BB0">
              <w:rPr>
                <w:rFonts w:cs="Arial"/>
                <w:sz w:val="20"/>
                <w:szCs w:val="20"/>
              </w:rPr>
              <w:t>.</w:t>
            </w:r>
          </w:p>
        </w:tc>
        <w:tc>
          <w:tcPr>
            <w:tcW w:w="1559" w:type="dxa"/>
          </w:tcPr>
          <w:p w14:paraId="4664A7F8" w14:textId="77777777" w:rsidR="00AD50A3" w:rsidRPr="004F55A6" w:rsidRDefault="009F6B3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eastAsia="Times New Roman" w:cs="Arial"/>
                <w:color w:val="000000"/>
                <w:sz w:val="20"/>
                <w:szCs w:val="20"/>
                <w:lang w:eastAsia="pl-PL"/>
              </w:rPr>
              <w:t>Nowa p</w:t>
            </w:r>
            <w:r w:rsidR="007E1199">
              <w:rPr>
                <w:rFonts w:eastAsia="Times New Roman" w:cs="Arial"/>
                <w:color w:val="000000"/>
                <w:sz w:val="20"/>
                <w:szCs w:val="20"/>
                <w:lang w:eastAsia="pl-PL"/>
              </w:rPr>
              <w:t>erspektywa 2021-2027</w:t>
            </w:r>
            <w:r w:rsidR="000B3AF0">
              <w:rPr>
                <w:rFonts w:eastAsia="Times New Roman" w:cs="Arial"/>
                <w:color w:val="000000"/>
                <w:sz w:val="20"/>
                <w:szCs w:val="20"/>
                <w:lang w:eastAsia="pl-PL"/>
              </w:rPr>
              <w:t xml:space="preserve"> - 31.03.2021</w:t>
            </w:r>
          </w:p>
        </w:tc>
        <w:tc>
          <w:tcPr>
            <w:tcW w:w="1583" w:type="dxa"/>
          </w:tcPr>
          <w:p w14:paraId="1E8CBE98" w14:textId="77777777" w:rsidR="00AD50A3" w:rsidRPr="00F90BB0"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90BB0">
              <w:rPr>
                <w:rFonts w:cs="Arial"/>
                <w:sz w:val="20"/>
                <w:szCs w:val="20"/>
              </w:rPr>
              <w:t>Programowa</w:t>
            </w:r>
          </w:p>
          <w:p w14:paraId="18789D78" w14:textId="77777777" w:rsidR="00AD50A3" w:rsidRPr="004F55A6"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90BB0">
              <w:rPr>
                <w:rFonts w:cs="Arial"/>
                <w:sz w:val="20"/>
                <w:szCs w:val="20"/>
              </w:rPr>
              <w:t>operacyjna</w:t>
            </w:r>
          </w:p>
        </w:tc>
      </w:tr>
      <w:tr w:rsidR="00AD50A3" w:rsidRPr="004F55A6" w14:paraId="65CF6DA4" w14:textId="77777777" w:rsidTr="00E85FE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34" w:type="dxa"/>
          </w:tcPr>
          <w:p w14:paraId="6BE1D8A5" w14:textId="77777777" w:rsidR="00AD50A3" w:rsidRPr="004F55A6" w:rsidRDefault="0040364F" w:rsidP="00DF64C7">
            <w:pPr>
              <w:jc w:val="left"/>
              <w:rPr>
                <w:rFonts w:cs="Arial"/>
                <w:sz w:val="20"/>
                <w:szCs w:val="20"/>
              </w:rPr>
            </w:pPr>
            <w:r>
              <w:rPr>
                <w:rFonts w:cs="Arial"/>
                <w:sz w:val="20"/>
                <w:szCs w:val="20"/>
              </w:rPr>
              <w:t>5</w:t>
            </w:r>
            <w:r w:rsidR="00AD50A3">
              <w:rPr>
                <w:rFonts w:cs="Arial"/>
                <w:sz w:val="20"/>
                <w:szCs w:val="20"/>
              </w:rPr>
              <w:t>.</w:t>
            </w:r>
          </w:p>
        </w:tc>
        <w:tc>
          <w:tcPr>
            <w:tcW w:w="3000" w:type="dxa"/>
          </w:tcPr>
          <w:p w14:paraId="52411CF0" w14:textId="77777777" w:rsidR="00AD50A3" w:rsidRPr="004F55A6" w:rsidRDefault="00C674A2"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Zidentyfikowano</w:t>
            </w:r>
            <w:r w:rsidR="00AD50A3" w:rsidRPr="00F90BB0">
              <w:rPr>
                <w:rFonts w:cs="Arial"/>
                <w:sz w:val="20"/>
                <w:szCs w:val="20"/>
              </w:rPr>
              <w:t xml:space="preserve"> </w:t>
            </w:r>
            <w:r>
              <w:rPr>
                <w:rFonts w:cs="Arial"/>
                <w:sz w:val="20"/>
                <w:szCs w:val="20"/>
              </w:rPr>
              <w:t>brak finansowania</w:t>
            </w:r>
            <w:r w:rsidR="00AD50A3" w:rsidRPr="00F90BB0">
              <w:rPr>
                <w:rFonts w:cs="Arial"/>
                <w:sz w:val="20"/>
                <w:szCs w:val="20"/>
              </w:rPr>
              <w:t xml:space="preserve"> w obecnej perspektywie</w:t>
            </w:r>
            <w:r>
              <w:rPr>
                <w:rFonts w:cs="Arial"/>
                <w:sz w:val="20"/>
                <w:szCs w:val="20"/>
              </w:rPr>
              <w:t xml:space="preserve"> w formule ZIT/RIT skierowanego ku szkołom ponadpodstawowym</w:t>
            </w:r>
            <w:r w:rsidR="00693A56">
              <w:rPr>
                <w:rFonts w:cs="Arial"/>
                <w:sz w:val="20"/>
                <w:szCs w:val="20"/>
              </w:rPr>
              <w:t xml:space="preserve"> (szkolnictwo ogólne)</w:t>
            </w:r>
            <w:r w:rsidR="00F478B1">
              <w:rPr>
                <w:rFonts w:cs="Arial"/>
                <w:sz w:val="20"/>
                <w:szCs w:val="20"/>
              </w:rPr>
              <w:t xml:space="preserve">. </w:t>
            </w:r>
            <w:r w:rsidR="00693A56">
              <w:rPr>
                <w:rFonts w:cs="Arial"/>
                <w:sz w:val="20"/>
                <w:szCs w:val="20"/>
              </w:rPr>
              <w:t>Obecny nacisk na wsparcie sektora szkolnictwa zawodowego wpłynął na pominięcie szkolnictwa ogólnego, w tym w szczególności w ramach formuły ZIT/RIT</w:t>
            </w:r>
            <w:r w:rsidR="00EA061A">
              <w:rPr>
                <w:rFonts w:cs="Arial"/>
                <w:sz w:val="20"/>
                <w:szCs w:val="20"/>
              </w:rPr>
              <w:t xml:space="preserve"> (s. 1</w:t>
            </w:r>
            <w:r w:rsidR="00E17508">
              <w:rPr>
                <w:rFonts w:cs="Arial"/>
                <w:sz w:val="20"/>
                <w:szCs w:val="20"/>
              </w:rPr>
              <w:t>5</w:t>
            </w:r>
            <w:r w:rsidR="00DA4902">
              <w:rPr>
                <w:rFonts w:cs="Arial"/>
                <w:sz w:val="20"/>
                <w:szCs w:val="20"/>
              </w:rPr>
              <w:t>7-158</w:t>
            </w:r>
            <w:r w:rsidR="00EA061A">
              <w:rPr>
                <w:rFonts w:cs="Arial"/>
                <w:sz w:val="20"/>
                <w:szCs w:val="20"/>
              </w:rPr>
              <w:t>)</w:t>
            </w:r>
            <w:r w:rsidR="00C577D4">
              <w:rPr>
                <w:rFonts w:cs="Arial"/>
                <w:sz w:val="20"/>
                <w:szCs w:val="20"/>
              </w:rPr>
              <w:t>.</w:t>
            </w:r>
          </w:p>
        </w:tc>
        <w:tc>
          <w:tcPr>
            <w:tcW w:w="2835" w:type="dxa"/>
          </w:tcPr>
          <w:p w14:paraId="27000BB7"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 xml:space="preserve">Rekomenduje się uwzględnienie w przyszłej perspektywie finansowej </w:t>
            </w:r>
            <w:r w:rsidR="0040364F">
              <w:rPr>
                <w:rFonts w:cs="Arial"/>
                <w:sz w:val="20"/>
                <w:szCs w:val="20"/>
              </w:rPr>
              <w:t xml:space="preserve">(2021-2027) </w:t>
            </w:r>
            <w:r w:rsidR="00C674A2" w:rsidRPr="00C674A2">
              <w:rPr>
                <w:rFonts w:cs="Arial"/>
                <w:sz w:val="20"/>
                <w:szCs w:val="20"/>
              </w:rPr>
              <w:t>szkół ponadpodstawowych</w:t>
            </w:r>
            <w:r w:rsidR="00C674A2">
              <w:rPr>
                <w:rFonts w:cs="Arial"/>
                <w:sz w:val="20"/>
                <w:szCs w:val="20"/>
              </w:rPr>
              <w:t xml:space="preserve"> w instrumencie ZIT/RIT</w:t>
            </w:r>
            <w:r w:rsidRPr="00F90BB0">
              <w:rPr>
                <w:rFonts w:cs="Arial"/>
                <w:sz w:val="20"/>
                <w:szCs w:val="20"/>
              </w:rPr>
              <w:t xml:space="preserve">, </w:t>
            </w:r>
            <w:r w:rsidR="00C674A2">
              <w:rPr>
                <w:rFonts w:cs="Arial"/>
                <w:sz w:val="20"/>
                <w:szCs w:val="20"/>
              </w:rPr>
              <w:t>(</w:t>
            </w:r>
            <w:r w:rsidR="00C674A2" w:rsidRPr="00C674A2">
              <w:rPr>
                <w:rFonts w:cs="Arial"/>
                <w:sz w:val="20"/>
                <w:szCs w:val="20"/>
              </w:rPr>
              <w:t xml:space="preserve">w </w:t>
            </w:r>
            <w:r w:rsidR="00C674A2">
              <w:rPr>
                <w:rFonts w:cs="Arial"/>
                <w:sz w:val="20"/>
                <w:szCs w:val="20"/>
              </w:rPr>
              <w:t>zakresie</w:t>
            </w:r>
            <w:r w:rsidR="00C674A2" w:rsidRPr="00C674A2">
              <w:rPr>
                <w:rFonts w:cs="Arial"/>
                <w:sz w:val="20"/>
                <w:szCs w:val="20"/>
              </w:rPr>
              <w:t xml:space="preserve"> doposażania pracowni biologiczno-chemicznych i matematycznych, </w:t>
            </w:r>
            <w:r w:rsidR="00C674A2">
              <w:rPr>
                <w:rFonts w:cs="Arial"/>
                <w:sz w:val="20"/>
                <w:szCs w:val="20"/>
              </w:rPr>
              <w:t>z zastosowaniem</w:t>
            </w:r>
            <w:r w:rsidR="00C674A2" w:rsidRPr="00C674A2">
              <w:rPr>
                <w:rFonts w:cs="Arial"/>
                <w:sz w:val="20"/>
                <w:szCs w:val="20"/>
              </w:rPr>
              <w:t xml:space="preserve"> </w:t>
            </w:r>
            <w:r w:rsidR="00C674A2">
              <w:rPr>
                <w:rFonts w:cs="Arial"/>
                <w:sz w:val="20"/>
                <w:szCs w:val="20"/>
              </w:rPr>
              <w:t>dofinansowania</w:t>
            </w:r>
            <w:r w:rsidR="00C674A2" w:rsidRPr="00C674A2">
              <w:rPr>
                <w:rFonts w:cs="Arial"/>
                <w:sz w:val="20"/>
                <w:szCs w:val="20"/>
              </w:rPr>
              <w:t xml:space="preserve"> w ramach cross financingu – 10% </w:t>
            </w:r>
            <w:r w:rsidR="00C674A2">
              <w:rPr>
                <w:rFonts w:cs="Arial"/>
                <w:sz w:val="20"/>
                <w:szCs w:val="20"/>
              </w:rPr>
              <w:t>względem wartości projektu)</w:t>
            </w:r>
            <w:r w:rsidRPr="00F90BB0">
              <w:rPr>
                <w:rFonts w:cs="Arial"/>
                <w:sz w:val="20"/>
                <w:szCs w:val="20"/>
              </w:rPr>
              <w:t>.</w:t>
            </w:r>
            <w:r w:rsidR="00DA4902">
              <w:rPr>
                <w:rFonts w:cs="Arial"/>
                <w:sz w:val="20"/>
                <w:szCs w:val="20"/>
              </w:rPr>
              <w:t xml:space="preserve"> (s. 157-158</w:t>
            </w:r>
            <w:r w:rsidR="00CB4E3A">
              <w:rPr>
                <w:rFonts w:cs="Arial"/>
                <w:sz w:val="20"/>
                <w:szCs w:val="20"/>
              </w:rPr>
              <w:t>).</w:t>
            </w:r>
          </w:p>
        </w:tc>
        <w:tc>
          <w:tcPr>
            <w:tcW w:w="2268" w:type="dxa"/>
          </w:tcPr>
          <w:p w14:paraId="47CE2DDE"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pl-PL"/>
              </w:rPr>
            </w:pPr>
            <w:r w:rsidRPr="00F90BB0">
              <w:rPr>
                <w:rFonts w:cs="Arial"/>
                <w:sz w:val="20"/>
                <w:szCs w:val="20"/>
              </w:rPr>
              <w:t xml:space="preserve">Instytucja Zarządzająca </w:t>
            </w:r>
            <w:r w:rsidRPr="00F90BB0">
              <w:rPr>
                <w:rFonts w:eastAsia="Times New Roman" w:cs="Arial"/>
                <w:color w:val="000000"/>
                <w:sz w:val="20"/>
                <w:szCs w:val="20"/>
                <w:lang w:eastAsia="pl-PL"/>
              </w:rPr>
              <w:t>RPO WSL 2014-2020</w:t>
            </w:r>
          </w:p>
          <w:p w14:paraId="4BC274F1"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p w14:paraId="7E0D0C7A"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 xml:space="preserve">Instytucje pośredniczące </w:t>
            </w:r>
            <w:r w:rsidRPr="00F90BB0">
              <w:rPr>
                <w:rFonts w:eastAsia="Times New Roman" w:cs="Arial"/>
                <w:color w:val="000000"/>
                <w:sz w:val="20"/>
                <w:szCs w:val="20"/>
                <w:lang w:eastAsia="pl-PL"/>
              </w:rPr>
              <w:t>RPO WSL 2014-2020</w:t>
            </w:r>
          </w:p>
          <w:p w14:paraId="55A496BC"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670" w:type="dxa"/>
          </w:tcPr>
          <w:p w14:paraId="26379239"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 xml:space="preserve">Podczas projektowania Regionalnego Programu Operacyjnego Województwa Śląskiego w ramach perspektywy finansowej 2021-2027 powinno uwzględnić się wsparcie </w:t>
            </w:r>
            <w:r w:rsidR="00C674A2">
              <w:rPr>
                <w:rFonts w:cs="Arial"/>
                <w:sz w:val="20"/>
                <w:szCs w:val="20"/>
              </w:rPr>
              <w:t xml:space="preserve">w formule ZIT/RIT dla </w:t>
            </w:r>
            <w:r w:rsidR="007A6F9E" w:rsidRPr="007A6F9E">
              <w:rPr>
                <w:rFonts w:cs="Arial"/>
                <w:sz w:val="20"/>
                <w:szCs w:val="20"/>
              </w:rPr>
              <w:t xml:space="preserve">szkolnictwa </w:t>
            </w:r>
            <w:r w:rsidR="009A3962">
              <w:rPr>
                <w:rFonts w:cs="Arial"/>
                <w:sz w:val="20"/>
                <w:szCs w:val="20"/>
              </w:rPr>
              <w:t>ogólnego</w:t>
            </w:r>
            <w:r w:rsidR="00C674A2">
              <w:rPr>
                <w:rFonts w:cs="Arial"/>
                <w:sz w:val="20"/>
                <w:szCs w:val="20"/>
              </w:rPr>
              <w:t xml:space="preserve"> (szkoły ponadpodstawowe)</w:t>
            </w:r>
            <w:r w:rsidR="0054374B">
              <w:rPr>
                <w:rFonts w:cs="Arial"/>
                <w:sz w:val="20"/>
                <w:szCs w:val="20"/>
              </w:rPr>
              <w:t xml:space="preserve">. W przypadku kontynuowania wsparcia analogicznego do obecnie wdrażanego w </w:t>
            </w:r>
            <w:r w:rsidR="00FC1039">
              <w:rPr>
                <w:rFonts w:cs="Arial"/>
                <w:sz w:val="20"/>
                <w:szCs w:val="20"/>
              </w:rPr>
              <w:t xml:space="preserve"> </w:t>
            </w:r>
            <w:r w:rsidR="0054374B">
              <w:rPr>
                <w:rFonts w:cs="Arial"/>
                <w:sz w:val="20"/>
                <w:szCs w:val="20"/>
              </w:rPr>
              <w:t xml:space="preserve">ramach Poddziałania 11.1.4 należy </w:t>
            </w:r>
            <w:r w:rsidR="00FC1039">
              <w:rPr>
                <w:rFonts w:cs="Arial"/>
                <w:sz w:val="20"/>
                <w:szCs w:val="20"/>
              </w:rPr>
              <w:t>uwzględnić</w:t>
            </w:r>
            <w:r w:rsidR="0054374B">
              <w:rPr>
                <w:rFonts w:cs="Arial"/>
                <w:sz w:val="20"/>
                <w:szCs w:val="20"/>
              </w:rPr>
              <w:t xml:space="preserve"> również jego realizacje w formule ZIT/RIT.</w:t>
            </w:r>
          </w:p>
        </w:tc>
        <w:tc>
          <w:tcPr>
            <w:tcW w:w="1559" w:type="dxa"/>
          </w:tcPr>
          <w:p w14:paraId="3CF16C13" w14:textId="77777777" w:rsidR="00AD50A3" w:rsidRPr="004F55A6" w:rsidRDefault="0054374B"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4374B">
              <w:rPr>
                <w:rFonts w:eastAsia="Times New Roman" w:cs="Arial"/>
                <w:color w:val="000000"/>
                <w:sz w:val="20"/>
                <w:szCs w:val="20"/>
                <w:lang w:eastAsia="pl-PL"/>
              </w:rPr>
              <w:t>Nowa perspektywa 2021-2027</w:t>
            </w:r>
            <w:r w:rsidR="000B3AF0">
              <w:rPr>
                <w:rFonts w:eastAsia="Times New Roman" w:cs="Arial"/>
                <w:color w:val="000000"/>
                <w:sz w:val="20"/>
                <w:szCs w:val="20"/>
                <w:lang w:eastAsia="pl-PL"/>
              </w:rPr>
              <w:t xml:space="preserve"> - 31.03.2021</w:t>
            </w:r>
          </w:p>
        </w:tc>
        <w:tc>
          <w:tcPr>
            <w:tcW w:w="1583" w:type="dxa"/>
          </w:tcPr>
          <w:p w14:paraId="14CBE6CD" w14:textId="77777777" w:rsidR="00AD50A3" w:rsidRPr="00F90BB0"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Programowa</w:t>
            </w:r>
          </w:p>
          <w:p w14:paraId="6D620E67" w14:textId="77777777" w:rsidR="00AD50A3" w:rsidRPr="004F55A6" w:rsidRDefault="00AD50A3" w:rsidP="00DF64C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90BB0">
              <w:rPr>
                <w:rFonts w:cs="Arial"/>
                <w:sz w:val="20"/>
                <w:szCs w:val="20"/>
              </w:rPr>
              <w:t>operacyjna</w:t>
            </w:r>
          </w:p>
        </w:tc>
      </w:tr>
      <w:tr w:rsidR="00AD50A3" w:rsidRPr="004F55A6" w14:paraId="44E560BC" w14:textId="77777777" w:rsidTr="00E85FEC">
        <w:trPr>
          <w:trHeight w:val="291"/>
        </w:trPr>
        <w:tc>
          <w:tcPr>
            <w:cnfStyle w:val="001000000000" w:firstRow="0" w:lastRow="0" w:firstColumn="1" w:lastColumn="0" w:oddVBand="0" w:evenVBand="0" w:oddHBand="0" w:evenHBand="0" w:firstRowFirstColumn="0" w:firstRowLastColumn="0" w:lastRowFirstColumn="0" w:lastRowLastColumn="0"/>
            <w:tcW w:w="534" w:type="dxa"/>
          </w:tcPr>
          <w:p w14:paraId="61AE1FE4" w14:textId="77777777" w:rsidR="00AD50A3" w:rsidRPr="004F55A6" w:rsidRDefault="0040364F" w:rsidP="00DF64C7">
            <w:pPr>
              <w:jc w:val="left"/>
              <w:rPr>
                <w:rFonts w:cs="Arial"/>
                <w:sz w:val="20"/>
                <w:szCs w:val="20"/>
              </w:rPr>
            </w:pPr>
            <w:r>
              <w:rPr>
                <w:rFonts w:cs="Arial"/>
                <w:sz w:val="20"/>
                <w:szCs w:val="20"/>
              </w:rPr>
              <w:t>6</w:t>
            </w:r>
            <w:r w:rsidR="00AD50A3">
              <w:rPr>
                <w:rFonts w:cs="Arial"/>
                <w:sz w:val="20"/>
                <w:szCs w:val="20"/>
              </w:rPr>
              <w:t>.</w:t>
            </w:r>
          </w:p>
        </w:tc>
        <w:tc>
          <w:tcPr>
            <w:tcW w:w="3000" w:type="dxa"/>
          </w:tcPr>
          <w:p w14:paraId="700A5C92" w14:textId="77777777" w:rsidR="00AD50A3" w:rsidRPr="004F55A6" w:rsidRDefault="00436764"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Ze względu na to, że szkolnictwo wyższe stanowi kontynuację ścieżki edukacji, i</w:t>
            </w:r>
            <w:r w:rsidR="00AD50A3" w:rsidRPr="00F90BB0">
              <w:rPr>
                <w:rFonts w:cs="Arial"/>
                <w:sz w:val="20"/>
                <w:szCs w:val="20"/>
              </w:rPr>
              <w:t>stnieje potrzeba wspierania</w:t>
            </w:r>
            <w:r w:rsidR="007A6F9E" w:rsidRPr="007A6F9E">
              <w:rPr>
                <w:rFonts w:cs="Arial"/>
                <w:sz w:val="20"/>
                <w:szCs w:val="20"/>
              </w:rPr>
              <w:t xml:space="preserve"> </w:t>
            </w:r>
            <w:r>
              <w:rPr>
                <w:rFonts w:cs="Arial"/>
                <w:sz w:val="20"/>
                <w:szCs w:val="20"/>
              </w:rPr>
              <w:t xml:space="preserve">tego sektora edukacji w ramach RPO WSL. </w:t>
            </w:r>
            <w:r w:rsidR="00693A56" w:rsidRPr="00693A56">
              <w:rPr>
                <w:rFonts w:cs="Arial"/>
                <w:sz w:val="20"/>
                <w:szCs w:val="20"/>
              </w:rPr>
              <w:t xml:space="preserve">Doposażenie sal uczelni wyższych i stworzenie warunków do przeprowadzania badań pozwoliłoby na lepsze przygotowanie absolwentów </w:t>
            </w:r>
            <w:r w:rsidR="00693A56">
              <w:rPr>
                <w:rFonts w:cs="Arial"/>
                <w:sz w:val="20"/>
                <w:szCs w:val="20"/>
              </w:rPr>
              <w:t>tychże placówek do płynnego wejś</w:t>
            </w:r>
            <w:r w:rsidR="00693A56" w:rsidRPr="00693A56">
              <w:rPr>
                <w:rFonts w:cs="Arial"/>
                <w:sz w:val="20"/>
                <w:szCs w:val="20"/>
              </w:rPr>
              <w:t xml:space="preserve">cia na lokalny rynek pracy (podobnie jak w przypadku obecnie realizowanego wsparcia dla szkolnictwa zawodowego). </w:t>
            </w:r>
            <w:r>
              <w:rPr>
                <w:rFonts w:cs="Arial"/>
                <w:sz w:val="20"/>
                <w:szCs w:val="20"/>
              </w:rPr>
              <w:t>W tym przypadku szczególnie istotnej jest uwzględnienie w planowanym wsparciu inteligentnych specjalizacji regionu.</w:t>
            </w:r>
            <w:r w:rsidR="00EA061A">
              <w:rPr>
                <w:rFonts w:cs="Arial"/>
                <w:sz w:val="20"/>
                <w:szCs w:val="20"/>
              </w:rPr>
              <w:t xml:space="preserve"> (s. 1</w:t>
            </w:r>
            <w:r w:rsidR="00E17508">
              <w:rPr>
                <w:rFonts w:cs="Arial"/>
                <w:sz w:val="20"/>
                <w:szCs w:val="20"/>
              </w:rPr>
              <w:t>5</w:t>
            </w:r>
            <w:r w:rsidR="00DA4902">
              <w:rPr>
                <w:rFonts w:cs="Arial"/>
                <w:sz w:val="20"/>
                <w:szCs w:val="20"/>
              </w:rPr>
              <w:t>7-158</w:t>
            </w:r>
            <w:r w:rsidR="00EA061A">
              <w:rPr>
                <w:rFonts w:cs="Arial"/>
                <w:sz w:val="20"/>
                <w:szCs w:val="20"/>
              </w:rPr>
              <w:t>)</w:t>
            </w:r>
          </w:p>
        </w:tc>
        <w:tc>
          <w:tcPr>
            <w:tcW w:w="2835" w:type="dxa"/>
          </w:tcPr>
          <w:p w14:paraId="588E38B6" w14:textId="77777777" w:rsidR="00AD50A3" w:rsidRPr="004F55A6"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90BB0">
              <w:rPr>
                <w:rFonts w:cs="Arial"/>
                <w:sz w:val="20"/>
                <w:szCs w:val="20"/>
              </w:rPr>
              <w:t>Rekomenduje się uwzględnienie możliwości wspierania szkolnictwa wyższego w przyszłej perspektywie finansowej</w:t>
            </w:r>
            <w:r w:rsidR="0040364F">
              <w:rPr>
                <w:rFonts w:cs="Arial"/>
                <w:sz w:val="20"/>
                <w:szCs w:val="20"/>
              </w:rPr>
              <w:t xml:space="preserve"> (2021-2027)</w:t>
            </w:r>
            <w:r w:rsidR="00693A56">
              <w:rPr>
                <w:rFonts w:cs="Arial"/>
                <w:sz w:val="20"/>
                <w:szCs w:val="20"/>
              </w:rPr>
              <w:t>, w tym doposażenie sal i laboratoriów, stwarzając warunki do prowadzenia badań w zakresie zgodnym z inteligentnymi specjalizacjami i działalnością lokalnych przedsiębiorstw</w:t>
            </w:r>
            <w:r w:rsidRPr="00F90BB0">
              <w:rPr>
                <w:rFonts w:cs="Arial"/>
                <w:sz w:val="20"/>
                <w:szCs w:val="20"/>
              </w:rPr>
              <w:t>.</w:t>
            </w:r>
            <w:r w:rsidR="00DA4902">
              <w:rPr>
                <w:rFonts w:cs="Arial"/>
                <w:sz w:val="20"/>
                <w:szCs w:val="20"/>
              </w:rPr>
              <w:t xml:space="preserve"> (s. 157-158</w:t>
            </w:r>
            <w:r w:rsidR="00CB4E3A">
              <w:rPr>
                <w:rFonts w:cs="Arial"/>
                <w:sz w:val="20"/>
                <w:szCs w:val="20"/>
              </w:rPr>
              <w:t>).</w:t>
            </w:r>
          </w:p>
        </w:tc>
        <w:tc>
          <w:tcPr>
            <w:tcW w:w="2268" w:type="dxa"/>
          </w:tcPr>
          <w:p w14:paraId="632278B4" w14:textId="77777777" w:rsidR="00AD50A3" w:rsidRPr="00F90BB0" w:rsidRDefault="00AD50A3" w:rsidP="00DF64C7">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pl-PL"/>
              </w:rPr>
            </w:pPr>
            <w:r w:rsidRPr="00F90BB0">
              <w:rPr>
                <w:rFonts w:cs="Arial"/>
                <w:sz w:val="20"/>
                <w:szCs w:val="20"/>
              </w:rPr>
              <w:t xml:space="preserve">Instytucja Zarządzająca </w:t>
            </w:r>
            <w:r w:rsidRPr="00F90BB0">
              <w:rPr>
                <w:rFonts w:eastAsia="Times New Roman" w:cs="Arial"/>
                <w:color w:val="000000"/>
                <w:sz w:val="20"/>
                <w:szCs w:val="20"/>
                <w:lang w:eastAsia="pl-PL"/>
              </w:rPr>
              <w:t>RPO WSL 2014-2020</w:t>
            </w:r>
          </w:p>
          <w:p w14:paraId="3C7D8262" w14:textId="77777777" w:rsidR="00AD50A3" w:rsidRPr="00F90BB0"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35FFC025" w14:textId="77777777" w:rsidR="00AD50A3" w:rsidRPr="004F55A6"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670" w:type="dxa"/>
          </w:tcPr>
          <w:p w14:paraId="2F7B1D6A" w14:textId="77777777" w:rsidR="00AD50A3" w:rsidRPr="004F55A6" w:rsidRDefault="00693A56"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90BB0">
              <w:rPr>
                <w:rFonts w:cs="Arial"/>
                <w:sz w:val="20"/>
                <w:szCs w:val="20"/>
              </w:rPr>
              <w:t xml:space="preserve">Podczas projektowania Regionalnego Programu Operacyjnego Województwa Śląskiego w ramach perspektywy finansowej 2021-2027 powinno uwzględnić się wsparcie </w:t>
            </w:r>
            <w:r>
              <w:rPr>
                <w:rFonts w:cs="Arial"/>
                <w:sz w:val="20"/>
                <w:szCs w:val="20"/>
              </w:rPr>
              <w:t xml:space="preserve">dla uczelni wyższych (w tym doposażenie sal i pracowni), z </w:t>
            </w:r>
            <w:r w:rsidR="00FC1039">
              <w:rPr>
                <w:rFonts w:cs="Arial"/>
                <w:sz w:val="20"/>
                <w:szCs w:val="20"/>
              </w:rPr>
              <w:t>uwzględnieniem</w:t>
            </w:r>
            <w:r>
              <w:rPr>
                <w:rFonts w:cs="Arial"/>
                <w:sz w:val="20"/>
                <w:szCs w:val="20"/>
              </w:rPr>
              <w:t xml:space="preserve"> inteligentnych specjalizacji regionu oraz zakresu działalności lokalnych przedsiębiorstw (głównie medycyna, ochrona środowiska oraz energetyka).</w:t>
            </w:r>
          </w:p>
        </w:tc>
        <w:tc>
          <w:tcPr>
            <w:tcW w:w="1559" w:type="dxa"/>
          </w:tcPr>
          <w:p w14:paraId="21243A69" w14:textId="77777777" w:rsidR="00AD50A3" w:rsidRPr="009F6B38" w:rsidRDefault="009F6B38"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E24BD3">
              <w:rPr>
                <w:sz w:val="20"/>
                <w:szCs w:val="20"/>
              </w:rPr>
              <w:t>Nowa perspektywa 2021-2027</w:t>
            </w:r>
            <w:r w:rsidR="000B3AF0">
              <w:rPr>
                <w:sz w:val="20"/>
                <w:szCs w:val="20"/>
              </w:rPr>
              <w:t xml:space="preserve"> - </w:t>
            </w:r>
            <w:r w:rsidR="000B3AF0">
              <w:rPr>
                <w:rFonts w:eastAsia="Times New Roman" w:cs="Arial"/>
                <w:color w:val="000000"/>
                <w:sz w:val="20"/>
                <w:szCs w:val="20"/>
                <w:lang w:eastAsia="pl-PL"/>
              </w:rPr>
              <w:t>31.03.2021</w:t>
            </w:r>
          </w:p>
        </w:tc>
        <w:tc>
          <w:tcPr>
            <w:tcW w:w="1583" w:type="dxa"/>
          </w:tcPr>
          <w:p w14:paraId="05E18BE4" w14:textId="77777777" w:rsidR="00AD50A3" w:rsidRPr="00F90BB0"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90BB0">
              <w:rPr>
                <w:rFonts w:cs="Arial"/>
                <w:sz w:val="20"/>
                <w:szCs w:val="20"/>
              </w:rPr>
              <w:t>Programowa</w:t>
            </w:r>
          </w:p>
          <w:p w14:paraId="38C050B7" w14:textId="77777777" w:rsidR="00AD50A3" w:rsidRPr="004F55A6" w:rsidRDefault="00AD50A3" w:rsidP="00DF64C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90BB0">
              <w:rPr>
                <w:rFonts w:cs="Arial"/>
                <w:sz w:val="20"/>
                <w:szCs w:val="20"/>
              </w:rPr>
              <w:t>operacyjna</w:t>
            </w:r>
          </w:p>
        </w:tc>
      </w:tr>
    </w:tbl>
    <w:p w14:paraId="2EBCE77C" w14:textId="77777777" w:rsidR="00854A72" w:rsidRDefault="00854A72" w:rsidP="00DF64C7">
      <w:pPr>
        <w:jc w:val="left"/>
        <w:sectPr w:rsidR="00854A72" w:rsidSect="00E85FEC">
          <w:pgSz w:w="16838" w:h="11906" w:orient="landscape"/>
          <w:pgMar w:top="1418" w:right="1418" w:bottom="1418" w:left="1418" w:header="709" w:footer="709" w:gutter="0"/>
          <w:cols w:space="708"/>
          <w:docGrid w:linePitch="360"/>
        </w:sectPr>
      </w:pPr>
    </w:p>
    <w:p w14:paraId="20095C10" w14:textId="77777777" w:rsidR="00177D67" w:rsidRDefault="00854A72" w:rsidP="00DF64C7">
      <w:pPr>
        <w:pStyle w:val="Nagwek1"/>
        <w:jc w:val="left"/>
      </w:pPr>
      <w:bookmarkStart w:id="152" w:name="_Toc38035029"/>
      <w:r>
        <w:t>Bibliografia</w:t>
      </w:r>
      <w:bookmarkEnd w:id="152"/>
    </w:p>
    <w:p w14:paraId="61DFB5EF" w14:textId="24FFCE95" w:rsidR="00854A72" w:rsidRDefault="00854A72" w:rsidP="00DF64C7">
      <w:pPr>
        <w:pStyle w:val="Nagwek3"/>
        <w:numPr>
          <w:ilvl w:val="0"/>
          <w:numId w:val="0"/>
        </w:numPr>
        <w:spacing w:line="271" w:lineRule="auto"/>
        <w:jc w:val="left"/>
      </w:pPr>
      <w:bookmarkStart w:id="153" w:name="_Toc38035030"/>
      <w:r w:rsidRPr="001E4A2D">
        <w:t>Dokumenty programowe</w:t>
      </w:r>
      <w:r>
        <w:t xml:space="preserve">, </w:t>
      </w:r>
      <w:r w:rsidRPr="001E4A2D">
        <w:t>strategiczne</w:t>
      </w:r>
      <w:r>
        <w:t xml:space="preserve"> oraz opracowania</w:t>
      </w:r>
      <w:bookmarkEnd w:id="153"/>
    </w:p>
    <w:p w14:paraId="5E536AEA"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Times New Roman" w:cs="Arial"/>
          <w:color w:val="000000"/>
          <w:lang w:eastAsia="pl-PL"/>
        </w:rPr>
        <w:t>Agenda działań na rzecz równości szans</w:t>
      </w:r>
      <w:r>
        <w:rPr>
          <w:rFonts w:eastAsia="Times New Roman" w:cs="Arial"/>
          <w:color w:val="000000"/>
          <w:lang w:eastAsia="pl-PL"/>
        </w:rPr>
        <w:t xml:space="preserve"> i </w:t>
      </w:r>
      <w:r w:rsidRPr="00E24E5D">
        <w:rPr>
          <w:rFonts w:eastAsia="Times New Roman" w:cs="Arial"/>
          <w:color w:val="000000"/>
          <w:lang w:eastAsia="pl-PL"/>
        </w:rPr>
        <w:t>niedyskryminacji</w:t>
      </w:r>
      <w:r>
        <w:rPr>
          <w:rFonts w:eastAsia="Times New Roman" w:cs="Arial"/>
          <w:color w:val="000000"/>
          <w:lang w:eastAsia="pl-PL"/>
        </w:rPr>
        <w:t xml:space="preserve"> w </w:t>
      </w:r>
      <w:r w:rsidRPr="00E24E5D">
        <w:rPr>
          <w:rFonts w:eastAsia="Times New Roman" w:cs="Arial"/>
          <w:color w:val="000000"/>
          <w:lang w:eastAsia="pl-PL"/>
        </w:rPr>
        <w:t>ramach funduszy unijnych 2014-2020</w:t>
      </w:r>
      <w:r>
        <w:rPr>
          <w:rFonts w:eastAsia="Times New Roman" w:cs="Arial"/>
          <w:color w:val="000000"/>
          <w:lang w:eastAsia="pl-PL"/>
        </w:rPr>
        <w:t>;</w:t>
      </w:r>
    </w:p>
    <w:p w14:paraId="41396BB9"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Analiza sytuacji społeczno-ekonomicznej województwa śląskiego</w:t>
      </w:r>
      <w:r>
        <w:rPr>
          <w:rFonts w:eastAsia="Arial" w:cs="Arial"/>
        </w:rPr>
        <w:t xml:space="preserve"> w </w:t>
      </w:r>
      <w:r w:rsidRPr="00E24E5D">
        <w:rPr>
          <w:rFonts w:eastAsia="Arial" w:cs="Arial"/>
        </w:rPr>
        <w:t>obszarach oddziaływania Europejskiego Funduszu Społec</w:t>
      </w:r>
      <w:r>
        <w:rPr>
          <w:rFonts w:eastAsia="Arial" w:cs="Arial"/>
        </w:rPr>
        <w:t>znego w latach 2007-2015 oraz w </w:t>
      </w:r>
      <w:r w:rsidRPr="00E24E5D">
        <w:rPr>
          <w:rFonts w:eastAsia="Arial" w:cs="Arial"/>
        </w:rPr>
        <w:t>latach 2015-2018</w:t>
      </w:r>
      <w:r>
        <w:rPr>
          <w:rFonts w:eastAsia="Arial" w:cs="Arial"/>
        </w:rPr>
        <w:t>;</w:t>
      </w:r>
    </w:p>
    <w:p w14:paraId="52E67471"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Analiza zapotrzebowania na „białe</w:t>
      </w:r>
      <w:r>
        <w:rPr>
          <w:rFonts w:eastAsia="Arial" w:cs="Arial"/>
        </w:rPr>
        <w:t xml:space="preserve"> i </w:t>
      </w:r>
      <w:r w:rsidRPr="00E24E5D">
        <w:rPr>
          <w:rFonts w:eastAsia="Arial" w:cs="Arial"/>
        </w:rPr>
        <w:t>zielone miejsca pracy”</w:t>
      </w:r>
      <w:r>
        <w:rPr>
          <w:rFonts w:eastAsia="Arial" w:cs="Arial"/>
        </w:rPr>
        <w:t xml:space="preserve"> w </w:t>
      </w:r>
      <w:r w:rsidRPr="00E24E5D">
        <w:rPr>
          <w:rFonts w:eastAsia="Arial" w:cs="Arial"/>
        </w:rPr>
        <w:t>województwie śląskim oraz wskazanie branż kreujących miejsca pracy</w:t>
      </w:r>
      <w:r>
        <w:rPr>
          <w:rFonts w:eastAsia="Arial" w:cs="Arial"/>
        </w:rPr>
        <w:t xml:space="preserve"> w </w:t>
      </w:r>
      <w:r w:rsidRPr="00E24E5D">
        <w:rPr>
          <w:rFonts w:eastAsia="Arial" w:cs="Arial"/>
        </w:rPr>
        <w:t>odniesieniu do wsparcia oferowanego</w:t>
      </w:r>
      <w:r>
        <w:rPr>
          <w:rFonts w:eastAsia="Arial" w:cs="Arial"/>
        </w:rPr>
        <w:t xml:space="preserve"> w </w:t>
      </w:r>
      <w:r w:rsidRPr="00E24E5D">
        <w:rPr>
          <w:rFonts w:eastAsia="Arial" w:cs="Arial"/>
        </w:rPr>
        <w:t>ramach RPO WSL na lata 2014-2020, ECDF, Katowice, 2015;</w:t>
      </w:r>
    </w:p>
    <w:p w14:paraId="6E0E03E4"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Badanie efektów wsparcia zrealizowanego na rzecz osób młodych</w:t>
      </w:r>
      <w:r>
        <w:rPr>
          <w:rFonts w:eastAsia="Arial" w:cs="Arial"/>
        </w:rPr>
        <w:t xml:space="preserve"> w </w:t>
      </w:r>
      <w:r w:rsidRPr="00E24E5D">
        <w:rPr>
          <w:rFonts w:eastAsia="Arial" w:cs="Arial"/>
        </w:rPr>
        <w:t>ramach Programu Operacyjnego Wiedza Edukacja Rozwój. II Raport tematyczny, Warszawa 2019;</w:t>
      </w:r>
    </w:p>
    <w:p w14:paraId="2AB830CC" w14:textId="58AA7883" w:rsidR="00854A72" w:rsidRPr="00E24E5D" w:rsidRDefault="00854A72" w:rsidP="00DF64C7">
      <w:pPr>
        <w:pStyle w:val="Akapitzlist"/>
        <w:numPr>
          <w:ilvl w:val="0"/>
          <w:numId w:val="56"/>
        </w:numPr>
        <w:tabs>
          <w:tab w:val="left" w:pos="993"/>
        </w:tabs>
        <w:ind w:left="993" w:hanging="567"/>
        <w:jc w:val="left"/>
        <w:rPr>
          <w:rFonts w:eastAsia="Arial" w:cs="Arial"/>
        </w:rPr>
      </w:pPr>
      <w:r w:rsidRPr="002529E9">
        <w:rPr>
          <w:rStyle w:val="Hipercze"/>
          <w:rFonts w:eastAsia="Arial" w:cs="Arial"/>
        </w:rPr>
        <w:t>Baza Dobrych Praktyk zawarta na stronie intern</w:t>
      </w:r>
      <w:r w:rsidR="002529E9">
        <w:rPr>
          <w:rStyle w:val="Hipercze"/>
          <w:rFonts w:eastAsia="Arial" w:cs="Arial"/>
        </w:rPr>
        <w:t>etowej Ośrodka Rozwoju Edukacji;</w:t>
      </w:r>
    </w:p>
    <w:p w14:paraId="7734DC65"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Ewaluacja bieżąca wdrażania zintegrowanego podejścia do rozwoju terytorialnego</w:t>
      </w:r>
      <w:r>
        <w:rPr>
          <w:rFonts w:eastAsia="Arial" w:cs="Arial"/>
        </w:rPr>
        <w:t xml:space="preserve"> w </w:t>
      </w:r>
      <w:r w:rsidRPr="00E24E5D">
        <w:rPr>
          <w:rFonts w:eastAsia="Arial" w:cs="Arial"/>
        </w:rPr>
        <w:t xml:space="preserve">ramach Regionalnego Programu Operacyjnego </w:t>
      </w:r>
      <w:r>
        <w:rPr>
          <w:rFonts w:eastAsia="Arial" w:cs="Arial"/>
        </w:rPr>
        <w:t>na lata 2014-2020, Ecorys sp. z </w:t>
      </w:r>
      <w:r w:rsidRPr="00E24E5D">
        <w:rPr>
          <w:rFonts w:eastAsia="Arial" w:cs="Arial"/>
        </w:rPr>
        <w:t>o.o., Katowice 2017;</w:t>
      </w:r>
    </w:p>
    <w:p w14:paraId="41F80A2C"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Ewaluacja działań podejmowanych na rzecz edukacji</w:t>
      </w:r>
      <w:r>
        <w:rPr>
          <w:rFonts w:eastAsia="Arial" w:cs="Arial"/>
        </w:rPr>
        <w:t xml:space="preserve"> w </w:t>
      </w:r>
      <w:r w:rsidRPr="00E24E5D">
        <w:rPr>
          <w:rFonts w:eastAsia="Arial" w:cs="Arial"/>
        </w:rPr>
        <w:t>ramach RPO WK-P;</w:t>
      </w:r>
    </w:p>
    <w:p w14:paraId="63AB2102"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Ewaluacja działań podejmowanych na rzecz edukacji</w:t>
      </w:r>
      <w:r>
        <w:rPr>
          <w:rFonts w:eastAsia="Arial" w:cs="Arial"/>
        </w:rPr>
        <w:t xml:space="preserve"> w </w:t>
      </w:r>
      <w:r w:rsidRPr="00E24E5D">
        <w:rPr>
          <w:rFonts w:eastAsia="Arial" w:cs="Arial"/>
        </w:rPr>
        <w:t>Regionalnym Programie Województwa Mazowieckiego 2014-2020, Warszawa 2019;</w:t>
      </w:r>
    </w:p>
    <w:p w14:paraId="371E4090"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Ewaluacja wsparcia realizowanego</w:t>
      </w:r>
      <w:r>
        <w:rPr>
          <w:rFonts w:eastAsia="Arial" w:cs="Arial"/>
        </w:rPr>
        <w:t xml:space="preserve"> w </w:t>
      </w:r>
      <w:r w:rsidRPr="00E24E5D">
        <w:rPr>
          <w:rFonts w:eastAsia="Arial" w:cs="Arial"/>
        </w:rPr>
        <w:t>obszarze edukacji</w:t>
      </w:r>
      <w:r>
        <w:rPr>
          <w:rFonts w:eastAsia="Arial" w:cs="Arial"/>
        </w:rPr>
        <w:t xml:space="preserve"> w </w:t>
      </w:r>
      <w:r w:rsidRPr="00E24E5D">
        <w:rPr>
          <w:rFonts w:eastAsia="Arial" w:cs="Arial"/>
        </w:rPr>
        <w:t>ramach Europejskiego Funduszu Społecznego – Evalu Sp.</w:t>
      </w:r>
      <w:r>
        <w:rPr>
          <w:rFonts w:eastAsia="Arial" w:cs="Arial"/>
        </w:rPr>
        <w:t xml:space="preserve"> z </w:t>
      </w:r>
      <w:r w:rsidRPr="00E24E5D">
        <w:rPr>
          <w:rFonts w:eastAsia="Arial" w:cs="Arial"/>
        </w:rPr>
        <w:t>o.o., InterActive Sp.</w:t>
      </w:r>
      <w:r>
        <w:rPr>
          <w:rFonts w:eastAsia="Arial" w:cs="Arial"/>
        </w:rPr>
        <w:t xml:space="preserve"> z </w:t>
      </w:r>
      <w:r w:rsidRPr="00E24E5D">
        <w:rPr>
          <w:rFonts w:eastAsia="Arial" w:cs="Arial"/>
        </w:rPr>
        <w:t>o.o.;</w:t>
      </w:r>
    </w:p>
    <w:p w14:paraId="1E9FB14D"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Ewaluacja ex-ante Regionalnego Programu</w:t>
      </w:r>
      <w:r>
        <w:rPr>
          <w:rFonts w:eastAsia="Arial" w:cs="Arial"/>
        </w:rPr>
        <w:t xml:space="preserve"> Operacyjnego na lata 2014-2020;</w:t>
      </w:r>
    </w:p>
    <w:p w14:paraId="6F619A68"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Ewaluacja mid-term dotycząca postępu rzeczowego RPO WSL oraz wkładu Programu</w:t>
      </w:r>
      <w:r>
        <w:rPr>
          <w:rFonts w:eastAsia="Arial" w:cs="Arial"/>
        </w:rPr>
        <w:t xml:space="preserve"> w </w:t>
      </w:r>
      <w:r w:rsidRPr="00E24E5D">
        <w:rPr>
          <w:rFonts w:eastAsia="Arial" w:cs="Arial"/>
        </w:rPr>
        <w:t>realizację unijnej strategii EU 2020 dla potrzeb przeglądu śródokresowego, Pracownia Badań</w:t>
      </w:r>
      <w:r>
        <w:rPr>
          <w:rFonts w:eastAsia="Arial" w:cs="Arial"/>
        </w:rPr>
        <w:t xml:space="preserve"> i </w:t>
      </w:r>
      <w:r w:rsidRPr="00E24E5D">
        <w:rPr>
          <w:rFonts w:eastAsia="Arial" w:cs="Arial"/>
        </w:rPr>
        <w:t>Doradztwa "Re-Source" Korczyński Sarapata Sp. J., kwiecień 2018</w:t>
      </w:r>
      <w:r>
        <w:rPr>
          <w:rFonts w:eastAsia="Arial" w:cs="Arial"/>
        </w:rPr>
        <w:t>;</w:t>
      </w:r>
    </w:p>
    <w:p w14:paraId="0E6D73E8"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Ewaluacja osiągania celów Programu wraz</w:t>
      </w:r>
      <w:r>
        <w:rPr>
          <w:rFonts w:eastAsia="Arial" w:cs="Arial"/>
        </w:rPr>
        <w:t xml:space="preserve"> z </w:t>
      </w:r>
      <w:r w:rsidRPr="00E24E5D">
        <w:rPr>
          <w:rFonts w:eastAsia="Arial" w:cs="Arial"/>
        </w:rPr>
        <w:t>oceną stanu projektów</w:t>
      </w:r>
      <w:r>
        <w:rPr>
          <w:rFonts w:eastAsia="Arial" w:cs="Arial"/>
        </w:rPr>
        <w:t xml:space="preserve"> w </w:t>
      </w:r>
      <w:r w:rsidRPr="00E24E5D">
        <w:rPr>
          <w:rFonts w:eastAsia="Arial" w:cs="Arial"/>
        </w:rPr>
        <w:t>ramach ścieżki pozakonkursowej oraz dużych projektów, EVALU Sp.</w:t>
      </w:r>
      <w:r>
        <w:rPr>
          <w:rFonts w:eastAsia="Arial" w:cs="Arial"/>
        </w:rPr>
        <w:t xml:space="preserve"> z </w:t>
      </w:r>
      <w:r w:rsidRPr="00E24E5D">
        <w:rPr>
          <w:rFonts w:eastAsia="Arial" w:cs="Arial"/>
        </w:rPr>
        <w:t>o.o., Grudzień 2017</w:t>
      </w:r>
      <w:r>
        <w:rPr>
          <w:rFonts w:eastAsia="Arial" w:cs="Arial"/>
        </w:rPr>
        <w:t>;</w:t>
      </w:r>
    </w:p>
    <w:p w14:paraId="180442F5"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Ewaluacja systemu wyboru projektów ze szczególnym uwzględnieniem kryteriów wyboru projektów, Pracownia Badań</w:t>
      </w:r>
      <w:r>
        <w:rPr>
          <w:rFonts w:eastAsia="Arial" w:cs="Arial"/>
        </w:rPr>
        <w:t xml:space="preserve"> i </w:t>
      </w:r>
      <w:r w:rsidRPr="00E24E5D">
        <w:rPr>
          <w:rFonts w:eastAsia="Arial" w:cs="Arial"/>
        </w:rPr>
        <w:t>Doradztwa “Re-Source” Korczyński</w:t>
      </w:r>
      <w:r>
        <w:rPr>
          <w:rFonts w:eastAsia="Arial" w:cs="Arial"/>
        </w:rPr>
        <w:t xml:space="preserve"> Sarapata sp. j., grudzień 2016;</w:t>
      </w:r>
    </w:p>
    <w:p w14:paraId="768962E7" w14:textId="77777777" w:rsidR="00854A72"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Ewaluacja wsparcia realizowanego</w:t>
      </w:r>
      <w:r>
        <w:rPr>
          <w:rFonts w:eastAsia="Arial" w:cs="Arial"/>
        </w:rPr>
        <w:t xml:space="preserve"> w </w:t>
      </w:r>
      <w:r w:rsidRPr="00E24E5D">
        <w:rPr>
          <w:rFonts w:eastAsia="Arial" w:cs="Arial"/>
        </w:rPr>
        <w:t>obszarze edukacji</w:t>
      </w:r>
      <w:r>
        <w:rPr>
          <w:rFonts w:eastAsia="Arial" w:cs="Arial"/>
        </w:rPr>
        <w:t xml:space="preserve"> w </w:t>
      </w:r>
      <w:r w:rsidRPr="00E24E5D">
        <w:rPr>
          <w:rFonts w:eastAsia="Arial" w:cs="Arial"/>
        </w:rPr>
        <w:t>ramach Europejskiego Funduszu Społecznego – Evalu Sp.</w:t>
      </w:r>
      <w:r>
        <w:rPr>
          <w:rFonts w:eastAsia="Arial" w:cs="Arial"/>
        </w:rPr>
        <w:t xml:space="preserve"> z </w:t>
      </w:r>
      <w:r w:rsidRPr="00E24E5D">
        <w:rPr>
          <w:rFonts w:eastAsia="Arial" w:cs="Arial"/>
        </w:rPr>
        <w:t>o.o., InterActive Sp.</w:t>
      </w:r>
      <w:r>
        <w:rPr>
          <w:rFonts w:eastAsia="Arial" w:cs="Arial"/>
        </w:rPr>
        <w:t xml:space="preserve"> z </w:t>
      </w:r>
      <w:r w:rsidRPr="00E24E5D">
        <w:rPr>
          <w:rFonts w:eastAsia="Arial" w:cs="Arial"/>
        </w:rPr>
        <w:t>o.o.</w:t>
      </w:r>
      <w:r>
        <w:rPr>
          <w:rFonts w:eastAsia="Arial" w:cs="Arial"/>
        </w:rPr>
        <w:t>;</w:t>
      </w:r>
    </w:p>
    <w:p w14:paraId="0FA43713"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737995">
        <w:rPr>
          <w:rFonts w:eastAsia="Arial" w:cs="Arial"/>
        </w:rPr>
        <w:t>Jak zwiększyć trwałość rezultatów projektów? Wyniki badania trwałości przedsięwzięć realizowanych przez laureatów konkursu EDUinspiracje z lat 2011–2016, Joanna Dąbrowska-Resiak, Fundacja Rozwoju Systemu Edukacji, Warszawa 2018.</w:t>
      </w:r>
    </w:p>
    <w:p w14:paraId="29E190D2"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Komplementarność interwencji realizowanych</w:t>
      </w:r>
      <w:r>
        <w:rPr>
          <w:rFonts w:eastAsia="Arial" w:cs="Arial"/>
        </w:rPr>
        <w:t xml:space="preserve"> w </w:t>
      </w:r>
      <w:r w:rsidRPr="00E24E5D">
        <w:rPr>
          <w:rFonts w:eastAsia="Arial" w:cs="Arial"/>
        </w:rPr>
        <w:t>ramach RPO WSL 2014-2020 – ocena mechanizmów wdrażania projektów komplementarnych, Dyspersja Anna Chrościcka</w:t>
      </w:r>
      <w:r>
        <w:rPr>
          <w:rFonts w:eastAsia="Arial" w:cs="Arial"/>
        </w:rPr>
        <w:t xml:space="preserve"> z </w:t>
      </w:r>
      <w:r w:rsidRPr="00E24E5D">
        <w:rPr>
          <w:rFonts w:eastAsia="Arial" w:cs="Arial"/>
        </w:rPr>
        <w:t>siedzibą</w:t>
      </w:r>
      <w:r>
        <w:rPr>
          <w:rFonts w:eastAsia="Arial" w:cs="Arial"/>
        </w:rPr>
        <w:t xml:space="preserve"> w </w:t>
      </w:r>
      <w:r w:rsidRPr="00E24E5D">
        <w:rPr>
          <w:rFonts w:eastAsia="Arial" w:cs="Arial"/>
        </w:rPr>
        <w:t>Warszawie, Grudzień 2017 r.</w:t>
      </w:r>
      <w:r>
        <w:rPr>
          <w:rFonts w:eastAsia="Arial" w:cs="Arial"/>
        </w:rPr>
        <w:t>;</w:t>
      </w:r>
    </w:p>
    <w:p w14:paraId="4D7D959D" w14:textId="77777777" w:rsidR="00854A72" w:rsidRDefault="00854A72" w:rsidP="00DF64C7">
      <w:pPr>
        <w:pStyle w:val="Akapitzlist"/>
        <w:numPr>
          <w:ilvl w:val="0"/>
          <w:numId w:val="56"/>
        </w:numPr>
        <w:tabs>
          <w:tab w:val="left" w:pos="993"/>
        </w:tabs>
        <w:ind w:left="993" w:hanging="567"/>
        <w:jc w:val="left"/>
        <w:rPr>
          <w:rFonts w:eastAsia="Arial" w:cs="Arial"/>
        </w:rPr>
      </w:pPr>
      <w:r>
        <w:rPr>
          <w:rFonts w:eastAsia="Arial" w:cs="Arial"/>
        </w:rPr>
        <w:t xml:space="preserve">Strona internetowa </w:t>
      </w:r>
      <w:hyperlink r:id="rId86" w:history="1">
        <w:r w:rsidRPr="003769D9">
          <w:rPr>
            <w:rStyle w:val="Hipercze"/>
            <w:rFonts w:eastAsia="Arial" w:cs="Arial"/>
          </w:rPr>
          <w:t xml:space="preserve">Kuratorium Oświaty w Katowicach </w:t>
        </w:r>
      </w:hyperlink>
      <w:r>
        <w:rPr>
          <w:rFonts w:eastAsia="Arial" w:cs="Arial"/>
        </w:rPr>
        <w:t>;</w:t>
      </w:r>
    </w:p>
    <w:p w14:paraId="65E19341" w14:textId="77777777" w:rsidR="00854A72" w:rsidRDefault="00854A72" w:rsidP="00DF64C7">
      <w:pPr>
        <w:pStyle w:val="Akapitzlist"/>
        <w:numPr>
          <w:ilvl w:val="0"/>
          <w:numId w:val="56"/>
        </w:numPr>
        <w:tabs>
          <w:tab w:val="left" w:pos="993"/>
        </w:tabs>
        <w:ind w:left="993" w:hanging="567"/>
        <w:jc w:val="left"/>
        <w:rPr>
          <w:rFonts w:eastAsia="Arial" w:cs="Arial"/>
        </w:rPr>
      </w:pPr>
      <w:r w:rsidRPr="00395C73">
        <w:rPr>
          <w:rFonts w:eastAsia="Arial" w:cs="Arial"/>
        </w:rPr>
        <w:t>Lista projektów współfinansowanych</w:t>
      </w:r>
      <w:r>
        <w:rPr>
          <w:rFonts w:eastAsia="Arial" w:cs="Arial"/>
        </w:rPr>
        <w:t xml:space="preserve"> z </w:t>
      </w:r>
      <w:r w:rsidRPr="00395C73">
        <w:rPr>
          <w:rFonts w:eastAsia="Arial" w:cs="Arial"/>
        </w:rPr>
        <w:t xml:space="preserve">funduszy europejskich (dostępna na stronie </w:t>
      </w:r>
      <w:r w:rsidRPr="00322558">
        <w:rPr>
          <w:rFonts w:eastAsia="Arial" w:cs="Arial"/>
        </w:rPr>
        <w:t>MFiPR</w:t>
      </w:r>
      <w:r>
        <w:rPr>
          <w:rFonts w:eastAsia="Arial" w:cs="Arial"/>
        </w:rPr>
        <w:t>);</w:t>
      </w:r>
    </w:p>
    <w:p w14:paraId="19DB220C"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Metaanaliza wyników badań ewaluacyjnych dotyc</w:t>
      </w:r>
      <w:r>
        <w:rPr>
          <w:rFonts w:eastAsia="Arial" w:cs="Arial"/>
        </w:rPr>
        <w:t>zących oceny wsparcia z EFS – I </w:t>
      </w:r>
      <w:r w:rsidRPr="00E24E5D">
        <w:rPr>
          <w:rFonts w:eastAsia="Arial" w:cs="Arial"/>
        </w:rPr>
        <w:t>raport cząstkowy, Warszawa 2017;</w:t>
      </w:r>
    </w:p>
    <w:p w14:paraId="06B5DC63"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Model wdrożeniowy Regionalnej Strategii Innowacji Województwa Śląskiego na lata 2013-2020 (wersja 2.0</w:t>
      </w:r>
      <w:r>
        <w:rPr>
          <w:rFonts w:eastAsia="Arial" w:cs="Arial"/>
        </w:rPr>
        <w:t xml:space="preserve"> z </w:t>
      </w:r>
      <w:r w:rsidRPr="00E24E5D">
        <w:rPr>
          <w:rFonts w:eastAsia="Arial" w:cs="Arial"/>
        </w:rPr>
        <w:t>dn. 10.04.2018);</w:t>
      </w:r>
    </w:p>
    <w:p w14:paraId="09D47405"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Monitoring zawodów deficytowych</w:t>
      </w:r>
      <w:r>
        <w:rPr>
          <w:rFonts w:eastAsia="Arial" w:cs="Arial"/>
        </w:rPr>
        <w:t xml:space="preserve"> i </w:t>
      </w:r>
      <w:r w:rsidRPr="00E24E5D">
        <w:rPr>
          <w:rFonts w:eastAsia="Arial" w:cs="Arial"/>
        </w:rPr>
        <w:t>nadwyżkowych, WUP Katowice;</w:t>
      </w:r>
    </w:p>
    <w:p w14:paraId="3673A42E"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Poradnik dotyczący zasady równości szans kobiet</w:t>
      </w:r>
      <w:r>
        <w:rPr>
          <w:rFonts w:eastAsia="Arial" w:cs="Arial"/>
        </w:rPr>
        <w:t xml:space="preserve"> i </w:t>
      </w:r>
      <w:r w:rsidRPr="00E24E5D">
        <w:rPr>
          <w:rFonts w:eastAsia="Arial" w:cs="Arial"/>
        </w:rPr>
        <w:t>mężczyzn</w:t>
      </w:r>
      <w:r>
        <w:rPr>
          <w:rFonts w:eastAsia="Arial" w:cs="Arial"/>
        </w:rPr>
        <w:t xml:space="preserve"> w </w:t>
      </w:r>
      <w:r w:rsidRPr="00E24E5D">
        <w:rPr>
          <w:rFonts w:eastAsia="Arial" w:cs="Arial"/>
        </w:rPr>
        <w:t>fundus</w:t>
      </w:r>
      <w:r>
        <w:rPr>
          <w:rFonts w:eastAsia="Arial" w:cs="Arial"/>
        </w:rPr>
        <w:t>zach unijnych na lata 2014-2020;</w:t>
      </w:r>
    </w:p>
    <w:p w14:paraId="0D6E53AD"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Prognoza potrzeb rynku pracy województwa</w:t>
      </w:r>
      <w:r>
        <w:rPr>
          <w:rFonts w:eastAsia="Arial" w:cs="Arial"/>
        </w:rPr>
        <w:t xml:space="preserve"> śląskiego w kontekście branż i </w:t>
      </w:r>
      <w:r w:rsidRPr="00E24E5D">
        <w:rPr>
          <w:rFonts w:eastAsia="Arial" w:cs="Arial"/>
        </w:rPr>
        <w:t>zawodów,</w:t>
      </w:r>
      <w:r>
        <w:rPr>
          <w:rFonts w:eastAsia="Arial" w:cs="Arial"/>
        </w:rPr>
        <w:t xml:space="preserve"> w </w:t>
      </w:r>
      <w:r w:rsidRPr="00E24E5D">
        <w:rPr>
          <w:rFonts w:eastAsia="Arial" w:cs="Arial"/>
        </w:rPr>
        <w:t>których do roku 2022 wystąpi deficyt wykwalifikowanych pracowników</w:t>
      </w:r>
      <w:r>
        <w:rPr>
          <w:rFonts w:eastAsia="Arial" w:cs="Arial"/>
        </w:rPr>
        <w:t xml:space="preserve"> i </w:t>
      </w:r>
      <w:r w:rsidRPr="00E24E5D">
        <w:rPr>
          <w:rFonts w:eastAsia="Arial" w:cs="Arial"/>
        </w:rPr>
        <w:t>dla których niezbędne będzie t</w:t>
      </w:r>
      <w:r>
        <w:rPr>
          <w:rFonts w:eastAsia="Arial" w:cs="Arial"/>
        </w:rPr>
        <w:t>worzenie CKZIU, Openfield sp. z </w:t>
      </w:r>
      <w:r w:rsidRPr="00E24E5D">
        <w:rPr>
          <w:rFonts w:eastAsia="Arial" w:cs="Arial"/>
        </w:rPr>
        <w:t>o.o., Katowice 2016;</w:t>
      </w:r>
    </w:p>
    <w:p w14:paraId="5C8CDAF4" w14:textId="77777777" w:rsidR="00854A72" w:rsidRDefault="00854A72" w:rsidP="00DF64C7">
      <w:pPr>
        <w:pStyle w:val="Akapitzlist"/>
        <w:numPr>
          <w:ilvl w:val="0"/>
          <w:numId w:val="56"/>
        </w:numPr>
        <w:tabs>
          <w:tab w:val="left" w:pos="993"/>
        </w:tabs>
        <w:ind w:left="993" w:hanging="567"/>
        <w:jc w:val="left"/>
        <w:rPr>
          <w:rFonts w:eastAsia="Arial" w:cs="Arial"/>
        </w:rPr>
      </w:pPr>
      <w:r w:rsidRPr="00395C73">
        <w:rPr>
          <w:rFonts w:eastAsia="Arial" w:cs="Arial"/>
        </w:rPr>
        <w:t>Program Rozwoju Szkolnictwa Zawodowego Województwa Śląskiego na lata 2014-2020, Katowice 2015;</w:t>
      </w:r>
    </w:p>
    <w:p w14:paraId="22B8AAF1"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Program Rozwoju Technologii Województwa Śląskiego na lata 2010-2020 (wersja</w:t>
      </w:r>
      <w:r>
        <w:rPr>
          <w:rFonts w:eastAsia="Arial" w:cs="Arial"/>
        </w:rPr>
        <w:t xml:space="preserve"> z </w:t>
      </w:r>
      <w:r w:rsidRPr="00E24E5D">
        <w:rPr>
          <w:rFonts w:eastAsia="Arial" w:cs="Arial"/>
        </w:rPr>
        <w:t>dn. 29.03.2011);</w:t>
      </w:r>
    </w:p>
    <w:p w14:paraId="2182B366"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Przewodnik dla beneficjentów EFRR RPO WSL 2014-2020 (wersja 12), Katowice, 18 września 2019 r.</w:t>
      </w:r>
      <w:r>
        <w:rPr>
          <w:rFonts w:eastAsia="Arial" w:cs="Arial"/>
        </w:rPr>
        <w:t>;</w:t>
      </w:r>
    </w:p>
    <w:p w14:paraId="2E290D59"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Realizacja zasady równości szans</w:t>
      </w:r>
      <w:r>
        <w:rPr>
          <w:rFonts w:eastAsia="Arial" w:cs="Arial"/>
        </w:rPr>
        <w:t xml:space="preserve"> i </w:t>
      </w:r>
      <w:r w:rsidRPr="00E24E5D">
        <w:rPr>
          <w:rFonts w:eastAsia="Arial" w:cs="Arial"/>
        </w:rPr>
        <w:t>niedyskryminacji,</w:t>
      </w:r>
      <w:r>
        <w:rPr>
          <w:rFonts w:eastAsia="Arial" w:cs="Arial"/>
        </w:rPr>
        <w:t xml:space="preserve"> w </w:t>
      </w:r>
      <w:r w:rsidRPr="00E24E5D">
        <w:rPr>
          <w:rFonts w:eastAsia="Arial" w:cs="Arial"/>
        </w:rPr>
        <w:t>tym dostępności dla osób</w:t>
      </w:r>
      <w:r>
        <w:rPr>
          <w:rFonts w:eastAsia="Arial" w:cs="Arial"/>
        </w:rPr>
        <w:t xml:space="preserve"> z </w:t>
      </w:r>
      <w:r w:rsidRPr="00E24E5D">
        <w:rPr>
          <w:rFonts w:eastAsia="Arial" w:cs="Arial"/>
        </w:rPr>
        <w:t>niepełnosprawnościami. Poradnik dla realizatorów projektów</w:t>
      </w:r>
      <w:r>
        <w:rPr>
          <w:rFonts w:eastAsia="Arial" w:cs="Arial"/>
        </w:rPr>
        <w:t xml:space="preserve"> i </w:t>
      </w:r>
      <w:r w:rsidRPr="00E24E5D">
        <w:rPr>
          <w:rFonts w:eastAsia="Arial" w:cs="Arial"/>
        </w:rPr>
        <w:t>instytucji systemu wdrażania Funduszy Europejskich 2014-2020</w:t>
      </w:r>
      <w:r>
        <w:rPr>
          <w:rFonts w:eastAsia="Arial" w:cs="Arial"/>
        </w:rPr>
        <w:t>;</w:t>
      </w:r>
    </w:p>
    <w:p w14:paraId="77F1D922" w14:textId="77777777" w:rsidR="00854A72" w:rsidRPr="00E24E5D"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Regionalna Strategia Innowacji Województwa Śląskiego na lata 2013-2020 (wersja</w:t>
      </w:r>
      <w:r>
        <w:rPr>
          <w:rFonts w:eastAsia="Arial" w:cs="Arial"/>
        </w:rPr>
        <w:t xml:space="preserve"> z </w:t>
      </w:r>
      <w:r w:rsidRPr="00E24E5D">
        <w:rPr>
          <w:rFonts w:eastAsia="Arial" w:cs="Arial"/>
        </w:rPr>
        <w:t>dn. 20.12.2012);</w:t>
      </w:r>
    </w:p>
    <w:p w14:paraId="1423EA56" w14:textId="77777777" w:rsidR="00854A72" w:rsidRDefault="00854A72" w:rsidP="00DF64C7">
      <w:pPr>
        <w:pStyle w:val="Akapitzlist"/>
        <w:numPr>
          <w:ilvl w:val="0"/>
          <w:numId w:val="56"/>
        </w:numPr>
        <w:tabs>
          <w:tab w:val="left" w:pos="993"/>
        </w:tabs>
        <w:ind w:left="993" w:hanging="567"/>
        <w:jc w:val="left"/>
        <w:rPr>
          <w:rFonts w:eastAsia="Arial" w:cs="Arial"/>
        </w:rPr>
      </w:pPr>
      <w:r w:rsidRPr="00E24E5D">
        <w:rPr>
          <w:rFonts w:eastAsia="Arial" w:cs="Arial"/>
        </w:rPr>
        <w:t>Regionalny Program Operacyjny Województwa Śląskiego na lata 2014-2020 (wersja</w:t>
      </w:r>
      <w:r>
        <w:rPr>
          <w:rFonts w:eastAsia="Arial" w:cs="Arial"/>
        </w:rPr>
        <w:t xml:space="preserve"> z </w:t>
      </w:r>
      <w:r w:rsidRPr="00E24E5D">
        <w:rPr>
          <w:rFonts w:eastAsia="Arial" w:cs="Arial"/>
        </w:rPr>
        <w:t>dn. 3.04.2019);</w:t>
      </w:r>
    </w:p>
    <w:p w14:paraId="40E197D2" w14:textId="77777777" w:rsidR="00854A72" w:rsidRPr="00395C73" w:rsidRDefault="00064BAA" w:rsidP="00DF64C7">
      <w:pPr>
        <w:pStyle w:val="Akapitzlist"/>
        <w:numPr>
          <w:ilvl w:val="0"/>
          <w:numId w:val="56"/>
        </w:numPr>
        <w:tabs>
          <w:tab w:val="left" w:pos="993"/>
        </w:tabs>
        <w:ind w:left="993" w:hanging="567"/>
        <w:jc w:val="left"/>
        <w:rPr>
          <w:rFonts w:eastAsia="Arial" w:cs="Arial"/>
        </w:rPr>
      </w:pPr>
      <w:hyperlink r:id="rId87" w:history="1">
        <w:r w:rsidR="00854A72" w:rsidRPr="003769D9">
          <w:rPr>
            <w:rStyle w:val="Hipercze"/>
            <w:rFonts w:eastAsia="Arial" w:cs="Arial"/>
          </w:rPr>
          <w:t>Strategia Regionalnych Inwestycji Terytorialnych Subregionu Południowego Województwa Śląskiego na lata 2014-2020. Bielsko-Biała, październik 2015 r.</w:t>
        </w:r>
      </w:hyperlink>
      <w:r w:rsidR="00854A72" w:rsidRPr="00395C73">
        <w:rPr>
          <w:rFonts w:eastAsia="Arial" w:cs="Arial"/>
        </w:rPr>
        <w:t>;</w:t>
      </w:r>
    </w:p>
    <w:p w14:paraId="298A1E12" w14:textId="77777777" w:rsidR="00854A72" w:rsidRPr="00395C73" w:rsidRDefault="00064BAA" w:rsidP="00DF64C7">
      <w:pPr>
        <w:pStyle w:val="Akapitzlist"/>
        <w:numPr>
          <w:ilvl w:val="0"/>
          <w:numId w:val="56"/>
        </w:numPr>
        <w:tabs>
          <w:tab w:val="left" w:pos="993"/>
        </w:tabs>
        <w:ind w:left="993" w:hanging="567"/>
        <w:jc w:val="left"/>
        <w:rPr>
          <w:rFonts w:eastAsia="Arial" w:cs="Arial"/>
        </w:rPr>
      </w:pPr>
      <w:hyperlink r:id="rId88" w:history="1">
        <w:r w:rsidR="00854A72" w:rsidRPr="003769D9">
          <w:rPr>
            <w:rStyle w:val="Hipercze"/>
            <w:rFonts w:eastAsia="Arial" w:cs="Arial"/>
          </w:rPr>
          <w:t xml:space="preserve">Strategia Regionalnych Inwestycji Terytorialnych Subregionu Północnego. Częstochowa, sierpień 2016 r. </w:t>
        </w:r>
      </w:hyperlink>
      <w:r w:rsidR="00854A72" w:rsidRPr="00395C73">
        <w:rPr>
          <w:rFonts w:eastAsia="Arial" w:cs="Arial"/>
        </w:rPr>
        <w:t>;</w:t>
      </w:r>
    </w:p>
    <w:p w14:paraId="32B056A8" w14:textId="77777777" w:rsidR="00854A72" w:rsidRPr="00395C73" w:rsidRDefault="00064BAA" w:rsidP="00DF64C7">
      <w:pPr>
        <w:pStyle w:val="Akapitzlist"/>
        <w:numPr>
          <w:ilvl w:val="0"/>
          <w:numId w:val="56"/>
        </w:numPr>
        <w:tabs>
          <w:tab w:val="left" w:pos="993"/>
        </w:tabs>
        <w:ind w:left="993" w:hanging="567"/>
        <w:jc w:val="left"/>
        <w:rPr>
          <w:rFonts w:eastAsia="Arial" w:cs="Arial"/>
        </w:rPr>
      </w:pPr>
      <w:hyperlink r:id="rId89" w:history="1">
        <w:r w:rsidR="00854A72" w:rsidRPr="003769D9">
          <w:rPr>
            <w:rStyle w:val="Hipercze"/>
            <w:rFonts w:eastAsia="Arial" w:cs="Arial"/>
          </w:rPr>
          <w:t xml:space="preserve">Strategia Regionalnych Inwestycji Terytorialnych Subregionu Zachodniego Województwa Śląskiego. Rybnik, kwiecień 2016 r. </w:t>
        </w:r>
      </w:hyperlink>
      <w:r w:rsidR="00854A72" w:rsidRPr="00395C73">
        <w:rPr>
          <w:rFonts w:eastAsia="Arial" w:cs="Arial"/>
        </w:rPr>
        <w:t>;</w:t>
      </w:r>
    </w:p>
    <w:p w14:paraId="31F934C3" w14:textId="77777777" w:rsidR="00854A72" w:rsidRDefault="00854A72" w:rsidP="00DF64C7">
      <w:pPr>
        <w:pStyle w:val="Akapitzlist"/>
        <w:numPr>
          <w:ilvl w:val="0"/>
          <w:numId w:val="56"/>
        </w:numPr>
        <w:tabs>
          <w:tab w:val="left" w:pos="993"/>
        </w:tabs>
        <w:ind w:left="993" w:hanging="567"/>
        <w:jc w:val="left"/>
        <w:rPr>
          <w:rFonts w:eastAsia="Arial" w:cs="Arial"/>
        </w:rPr>
      </w:pPr>
      <w:r w:rsidRPr="00395C73">
        <w:rPr>
          <w:rFonts w:eastAsia="Arial" w:cs="Arial"/>
        </w:rPr>
        <w:t>Strategia Rozwoju Województwa Śląskiego „Śląskie 2020+” (wersja</w:t>
      </w:r>
      <w:r>
        <w:rPr>
          <w:rFonts w:eastAsia="Arial" w:cs="Arial"/>
        </w:rPr>
        <w:t xml:space="preserve"> z </w:t>
      </w:r>
      <w:r w:rsidRPr="00395C73">
        <w:rPr>
          <w:rFonts w:eastAsia="Arial" w:cs="Arial"/>
        </w:rPr>
        <w:t>lipca 2013);</w:t>
      </w:r>
    </w:p>
    <w:p w14:paraId="4069EC7D" w14:textId="77777777" w:rsidR="00854A72" w:rsidRDefault="00064BAA" w:rsidP="00DF64C7">
      <w:pPr>
        <w:pStyle w:val="Akapitzlist"/>
        <w:numPr>
          <w:ilvl w:val="0"/>
          <w:numId w:val="56"/>
        </w:numPr>
        <w:tabs>
          <w:tab w:val="left" w:pos="993"/>
        </w:tabs>
        <w:ind w:left="993" w:hanging="567"/>
        <w:jc w:val="left"/>
        <w:rPr>
          <w:rFonts w:eastAsia="Arial" w:cs="Arial"/>
        </w:rPr>
      </w:pPr>
      <w:hyperlink r:id="rId90" w:history="1">
        <w:r w:rsidR="00854A72" w:rsidRPr="00D36246">
          <w:rPr>
            <w:rStyle w:val="Hipercze"/>
            <w:rFonts w:eastAsia="Arial" w:cs="Arial"/>
          </w:rPr>
          <w:t>Strategia Zintegrowanych Inwestycji Terytorialnych Subregionu Centralnego Województwa Śląskiego na lata 2014 – 2020, Wersja IX. Gliwice, listopad 2016 r.</w:t>
        </w:r>
      </w:hyperlink>
      <w:r w:rsidR="00854A72" w:rsidRPr="00395C73">
        <w:rPr>
          <w:rFonts w:eastAsia="Arial" w:cs="Arial"/>
        </w:rPr>
        <w:t>;</w:t>
      </w:r>
    </w:p>
    <w:p w14:paraId="3AA25479" w14:textId="77777777" w:rsidR="00854A72" w:rsidRDefault="00854A72" w:rsidP="00DF64C7">
      <w:pPr>
        <w:pStyle w:val="Akapitzlist"/>
        <w:numPr>
          <w:ilvl w:val="0"/>
          <w:numId w:val="56"/>
        </w:numPr>
        <w:tabs>
          <w:tab w:val="left" w:pos="993"/>
        </w:tabs>
        <w:ind w:left="993" w:hanging="567"/>
        <w:jc w:val="left"/>
        <w:rPr>
          <w:rFonts w:eastAsia="Arial"/>
        </w:rPr>
      </w:pPr>
      <w:r w:rsidRPr="00395C73">
        <w:rPr>
          <w:rFonts w:eastAsia="Arial"/>
        </w:rPr>
        <w:t>Szczegółowy Opis Osi Priorytetowych Regionalnego Programu Operacyjnego Województwa Śląskiego 2014-2020 (SZOOP) wraz</w:t>
      </w:r>
      <w:r>
        <w:rPr>
          <w:rFonts w:eastAsia="Arial"/>
        </w:rPr>
        <w:t xml:space="preserve"> z </w:t>
      </w:r>
      <w:r w:rsidRPr="00395C73">
        <w:rPr>
          <w:rFonts w:eastAsia="Arial"/>
        </w:rPr>
        <w:t>załącznikami (wersja</w:t>
      </w:r>
      <w:r>
        <w:rPr>
          <w:rFonts w:eastAsia="Arial"/>
        </w:rPr>
        <w:t xml:space="preserve"> z </w:t>
      </w:r>
      <w:r w:rsidRPr="00395C73">
        <w:rPr>
          <w:rFonts w:eastAsia="Arial"/>
        </w:rPr>
        <w:t>dn. 2.10.2019);</w:t>
      </w:r>
    </w:p>
    <w:p w14:paraId="008F705D" w14:textId="77777777" w:rsidR="00854A72" w:rsidRDefault="00854A72" w:rsidP="00DF64C7">
      <w:pPr>
        <w:pStyle w:val="Akapitzlist"/>
        <w:numPr>
          <w:ilvl w:val="0"/>
          <w:numId w:val="56"/>
        </w:numPr>
        <w:tabs>
          <w:tab w:val="left" w:pos="993"/>
        </w:tabs>
        <w:ind w:left="993" w:hanging="567"/>
        <w:jc w:val="left"/>
        <w:rPr>
          <w:rFonts w:eastAsia="Arial" w:cs="Arial"/>
        </w:rPr>
      </w:pPr>
      <w:r w:rsidRPr="002060C5">
        <w:rPr>
          <w:rFonts w:eastAsia="Arial" w:cs="Arial"/>
        </w:rPr>
        <w:t>Sytuacja społeczno-gospodarcza osób do 30 roku życia</w:t>
      </w:r>
      <w:r>
        <w:rPr>
          <w:rFonts w:eastAsia="Arial" w:cs="Arial"/>
        </w:rPr>
        <w:t xml:space="preserve"> w </w:t>
      </w:r>
      <w:r w:rsidRPr="002060C5">
        <w:rPr>
          <w:rFonts w:eastAsia="Arial" w:cs="Arial"/>
        </w:rPr>
        <w:t>województwie śląskim, RCAS UM WSL, Katowice 2017;</w:t>
      </w:r>
    </w:p>
    <w:p w14:paraId="19D6616D" w14:textId="77777777" w:rsidR="00854A72" w:rsidRPr="009E4D62" w:rsidRDefault="00854A72" w:rsidP="00DF64C7">
      <w:pPr>
        <w:pStyle w:val="Akapitzlist"/>
        <w:numPr>
          <w:ilvl w:val="0"/>
          <w:numId w:val="56"/>
        </w:numPr>
        <w:tabs>
          <w:tab w:val="left" w:pos="993"/>
        </w:tabs>
        <w:ind w:left="993" w:hanging="567"/>
        <w:jc w:val="left"/>
        <w:rPr>
          <w:rFonts w:eastAsia="Arial"/>
        </w:rPr>
      </w:pPr>
      <w:r w:rsidRPr="009E4D62">
        <w:rPr>
          <w:rFonts w:eastAsia="Arial"/>
        </w:rPr>
        <w:t>Zapotrzebowanie na kwalifikacje/umie</w:t>
      </w:r>
      <w:r>
        <w:rPr>
          <w:rFonts w:eastAsia="Arial"/>
        </w:rPr>
        <w:t>jętności w przedsiębiorstwach w woj. śląskim, Grupa BST, EU-Consult, Katowice 2017</w:t>
      </w:r>
      <w:r w:rsidRPr="009E4D62">
        <w:rPr>
          <w:rFonts w:eastAsia="Arial"/>
        </w:rPr>
        <w:t>;</w:t>
      </w:r>
    </w:p>
    <w:p w14:paraId="50644A92" w14:textId="144BAA9A" w:rsidR="00854A72" w:rsidRDefault="00854A72" w:rsidP="00DF64C7">
      <w:pPr>
        <w:pStyle w:val="Akapitzlist"/>
        <w:numPr>
          <w:ilvl w:val="0"/>
          <w:numId w:val="56"/>
        </w:numPr>
        <w:tabs>
          <w:tab w:val="left" w:pos="993"/>
        </w:tabs>
        <w:ind w:left="993" w:hanging="567"/>
        <w:jc w:val="left"/>
        <w:rPr>
          <w:rFonts w:eastAsia="Arial"/>
        </w:rPr>
      </w:pPr>
      <w:r w:rsidRPr="009E4D62">
        <w:rPr>
          <w:rFonts w:eastAsia="Arial"/>
        </w:rPr>
        <w:t>Dane statystyczne (Bank Danych Lokalnych Głównego Urzędu Statystycznego</w:t>
      </w:r>
      <w:r>
        <w:rPr>
          <w:rStyle w:val="Odwoanieprzypisudolnego"/>
          <w:rFonts w:eastAsia="Arial"/>
        </w:rPr>
        <w:footnoteReference w:id="143"/>
      </w:r>
      <w:r>
        <w:rPr>
          <w:rFonts w:eastAsia="Arial"/>
        </w:rPr>
        <w:t>).</w:t>
      </w:r>
    </w:p>
    <w:p w14:paraId="49A44C6B" w14:textId="0E3B9106" w:rsidR="00854A72" w:rsidRPr="007D547A" w:rsidRDefault="00854A72" w:rsidP="00DF64C7">
      <w:pPr>
        <w:pStyle w:val="Nagwek3"/>
        <w:numPr>
          <w:ilvl w:val="0"/>
          <w:numId w:val="0"/>
        </w:numPr>
        <w:spacing w:line="271" w:lineRule="auto"/>
        <w:jc w:val="left"/>
      </w:pPr>
      <w:bookmarkStart w:id="154" w:name="_Toc38035031"/>
      <w:r>
        <w:t>Dokumenty oraz dane związane z </w:t>
      </w:r>
      <w:r w:rsidRPr="001E4A2D">
        <w:t>wdrażaniem RPO WSL</w:t>
      </w:r>
      <w:r>
        <w:t xml:space="preserve"> 2014-2020</w:t>
      </w:r>
      <w:bookmarkEnd w:id="154"/>
    </w:p>
    <w:p w14:paraId="3F14859B" w14:textId="77777777" w:rsidR="00854A72" w:rsidRPr="009E4D62" w:rsidRDefault="00854A72" w:rsidP="00DF64C7">
      <w:pPr>
        <w:pStyle w:val="Akapitzlist"/>
        <w:numPr>
          <w:ilvl w:val="0"/>
          <w:numId w:val="55"/>
        </w:numPr>
        <w:ind w:left="993" w:hanging="567"/>
        <w:jc w:val="left"/>
        <w:rPr>
          <w:rFonts w:eastAsia="Arial"/>
        </w:rPr>
      </w:pPr>
      <w:r w:rsidRPr="009E4D62">
        <w:rPr>
          <w:rFonts w:eastAsia="Arial"/>
        </w:rPr>
        <w:t>Sprawozdania roczne</w:t>
      </w:r>
      <w:r>
        <w:rPr>
          <w:rFonts w:eastAsia="Arial"/>
        </w:rPr>
        <w:t xml:space="preserve"> z </w:t>
      </w:r>
      <w:r w:rsidRPr="009E4D62">
        <w:rPr>
          <w:rFonts w:eastAsia="Arial"/>
        </w:rPr>
        <w:t>realizacji Regionalnego Programu Operacyjnego Województwa Śląskiego 2014-2020 za lata 2015 - 2017;</w:t>
      </w:r>
    </w:p>
    <w:p w14:paraId="115651E5" w14:textId="77777777" w:rsidR="00854A72" w:rsidRPr="009E4D62" w:rsidRDefault="00854A72" w:rsidP="00DF64C7">
      <w:pPr>
        <w:pStyle w:val="Akapitzlist"/>
        <w:numPr>
          <w:ilvl w:val="0"/>
          <w:numId w:val="55"/>
        </w:numPr>
        <w:ind w:left="993" w:hanging="567"/>
        <w:jc w:val="left"/>
        <w:rPr>
          <w:rFonts w:eastAsia="Arial"/>
        </w:rPr>
      </w:pPr>
      <w:r w:rsidRPr="009E4D62">
        <w:rPr>
          <w:rFonts w:eastAsia="Arial"/>
        </w:rPr>
        <w:t>Dane finansowe dotyczące realizacji RPO WSL 2014-2020</w:t>
      </w:r>
      <w:r>
        <w:rPr>
          <w:rFonts w:eastAsia="Arial"/>
        </w:rPr>
        <w:t xml:space="preserve"> (wg stanu na dzień 1.10.2019);</w:t>
      </w:r>
    </w:p>
    <w:p w14:paraId="379075B7" w14:textId="77777777" w:rsidR="00854A72" w:rsidRPr="009E4D62" w:rsidRDefault="00854A72" w:rsidP="00DF64C7">
      <w:pPr>
        <w:pStyle w:val="Akapitzlist"/>
        <w:numPr>
          <w:ilvl w:val="0"/>
          <w:numId w:val="55"/>
        </w:numPr>
        <w:ind w:left="993" w:hanging="567"/>
        <w:jc w:val="left"/>
        <w:rPr>
          <w:rFonts w:eastAsia="Arial"/>
        </w:rPr>
      </w:pPr>
      <w:r w:rsidRPr="009E4D62">
        <w:rPr>
          <w:rFonts w:eastAsia="Arial"/>
        </w:rPr>
        <w:t>Dokumentacja konkursowa dla naborów obejmujących Działania</w:t>
      </w:r>
      <w:r>
        <w:rPr>
          <w:rFonts w:eastAsia="Arial"/>
        </w:rPr>
        <w:t xml:space="preserve"> w </w:t>
      </w:r>
      <w:r w:rsidRPr="009E4D62">
        <w:rPr>
          <w:rFonts w:eastAsia="Arial"/>
        </w:rPr>
        <w:t>ramach OP XI</w:t>
      </w:r>
      <w:r>
        <w:rPr>
          <w:rFonts w:eastAsia="Arial"/>
        </w:rPr>
        <w:t xml:space="preserve"> i </w:t>
      </w:r>
      <w:r w:rsidRPr="009E4D62">
        <w:rPr>
          <w:rFonts w:eastAsia="Arial"/>
        </w:rPr>
        <w:t>XII, stanowiąca załączniki do ogłoszenia</w:t>
      </w:r>
      <w:r>
        <w:rPr>
          <w:rFonts w:eastAsia="Arial"/>
        </w:rPr>
        <w:t xml:space="preserve"> o </w:t>
      </w:r>
      <w:r w:rsidRPr="009E4D62">
        <w:rPr>
          <w:rFonts w:eastAsia="Arial"/>
        </w:rPr>
        <w:t>naborze wniosków</w:t>
      </w:r>
      <w:r>
        <w:rPr>
          <w:rFonts w:eastAsia="Arial"/>
        </w:rPr>
        <w:t xml:space="preserve"> o </w:t>
      </w:r>
      <w:r w:rsidRPr="009E4D62">
        <w:rPr>
          <w:rFonts w:eastAsia="Arial"/>
        </w:rPr>
        <w:t>dofinansowanie;</w:t>
      </w:r>
    </w:p>
    <w:p w14:paraId="3C00B7CF" w14:textId="77777777" w:rsidR="00854A72" w:rsidRPr="009E4D62" w:rsidRDefault="00854A72" w:rsidP="00DF64C7">
      <w:pPr>
        <w:pStyle w:val="Akapitzlist"/>
        <w:numPr>
          <w:ilvl w:val="0"/>
          <w:numId w:val="55"/>
        </w:numPr>
        <w:ind w:left="993" w:hanging="567"/>
        <w:jc w:val="left"/>
        <w:rPr>
          <w:rFonts w:eastAsia="Arial"/>
        </w:rPr>
      </w:pPr>
      <w:r w:rsidRPr="009E4D62">
        <w:rPr>
          <w:rFonts w:eastAsia="Arial"/>
        </w:rPr>
        <w:t>Dane pochodzące</w:t>
      </w:r>
      <w:r>
        <w:rPr>
          <w:rFonts w:eastAsia="Arial"/>
        </w:rPr>
        <w:t xml:space="preserve"> z </w:t>
      </w:r>
      <w:r w:rsidRPr="009E4D62">
        <w:rPr>
          <w:rFonts w:eastAsia="Arial"/>
        </w:rPr>
        <w:t>wniosków</w:t>
      </w:r>
      <w:r>
        <w:rPr>
          <w:rFonts w:eastAsia="Arial"/>
        </w:rPr>
        <w:t xml:space="preserve"> o </w:t>
      </w:r>
      <w:r w:rsidRPr="009E4D62">
        <w:rPr>
          <w:rFonts w:eastAsia="Arial"/>
        </w:rPr>
        <w:t>dofinansowanie projektów realizowanych</w:t>
      </w:r>
      <w:r>
        <w:rPr>
          <w:rFonts w:eastAsia="Arial"/>
        </w:rPr>
        <w:t xml:space="preserve"> w </w:t>
      </w:r>
      <w:r w:rsidRPr="009E4D62">
        <w:rPr>
          <w:rFonts w:eastAsia="Arial"/>
        </w:rPr>
        <w:t>ramach OP XI</w:t>
      </w:r>
      <w:r>
        <w:rPr>
          <w:rFonts w:eastAsia="Arial"/>
        </w:rPr>
        <w:t xml:space="preserve"> i </w:t>
      </w:r>
      <w:r w:rsidRPr="009E4D62">
        <w:rPr>
          <w:rFonts w:eastAsia="Arial"/>
        </w:rPr>
        <w:t>XII</w:t>
      </w:r>
      <w:r>
        <w:rPr>
          <w:rFonts w:eastAsia="Arial"/>
        </w:rPr>
        <w:t xml:space="preserve"> (wg stanu na dzień 16.10.2019);</w:t>
      </w:r>
    </w:p>
    <w:p w14:paraId="0298613C" w14:textId="77777777" w:rsidR="00854A72" w:rsidRDefault="00854A72" w:rsidP="00DF64C7">
      <w:pPr>
        <w:pStyle w:val="Akapitzlist"/>
        <w:numPr>
          <w:ilvl w:val="0"/>
          <w:numId w:val="55"/>
        </w:numPr>
        <w:ind w:left="993" w:hanging="567"/>
        <w:jc w:val="left"/>
        <w:rPr>
          <w:rFonts w:eastAsia="Arial"/>
        </w:rPr>
      </w:pPr>
      <w:r w:rsidRPr="009E4D62">
        <w:rPr>
          <w:rFonts w:eastAsia="Arial"/>
        </w:rPr>
        <w:t>Dane pochodzące</w:t>
      </w:r>
      <w:r>
        <w:rPr>
          <w:rFonts w:eastAsia="Arial"/>
        </w:rPr>
        <w:t xml:space="preserve"> z </w:t>
      </w:r>
      <w:r w:rsidRPr="009E4D62">
        <w:rPr>
          <w:rFonts w:eastAsia="Arial"/>
        </w:rPr>
        <w:t>wniosków</w:t>
      </w:r>
      <w:r>
        <w:rPr>
          <w:rFonts w:eastAsia="Arial"/>
        </w:rPr>
        <w:t xml:space="preserve"> o </w:t>
      </w:r>
      <w:r w:rsidRPr="009E4D62">
        <w:rPr>
          <w:rFonts w:eastAsia="Arial"/>
        </w:rPr>
        <w:t>płatność projektów</w:t>
      </w:r>
      <w:r>
        <w:rPr>
          <w:rFonts w:eastAsia="Arial"/>
        </w:rPr>
        <w:t xml:space="preserve"> realizowanych w ramach OP XI i </w:t>
      </w:r>
      <w:r w:rsidRPr="009E4D62">
        <w:rPr>
          <w:rFonts w:eastAsia="Arial"/>
        </w:rPr>
        <w:t>XII</w:t>
      </w:r>
      <w:r>
        <w:rPr>
          <w:rFonts w:eastAsia="Arial"/>
        </w:rPr>
        <w:t xml:space="preserve"> (wg stanu na dzień 13.09.2019);</w:t>
      </w:r>
    </w:p>
    <w:p w14:paraId="2AD6F6E4" w14:textId="77777777" w:rsidR="00854A72" w:rsidRDefault="00854A72" w:rsidP="00DF64C7">
      <w:pPr>
        <w:pStyle w:val="Akapitzlist"/>
        <w:numPr>
          <w:ilvl w:val="0"/>
          <w:numId w:val="55"/>
        </w:numPr>
        <w:ind w:left="993" w:hanging="567"/>
        <w:jc w:val="left"/>
      </w:pPr>
      <w:r w:rsidRPr="009E4D62">
        <w:t>Dane</w:t>
      </w:r>
      <w:r w:rsidRPr="00B86FFF">
        <w:rPr>
          <w:rFonts w:eastAsia="Arial"/>
        </w:rPr>
        <w:t xml:space="preserve"> pochodzące</w:t>
      </w:r>
      <w:r>
        <w:rPr>
          <w:rFonts w:eastAsia="Arial"/>
        </w:rPr>
        <w:t xml:space="preserve"> z </w:t>
      </w:r>
      <w:r w:rsidRPr="00B86FFF">
        <w:rPr>
          <w:rFonts w:eastAsia="Arial"/>
        </w:rPr>
        <w:t>bazy</w:t>
      </w:r>
      <w:r>
        <w:rPr>
          <w:rFonts w:eastAsia="Arial"/>
        </w:rPr>
        <w:t xml:space="preserve"> </w:t>
      </w:r>
      <w:r w:rsidRPr="00B86FFF">
        <w:rPr>
          <w:rFonts w:eastAsia="Arial"/>
        </w:rPr>
        <w:t>uczes</w:t>
      </w:r>
      <w:r>
        <w:rPr>
          <w:rFonts w:eastAsia="Arial"/>
        </w:rPr>
        <w:t>tników projektów dla OP XI (wg stanu na dzień 16.10.2019).</w:t>
      </w:r>
    </w:p>
    <w:p w14:paraId="13CA563C" w14:textId="77777777" w:rsidR="00854A72" w:rsidRDefault="00854A72" w:rsidP="00DF64C7">
      <w:pPr>
        <w:jc w:val="left"/>
      </w:pPr>
    </w:p>
    <w:p w14:paraId="545AF843" w14:textId="77777777" w:rsidR="00854A72" w:rsidRPr="00E24E5D" w:rsidRDefault="00854A72" w:rsidP="00DF64C7">
      <w:pPr>
        <w:pStyle w:val="Nagwek3"/>
        <w:numPr>
          <w:ilvl w:val="0"/>
          <w:numId w:val="0"/>
        </w:numPr>
        <w:spacing w:line="271" w:lineRule="auto"/>
        <w:jc w:val="left"/>
      </w:pPr>
      <w:bookmarkStart w:id="155" w:name="_Toc38035032"/>
      <w:r w:rsidRPr="00E24E5D">
        <w:t>Akty prawne</w:t>
      </w:r>
      <w:bookmarkEnd w:id="155"/>
    </w:p>
    <w:p w14:paraId="40F31295" w14:textId="77777777" w:rsidR="00854A72" w:rsidRDefault="00854A72" w:rsidP="00DF64C7">
      <w:pPr>
        <w:pStyle w:val="Akapitzlist"/>
        <w:numPr>
          <w:ilvl w:val="0"/>
          <w:numId w:val="57"/>
        </w:numPr>
        <w:ind w:left="993" w:hanging="567"/>
        <w:jc w:val="left"/>
      </w:pPr>
      <w:r>
        <w:t>Ustawa z dnia 14 grudnia 2016 r. Prawo oświatowe (Dz. U.2018.996 t.j.);</w:t>
      </w:r>
    </w:p>
    <w:p w14:paraId="481CBBB7" w14:textId="77777777" w:rsidR="00854A72" w:rsidRDefault="00854A72" w:rsidP="00DF64C7">
      <w:pPr>
        <w:pStyle w:val="Akapitzlist"/>
        <w:numPr>
          <w:ilvl w:val="0"/>
          <w:numId w:val="57"/>
        </w:numPr>
        <w:ind w:left="993" w:hanging="567"/>
        <w:jc w:val="left"/>
      </w:pPr>
      <w:r>
        <w:t>Ustawa z dnia 14 grudnia 2016 r. Przepisy wprowadzające ustawę – Prawo oświatowe (Dz.U.2017.60);</w:t>
      </w:r>
    </w:p>
    <w:p w14:paraId="115A304D" w14:textId="77777777" w:rsidR="00854A72" w:rsidRDefault="00854A72" w:rsidP="00DF64C7">
      <w:pPr>
        <w:pStyle w:val="Akapitzlist"/>
        <w:numPr>
          <w:ilvl w:val="0"/>
          <w:numId w:val="57"/>
        </w:numPr>
        <w:ind w:left="993" w:hanging="567"/>
        <w:jc w:val="left"/>
      </w:pPr>
      <w:r>
        <w:t>Ustawa z dnia 26 stycznia 1982 r. Karta Nauczyciela (Dz.U.2018.967 t.j.);</w:t>
      </w:r>
    </w:p>
    <w:p w14:paraId="4BFBC520" w14:textId="77777777" w:rsidR="00854A72" w:rsidRDefault="00854A72" w:rsidP="00DF64C7">
      <w:pPr>
        <w:pStyle w:val="Akapitzlist"/>
        <w:numPr>
          <w:ilvl w:val="0"/>
          <w:numId w:val="57"/>
        </w:numPr>
        <w:ind w:left="993" w:hanging="567"/>
        <w:jc w:val="left"/>
      </w:pPr>
      <w:r>
        <w:t>Ustawa z dnia 27 października 2017 r. o finansowaniu zadań oświatowych (Dz.U.2017.2203);</w:t>
      </w:r>
    </w:p>
    <w:p w14:paraId="14C63D96" w14:textId="77777777" w:rsidR="00854A72" w:rsidRDefault="00854A72" w:rsidP="00DF64C7">
      <w:pPr>
        <w:pStyle w:val="Akapitzlist"/>
        <w:numPr>
          <w:ilvl w:val="0"/>
          <w:numId w:val="57"/>
        </w:numPr>
        <w:ind w:left="993" w:hanging="567"/>
        <w:jc w:val="left"/>
      </w:pPr>
      <w:r>
        <w:t>Ustawa z dnia 7 września 1991 r. o systemie oświaty (Dz.U. z 2018 r. 1457 t.j.);</w:t>
      </w:r>
    </w:p>
    <w:p w14:paraId="1435589F" w14:textId="77777777" w:rsidR="00854A72" w:rsidRDefault="00854A72" w:rsidP="00DF64C7">
      <w:pPr>
        <w:pStyle w:val="Akapitzlist"/>
        <w:numPr>
          <w:ilvl w:val="0"/>
          <w:numId w:val="57"/>
        </w:numPr>
        <w:ind w:left="993" w:hanging="567"/>
        <w:jc w:val="left"/>
      </w:pPr>
      <w:r>
        <w:t>Wytyczne w zakresie kwalifikowalności wydatków w ramach Europejskiego Funduszu Rozwoju Regionalnego, Europejskiego Funduszu Społecznego oraz Funduszu Spójności na lata 2014-2020;</w:t>
      </w:r>
    </w:p>
    <w:p w14:paraId="5D9576EB" w14:textId="77777777" w:rsidR="00854A72" w:rsidRDefault="00854A72" w:rsidP="00DF64C7">
      <w:pPr>
        <w:pStyle w:val="Akapitzlist"/>
        <w:numPr>
          <w:ilvl w:val="0"/>
          <w:numId w:val="57"/>
        </w:numPr>
        <w:ind w:left="993" w:hanging="567"/>
        <w:jc w:val="left"/>
      </w:pPr>
      <w:r>
        <w:t>Wytyczne w zakresie monitorowania postępu rzeczowego realizacji programów operacyjnych na lata 2014-2020;</w:t>
      </w:r>
    </w:p>
    <w:p w14:paraId="4A000730" w14:textId="77777777" w:rsidR="00854A72" w:rsidRDefault="00854A72" w:rsidP="00DF64C7">
      <w:pPr>
        <w:pStyle w:val="Akapitzlist"/>
        <w:numPr>
          <w:ilvl w:val="0"/>
          <w:numId w:val="57"/>
        </w:numPr>
        <w:ind w:left="993" w:hanging="567"/>
        <w:jc w:val="left"/>
      </w:pPr>
      <w:r>
        <w:t>Wytyczne w zakresie realizacji zasady równości szans i niedyskryminacji, w tym dostępności dla osób z niepełnosprawnościami oraz zasady równości szans kobiet i mężczyzn w ramach funduszy unijnych na lata 2014–2020.</w:t>
      </w:r>
    </w:p>
    <w:p w14:paraId="7E2092E7" w14:textId="77777777" w:rsidR="00854A72" w:rsidRPr="00073C05" w:rsidRDefault="00854A72" w:rsidP="00DF64C7">
      <w:pPr>
        <w:jc w:val="left"/>
      </w:pPr>
    </w:p>
    <w:sectPr w:rsidR="00854A72" w:rsidRPr="00073C05" w:rsidSect="00DA127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309D4" w14:textId="77777777" w:rsidR="00064BAA" w:rsidRDefault="00064BAA" w:rsidP="00026E3A">
      <w:pPr>
        <w:spacing w:line="240" w:lineRule="auto"/>
      </w:pPr>
      <w:r>
        <w:separator/>
      </w:r>
    </w:p>
  </w:endnote>
  <w:endnote w:type="continuationSeparator" w:id="0">
    <w:p w14:paraId="6DB430FD" w14:textId="77777777" w:rsidR="00064BAA" w:rsidRDefault="00064BAA" w:rsidP="00026E3A">
      <w:pPr>
        <w:spacing w:line="240" w:lineRule="auto"/>
      </w:pPr>
      <w:r>
        <w:continuationSeparator/>
      </w:r>
    </w:p>
  </w:endnote>
  <w:endnote w:type="continuationNotice" w:id="1">
    <w:p w14:paraId="049AA345" w14:textId="77777777" w:rsidR="00064BAA" w:rsidRDefault="00064B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libri,Italic">
    <w:altName w:val="Times New Roman"/>
    <w:panose1 w:val="00000000000000000000"/>
    <w:charset w:val="EE"/>
    <w:family w:val="auto"/>
    <w:notTrueType/>
    <w:pitch w:val="default"/>
    <w:sig w:usb0="00000007" w:usb1="00000000" w:usb2="00000000" w:usb3="00000000" w:csb0="00000003" w:csb1="00000000"/>
  </w:font>
  <w:font w:name="DejaVuSans">
    <w:altName w:val="MS Gothic"/>
    <w:panose1 w:val="00000000000000000000"/>
    <w:charset w:val="80"/>
    <w:family w:val="auto"/>
    <w:notTrueType/>
    <w:pitch w:val="default"/>
    <w:sig w:usb0="00000000"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77168"/>
      <w:docPartObj>
        <w:docPartGallery w:val="Page Numbers (Bottom of Page)"/>
        <w:docPartUnique/>
      </w:docPartObj>
    </w:sdtPr>
    <w:sdtEndPr/>
    <w:sdtContent>
      <w:sdt>
        <w:sdtPr>
          <w:id w:val="-1362509218"/>
          <w:docPartObj>
            <w:docPartGallery w:val="Page Numbers (Top of Page)"/>
            <w:docPartUnique/>
          </w:docPartObj>
        </w:sdtPr>
        <w:sdtEndPr/>
        <w:sdtContent>
          <w:p w14:paraId="0C29F1B5" w14:textId="77777777" w:rsidR="00443AD1" w:rsidRDefault="00443AD1" w:rsidP="003429FB">
            <w:pPr>
              <w:pStyle w:val="Stopka"/>
              <w:jc w:val="center"/>
            </w:pPr>
          </w:p>
          <w:sdt>
            <w:sdtPr>
              <w:id w:val="-158007986"/>
              <w:docPartObj>
                <w:docPartGallery w:val="Page Numbers (Bottom of Page)"/>
                <w:docPartUnique/>
              </w:docPartObj>
            </w:sdtPr>
            <w:sdtEndPr/>
            <w:sdtContent>
              <w:p w14:paraId="402A6879" w14:textId="77777777" w:rsidR="00443AD1" w:rsidRDefault="00443AD1" w:rsidP="003429FB">
                <w:pPr>
                  <w:pStyle w:val="Stopka"/>
                  <w:pBdr>
                    <w:top w:val="single" w:sz="6" w:space="0" w:color="FFFFFF"/>
                    <w:left w:val="single" w:sz="6" w:space="0" w:color="FFFFFF"/>
                    <w:bottom w:val="single" w:sz="6" w:space="0" w:color="FFFFFF"/>
                    <w:right w:val="single" w:sz="6" w:space="0" w:color="FFFFFF"/>
                  </w:pBdr>
                  <w:jc w:val="center"/>
                </w:pPr>
                <w:r w:rsidRPr="00047560">
                  <w:rPr>
                    <w:rFonts w:ascii="Calibri" w:eastAsia="Times New Roman" w:hAnsi="Calibri" w:cs="Calibri"/>
                    <w:noProof/>
                    <w:lang w:eastAsia="pl-PL"/>
                  </w:rPr>
                  <w:drawing>
                    <wp:inline distT="0" distB="0" distL="0" distR="0" wp14:anchorId="2C61100F" wp14:editId="22B1E432">
                      <wp:extent cx="5581650" cy="485775"/>
                      <wp:effectExtent l="0" t="0" r="0" b="9525"/>
                      <wp:docPr id="31" name="Obraz 31" descr="znak Funduszy Europejskich, flaga RP, znak województwa śląskiego, flaga UE z podpisame &quot;Unia Europejska Europejskie Fundusze Strukturalne i Inwestycyjne&quot;"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015" cy="485720"/>
                              </a:xfrm>
                              <a:prstGeom prst="rect">
                                <a:avLst/>
                              </a:prstGeom>
                              <a:noFill/>
                              <a:ln>
                                <a:noFill/>
                              </a:ln>
                            </pic:spPr>
                          </pic:pic>
                        </a:graphicData>
                      </a:graphic>
                    </wp:inline>
                  </w:drawing>
                </w:r>
              </w:p>
              <w:p w14:paraId="35F6BAE1" w14:textId="77777777" w:rsidR="00443AD1" w:rsidRDefault="00443AD1" w:rsidP="003429FB">
                <w:pPr>
                  <w:spacing w:line="240" w:lineRule="auto"/>
                  <w:jc w:val="center"/>
                  <w:rPr>
                    <w:i/>
                    <w:sz w:val="18"/>
                  </w:rPr>
                </w:pPr>
                <w:r w:rsidRPr="00F87958">
                  <w:rPr>
                    <w:i/>
                    <w:sz w:val="18"/>
                  </w:rPr>
                  <w:t>Projekt współfinansowany przez Unię Europejską ze środków Europejskiego Funduszu Społecznego</w:t>
                </w:r>
                <w:r>
                  <w:rPr>
                    <w:i/>
                    <w:sz w:val="18"/>
                  </w:rPr>
                  <w:t xml:space="preserve"> </w:t>
                </w:r>
              </w:p>
              <w:p w14:paraId="556C2A2C" w14:textId="77777777" w:rsidR="00443AD1" w:rsidRDefault="00443AD1" w:rsidP="003429FB">
                <w:pPr>
                  <w:spacing w:line="240" w:lineRule="auto"/>
                  <w:jc w:val="center"/>
                </w:pPr>
                <w:r w:rsidRPr="00F87958">
                  <w:rPr>
                    <w:i/>
                    <w:sz w:val="18"/>
                  </w:rPr>
                  <w:t>w ramach Regionalnego Programu Operacyjnego Województwa Śląskiego na lata 2014-2020.</w:t>
                </w:r>
              </w:p>
            </w:sdtContent>
          </w:sdt>
          <w:p w14:paraId="319AAB0F" w14:textId="77777777" w:rsidR="00443AD1" w:rsidRDefault="00443AD1" w:rsidP="003429FB">
            <w:pPr>
              <w:pStyle w:val="Stopka"/>
              <w:jc w:val="center"/>
            </w:pPr>
          </w:p>
          <w:p w14:paraId="15A12675" w14:textId="4BBC26BE" w:rsidR="00443AD1" w:rsidRDefault="00443AD1" w:rsidP="003429FB">
            <w:pPr>
              <w:pStyle w:val="Stopka"/>
              <w:jc w:val="center"/>
            </w:pPr>
            <w:r w:rsidRPr="003429FB">
              <w:rPr>
                <w:sz w:val="20"/>
              </w:rPr>
              <w:t xml:space="preserve">Strona </w:t>
            </w:r>
            <w:r w:rsidRPr="003429FB">
              <w:rPr>
                <w:b/>
                <w:bCs/>
                <w:sz w:val="20"/>
              </w:rPr>
              <w:fldChar w:fldCharType="begin"/>
            </w:r>
            <w:r w:rsidRPr="003429FB">
              <w:rPr>
                <w:b/>
                <w:bCs/>
                <w:sz w:val="20"/>
              </w:rPr>
              <w:instrText>PAGE</w:instrText>
            </w:r>
            <w:r w:rsidRPr="003429FB">
              <w:rPr>
                <w:b/>
                <w:bCs/>
                <w:sz w:val="20"/>
              </w:rPr>
              <w:fldChar w:fldCharType="separate"/>
            </w:r>
            <w:r w:rsidR="00B15BFB">
              <w:rPr>
                <w:b/>
                <w:bCs/>
                <w:noProof/>
                <w:sz w:val="20"/>
              </w:rPr>
              <w:t>2</w:t>
            </w:r>
            <w:r w:rsidRPr="003429FB">
              <w:rPr>
                <w:b/>
                <w:bCs/>
                <w:sz w:val="20"/>
              </w:rPr>
              <w:fldChar w:fldCharType="end"/>
            </w:r>
            <w:r w:rsidRPr="003429FB">
              <w:rPr>
                <w:sz w:val="20"/>
              </w:rPr>
              <w:t xml:space="preserve"> z </w:t>
            </w:r>
            <w:r w:rsidRPr="003429FB">
              <w:rPr>
                <w:b/>
                <w:bCs/>
                <w:sz w:val="20"/>
              </w:rPr>
              <w:fldChar w:fldCharType="begin"/>
            </w:r>
            <w:r w:rsidRPr="003429FB">
              <w:rPr>
                <w:b/>
                <w:bCs/>
                <w:sz w:val="20"/>
              </w:rPr>
              <w:instrText>NUMPAGES</w:instrText>
            </w:r>
            <w:r w:rsidRPr="003429FB">
              <w:rPr>
                <w:b/>
                <w:bCs/>
                <w:sz w:val="20"/>
              </w:rPr>
              <w:fldChar w:fldCharType="separate"/>
            </w:r>
            <w:r w:rsidR="00B15BFB">
              <w:rPr>
                <w:b/>
                <w:bCs/>
                <w:noProof/>
                <w:sz w:val="20"/>
              </w:rPr>
              <w:t>28</w:t>
            </w:r>
            <w:r w:rsidRPr="003429FB">
              <w:rPr>
                <w:b/>
                <w:bCs/>
                <w:sz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712951"/>
      <w:docPartObj>
        <w:docPartGallery w:val="Page Numbers (Bottom of Page)"/>
        <w:docPartUnique/>
      </w:docPartObj>
    </w:sdtPr>
    <w:sdtEndPr/>
    <w:sdtContent>
      <w:sdt>
        <w:sdtPr>
          <w:rPr>
            <w:rFonts w:cs="Arial"/>
          </w:rPr>
          <w:id w:val="-2062388757"/>
          <w:docPartObj>
            <w:docPartGallery w:val="Page Numbers (Top of Page)"/>
            <w:docPartUnique/>
          </w:docPartObj>
        </w:sdtPr>
        <w:sdtEndPr>
          <w:rPr>
            <w:rFonts w:cstheme="minorBidi"/>
          </w:rPr>
        </w:sdtEndPr>
        <w:sdtContent>
          <w:p w14:paraId="43B7EEFF" w14:textId="7365B0DB" w:rsidR="00443AD1" w:rsidRDefault="00443AD1" w:rsidP="0088335B">
            <w:pPr>
              <w:pStyle w:val="Stopka"/>
              <w:jc w:val="center"/>
            </w:pPr>
            <w:r w:rsidRPr="00257AE6">
              <w:rPr>
                <w:rFonts w:cs="Arial"/>
              </w:rPr>
              <w:t xml:space="preserve">Strona </w:t>
            </w:r>
            <w:r w:rsidRPr="00257AE6">
              <w:rPr>
                <w:rFonts w:cs="Arial"/>
                <w:b/>
                <w:bCs/>
                <w:sz w:val="24"/>
                <w:szCs w:val="24"/>
              </w:rPr>
              <w:fldChar w:fldCharType="begin"/>
            </w:r>
            <w:r w:rsidRPr="00257AE6">
              <w:rPr>
                <w:rFonts w:cs="Arial"/>
                <w:b/>
                <w:bCs/>
              </w:rPr>
              <w:instrText>PAGE</w:instrText>
            </w:r>
            <w:r w:rsidRPr="00257AE6">
              <w:rPr>
                <w:rFonts w:cs="Arial"/>
                <w:b/>
                <w:bCs/>
                <w:sz w:val="24"/>
                <w:szCs w:val="24"/>
              </w:rPr>
              <w:fldChar w:fldCharType="separate"/>
            </w:r>
            <w:r w:rsidR="00A8147E">
              <w:rPr>
                <w:rFonts w:cs="Arial"/>
                <w:b/>
                <w:bCs/>
                <w:noProof/>
              </w:rPr>
              <w:t>71</w:t>
            </w:r>
            <w:r w:rsidRPr="00257AE6">
              <w:rPr>
                <w:rFonts w:cs="Arial"/>
                <w:b/>
                <w:bCs/>
                <w:sz w:val="24"/>
                <w:szCs w:val="24"/>
              </w:rPr>
              <w:fldChar w:fldCharType="end"/>
            </w:r>
            <w:r w:rsidRPr="00257AE6">
              <w:rPr>
                <w:rFonts w:cs="Arial"/>
              </w:rPr>
              <w:t xml:space="preserve"> z </w:t>
            </w:r>
            <w:r w:rsidRPr="00257AE6">
              <w:rPr>
                <w:rFonts w:cs="Arial"/>
                <w:b/>
                <w:bCs/>
                <w:sz w:val="24"/>
                <w:szCs w:val="24"/>
              </w:rPr>
              <w:fldChar w:fldCharType="begin"/>
            </w:r>
            <w:r w:rsidRPr="00257AE6">
              <w:rPr>
                <w:rFonts w:cs="Arial"/>
                <w:b/>
                <w:bCs/>
              </w:rPr>
              <w:instrText>NUMPAGES</w:instrText>
            </w:r>
            <w:r w:rsidRPr="00257AE6">
              <w:rPr>
                <w:rFonts w:cs="Arial"/>
                <w:b/>
                <w:bCs/>
                <w:sz w:val="24"/>
                <w:szCs w:val="24"/>
              </w:rPr>
              <w:fldChar w:fldCharType="separate"/>
            </w:r>
            <w:r w:rsidR="00A8147E">
              <w:rPr>
                <w:rFonts w:cs="Arial"/>
                <w:b/>
                <w:bCs/>
                <w:noProof/>
              </w:rPr>
              <w:t>190</w:t>
            </w:r>
            <w:r w:rsidRPr="00257AE6">
              <w:rPr>
                <w:rFonts w:cs="Arial"/>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62837"/>
      <w:docPartObj>
        <w:docPartGallery w:val="Page Numbers (Bottom of Page)"/>
        <w:docPartUnique/>
      </w:docPartObj>
    </w:sdtPr>
    <w:sdtEndPr/>
    <w:sdtContent>
      <w:sdt>
        <w:sdtPr>
          <w:rPr>
            <w:rFonts w:cs="Arial"/>
          </w:rPr>
          <w:id w:val="1815292623"/>
          <w:docPartObj>
            <w:docPartGallery w:val="Page Numbers (Top of Page)"/>
            <w:docPartUnique/>
          </w:docPartObj>
        </w:sdtPr>
        <w:sdtEndPr>
          <w:rPr>
            <w:rFonts w:cstheme="minorBidi"/>
          </w:rPr>
        </w:sdtEndPr>
        <w:sdtContent>
          <w:p w14:paraId="1B50CF4B" w14:textId="045ADB02" w:rsidR="00443AD1" w:rsidRDefault="00443AD1" w:rsidP="0088335B">
            <w:pPr>
              <w:pStyle w:val="Stopka"/>
              <w:jc w:val="center"/>
            </w:pPr>
            <w:r w:rsidRPr="00257AE6">
              <w:rPr>
                <w:rFonts w:cs="Arial"/>
              </w:rPr>
              <w:t xml:space="preserve">Strona </w:t>
            </w:r>
            <w:r w:rsidRPr="00257AE6">
              <w:rPr>
                <w:rFonts w:cs="Arial"/>
                <w:b/>
                <w:bCs/>
                <w:sz w:val="24"/>
                <w:szCs w:val="24"/>
              </w:rPr>
              <w:fldChar w:fldCharType="begin"/>
            </w:r>
            <w:r w:rsidRPr="00257AE6">
              <w:rPr>
                <w:rFonts w:cs="Arial"/>
                <w:b/>
                <w:bCs/>
              </w:rPr>
              <w:instrText>PAGE</w:instrText>
            </w:r>
            <w:r w:rsidRPr="00257AE6">
              <w:rPr>
                <w:rFonts w:cs="Arial"/>
                <w:b/>
                <w:bCs/>
                <w:sz w:val="24"/>
                <w:szCs w:val="24"/>
              </w:rPr>
              <w:fldChar w:fldCharType="separate"/>
            </w:r>
            <w:r w:rsidR="00A8147E">
              <w:rPr>
                <w:rFonts w:cs="Arial"/>
                <w:b/>
                <w:bCs/>
                <w:noProof/>
              </w:rPr>
              <w:t>77</w:t>
            </w:r>
            <w:r w:rsidRPr="00257AE6">
              <w:rPr>
                <w:rFonts w:cs="Arial"/>
                <w:b/>
                <w:bCs/>
                <w:sz w:val="24"/>
                <w:szCs w:val="24"/>
              </w:rPr>
              <w:fldChar w:fldCharType="end"/>
            </w:r>
            <w:r w:rsidRPr="00257AE6">
              <w:rPr>
                <w:rFonts w:cs="Arial"/>
              </w:rPr>
              <w:t xml:space="preserve"> z </w:t>
            </w:r>
            <w:r w:rsidRPr="00257AE6">
              <w:rPr>
                <w:rFonts w:cs="Arial"/>
                <w:b/>
                <w:bCs/>
                <w:sz w:val="24"/>
                <w:szCs w:val="24"/>
              </w:rPr>
              <w:fldChar w:fldCharType="begin"/>
            </w:r>
            <w:r w:rsidRPr="00257AE6">
              <w:rPr>
                <w:rFonts w:cs="Arial"/>
                <w:b/>
                <w:bCs/>
              </w:rPr>
              <w:instrText>NUMPAGES</w:instrText>
            </w:r>
            <w:r w:rsidRPr="00257AE6">
              <w:rPr>
                <w:rFonts w:cs="Arial"/>
                <w:b/>
                <w:bCs/>
                <w:sz w:val="24"/>
                <w:szCs w:val="24"/>
              </w:rPr>
              <w:fldChar w:fldCharType="separate"/>
            </w:r>
            <w:r w:rsidR="00A8147E">
              <w:rPr>
                <w:rFonts w:cs="Arial"/>
                <w:b/>
                <w:bCs/>
                <w:noProof/>
              </w:rPr>
              <w:t>190</w:t>
            </w:r>
            <w:r w:rsidRPr="00257AE6">
              <w:rPr>
                <w:rFonts w:cs="Arial"/>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869239"/>
      <w:docPartObj>
        <w:docPartGallery w:val="Page Numbers (Bottom of Page)"/>
        <w:docPartUnique/>
      </w:docPartObj>
    </w:sdtPr>
    <w:sdtEndPr/>
    <w:sdtContent>
      <w:sdt>
        <w:sdtPr>
          <w:rPr>
            <w:rFonts w:cs="Arial"/>
          </w:rPr>
          <w:id w:val="-1039435870"/>
          <w:docPartObj>
            <w:docPartGallery w:val="Page Numbers (Top of Page)"/>
            <w:docPartUnique/>
          </w:docPartObj>
        </w:sdtPr>
        <w:sdtEndPr>
          <w:rPr>
            <w:rFonts w:cstheme="minorBidi"/>
          </w:rPr>
        </w:sdtEndPr>
        <w:sdtContent>
          <w:p w14:paraId="0F7519B8" w14:textId="24336AA2" w:rsidR="00443AD1" w:rsidRDefault="00443AD1" w:rsidP="0088335B">
            <w:pPr>
              <w:pStyle w:val="Stopka"/>
              <w:jc w:val="center"/>
            </w:pPr>
            <w:r w:rsidRPr="00257AE6">
              <w:rPr>
                <w:rFonts w:cs="Arial"/>
              </w:rPr>
              <w:t xml:space="preserve">Strona </w:t>
            </w:r>
            <w:r w:rsidRPr="00257AE6">
              <w:rPr>
                <w:rFonts w:cs="Arial"/>
                <w:b/>
                <w:bCs/>
                <w:sz w:val="24"/>
                <w:szCs w:val="24"/>
              </w:rPr>
              <w:fldChar w:fldCharType="begin"/>
            </w:r>
            <w:r w:rsidRPr="00257AE6">
              <w:rPr>
                <w:rFonts w:cs="Arial"/>
                <w:b/>
                <w:bCs/>
              </w:rPr>
              <w:instrText>PAGE</w:instrText>
            </w:r>
            <w:r w:rsidRPr="00257AE6">
              <w:rPr>
                <w:rFonts w:cs="Arial"/>
                <w:b/>
                <w:bCs/>
                <w:sz w:val="24"/>
                <w:szCs w:val="24"/>
              </w:rPr>
              <w:fldChar w:fldCharType="separate"/>
            </w:r>
            <w:r w:rsidR="00A8147E">
              <w:rPr>
                <w:rFonts w:cs="Arial"/>
                <w:b/>
                <w:bCs/>
                <w:noProof/>
              </w:rPr>
              <w:t>82</w:t>
            </w:r>
            <w:r w:rsidRPr="00257AE6">
              <w:rPr>
                <w:rFonts w:cs="Arial"/>
                <w:b/>
                <w:bCs/>
                <w:sz w:val="24"/>
                <w:szCs w:val="24"/>
              </w:rPr>
              <w:fldChar w:fldCharType="end"/>
            </w:r>
            <w:r w:rsidRPr="00257AE6">
              <w:rPr>
                <w:rFonts w:cs="Arial"/>
              </w:rPr>
              <w:t xml:space="preserve"> z </w:t>
            </w:r>
            <w:r w:rsidRPr="00257AE6">
              <w:rPr>
                <w:rFonts w:cs="Arial"/>
                <w:b/>
                <w:bCs/>
                <w:sz w:val="24"/>
                <w:szCs w:val="24"/>
              </w:rPr>
              <w:fldChar w:fldCharType="begin"/>
            </w:r>
            <w:r w:rsidRPr="00257AE6">
              <w:rPr>
                <w:rFonts w:cs="Arial"/>
                <w:b/>
                <w:bCs/>
              </w:rPr>
              <w:instrText>NUMPAGES</w:instrText>
            </w:r>
            <w:r w:rsidRPr="00257AE6">
              <w:rPr>
                <w:rFonts w:cs="Arial"/>
                <w:b/>
                <w:bCs/>
                <w:sz w:val="24"/>
                <w:szCs w:val="24"/>
              </w:rPr>
              <w:fldChar w:fldCharType="separate"/>
            </w:r>
            <w:r w:rsidR="00A8147E">
              <w:rPr>
                <w:rFonts w:cs="Arial"/>
                <w:b/>
                <w:bCs/>
                <w:noProof/>
              </w:rPr>
              <w:t>190</w:t>
            </w:r>
            <w:r w:rsidRPr="00257AE6">
              <w:rPr>
                <w:rFonts w:cs="Arial"/>
                <w:b/>
                <w:bCs/>
                <w:sz w:val="24"/>
                <w:szCs w:val="24"/>
              </w:rPr>
              <w:fldChar w:fldCharType="end"/>
            </w:r>
          </w:p>
        </w:sdtContent>
      </w:sdt>
    </w:sdtContent>
  </w:sdt>
  <w:p w14:paraId="1A685614" w14:textId="77777777" w:rsidR="00443AD1" w:rsidRDefault="00443AD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012069"/>
      <w:docPartObj>
        <w:docPartGallery w:val="Page Numbers (Bottom of Page)"/>
        <w:docPartUnique/>
      </w:docPartObj>
    </w:sdtPr>
    <w:sdtEndPr/>
    <w:sdtContent>
      <w:sdt>
        <w:sdtPr>
          <w:rPr>
            <w:rFonts w:cs="Arial"/>
          </w:rPr>
          <w:id w:val="-2094310616"/>
          <w:docPartObj>
            <w:docPartGallery w:val="Page Numbers (Top of Page)"/>
            <w:docPartUnique/>
          </w:docPartObj>
        </w:sdtPr>
        <w:sdtEndPr>
          <w:rPr>
            <w:rFonts w:cstheme="minorBidi"/>
          </w:rPr>
        </w:sdtEndPr>
        <w:sdtContent>
          <w:p w14:paraId="321CD5E9" w14:textId="446071DB" w:rsidR="00443AD1" w:rsidRDefault="00443AD1" w:rsidP="0088335B">
            <w:pPr>
              <w:pStyle w:val="Stopka"/>
              <w:jc w:val="center"/>
            </w:pPr>
            <w:r w:rsidRPr="00257AE6">
              <w:rPr>
                <w:rFonts w:cs="Arial"/>
              </w:rPr>
              <w:t xml:space="preserve">Strona </w:t>
            </w:r>
            <w:r w:rsidRPr="00257AE6">
              <w:rPr>
                <w:rFonts w:cs="Arial"/>
                <w:b/>
                <w:bCs/>
                <w:sz w:val="24"/>
                <w:szCs w:val="24"/>
              </w:rPr>
              <w:fldChar w:fldCharType="begin"/>
            </w:r>
            <w:r w:rsidRPr="00257AE6">
              <w:rPr>
                <w:rFonts w:cs="Arial"/>
                <w:b/>
                <w:bCs/>
              </w:rPr>
              <w:instrText>PAGE</w:instrText>
            </w:r>
            <w:r w:rsidRPr="00257AE6">
              <w:rPr>
                <w:rFonts w:cs="Arial"/>
                <w:b/>
                <w:bCs/>
                <w:sz w:val="24"/>
                <w:szCs w:val="24"/>
              </w:rPr>
              <w:fldChar w:fldCharType="separate"/>
            </w:r>
            <w:r w:rsidR="00A8147E">
              <w:rPr>
                <w:rFonts w:cs="Arial"/>
                <w:b/>
                <w:bCs/>
                <w:noProof/>
              </w:rPr>
              <w:t>134</w:t>
            </w:r>
            <w:r w:rsidRPr="00257AE6">
              <w:rPr>
                <w:rFonts w:cs="Arial"/>
                <w:b/>
                <w:bCs/>
                <w:sz w:val="24"/>
                <w:szCs w:val="24"/>
              </w:rPr>
              <w:fldChar w:fldCharType="end"/>
            </w:r>
            <w:r w:rsidRPr="00257AE6">
              <w:rPr>
                <w:rFonts w:cs="Arial"/>
              </w:rPr>
              <w:t xml:space="preserve"> z </w:t>
            </w:r>
            <w:r w:rsidRPr="00257AE6">
              <w:rPr>
                <w:rFonts w:cs="Arial"/>
                <w:b/>
                <w:bCs/>
                <w:sz w:val="24"/>
                <w:szCs w:val="24"/>
              </w:rPr>
              <w:fldChar w:fldCharType="begin"/>
            </w:r>
            <w:r w:rsidRPr="00257AE6">
              <w:rPr>
                <w:rFonts w:cs="Arial"/>
                <w:b/>
                <w:bCs/>
              </w:rPr>
              <w:instrText>NUMPAGES</w:instrText>
            </w:r>
            <w:r w:rsidRPr="00257AE6">
              <w:rPr>
                <w:rFonts w:cs="Arial"/>
                <w:b/>
                <w:bCs/>
                <w:sz w:val="24"/>
                <w:szCs w:val="24"/>
              </w:rPr>
              <w:fldChar w:fldCharType="separate"/>
            </w:r>
            <w:r w:rsidR="00A8147E">
              <w:rPr>
                <w:rFonts w:cs="Arial"/>
                <w:b/>
                <w:bCs/>
                <w:noProof/>
              </w:rPr>
              <w:t>190</w:t>
            </w:r>
            <w:r w:rsidRPr="00257AE6">
              <w:rPr>
                <w:rFonts w:cs="Arial"/>
                <w:b/>
                <w:bCs/>
                <w:sz w:val="24"/>
                <w:szCs w:val="24"/>
              </w:rPr>
              <w:fldChar w:fldCharType="end"/>
            </w:r>
          </w:p>
        </w:sdtContent>
      </w:sdt>
    </w:sdtContent>
  </w:sdt>
  <w:p w14:paraId="17472603" w14:textId="77777777" w:rsidR="00443AD1" w:rsidRDefault="00443AD1"/>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139336"/>
      <w:docPartObj>
        <w:docPartGallery w:val="Page Numbers (Bottom of Page)"/>
        <w:docPartUnique/>
      </w:docPartObj>
    </w:sdtPr>
    <w:sdtEndPr/>
    <w:sdtContent>
      <w:sdt>
        <w:sdtPr>
          <w:rPr>
            <w:rFonts w:cs="Arial"/>
          </w:rPr>
          <w:id w:val="575715083"/>
          <w:docPartObj>
            <w:docPartGallery w:val="Page Numbers (Top of Page)"/>
            <w:docPartUnique/>
          </w:docPartObj>
        </w:sdtPr>
        <w:sdtEndPr>
          <w:rPr>
            <w:rFonts w:cstheme="minorBidi"/>
          </w:rPr>
        </w:sdtEndPr>
        <w:sdtContent>
          <w:p w14:paraId="0ACE6C79" w14:textId="1F7124C1" w:rsidR="00443AD1" w:rsidRDefault="00443AD1" w:rsidP="0088335B">
            <w:pPr>
              <w:pStyle w:val="Stopka"/>
              <w:jc w:val="center"/>
            </w:pPr>
            <w:r w:rsidRPr="00257AE6">
              <w:rPr>
                <w:rFonts w:cs="Arial"/>
              </w:rPr>
              <w:t xml:space="preserve">Strona </w:t>
            </w:r>
            <w:r w:rsidRPr="00257AE6">
              <w:rPr>
                <w:rFonts w:cs="Arial"/>
                <w:b/>
                <w:bCs/>
                <w:sz w:val="24"/>
                <w:szCs w:val="24"/>
              </w:rPr>
              <w:fldChar w:fldCharType="begin"/>
            </w:r>
            <w:r w:rsidRPr="00257AE6">
              <w:rPr>
                <w:rFonts w:cs="Arial"/>
                <w:b/>
                <w:bCs/>
              </w:rPr>
              <w:instrText>PAGE</w:instrText>
            </w:r>
            <w:r w:rsidRPr="00257AE6">
              <w:rPr>
                <w:rFonts w:cs="Arial"/>
                <w:b/>
                <w:bCs/>
                <w:sz w:val="24"/>
                <w:szCs w:val="24"/>
              </w:rPr>
              <w:fldChar w:fldCharType="separate"/>
            </w:r>
            <w:r w:rsidR="00A8147E">
              <w:rPr>
                <w:rFonts w:cs="Arial"/>
                <w:b/>
                <w:bCs/>
                <w:noProof/>
              </w:rPr>
              <w:t>152</w:t>
            </w:r>
            <w:r w:rsidRPr="00257AE6">
              <w:rPr>
                <w:rFonts w:cs="Arial"/>
                <w:b/>
                <w:bCs/>
                <w:sz w:val="24"/>
                <w:szCs w:val="24"/>
              </w:rPr>
              <w:fldChar w:fldCharType="end"/>
            </w:r>
            <w:r w:rsidRPr="00257AE6">
              <w:rPr>
                <w:rFonts w:cs="Arial"/>
              </w:rPr>
              <w:t xml:space="preserve"> z </w:t>
            </w:r>
            <w:r w:rsidRPr="00257AE6">
              <w:rPr>
                <w:rFonts w:cs="Arial"/>
                <w:b/>
                <w:bCs/>
                <w:sz w:val="24"/>
                <w:szCs w:val="24"/>
              </w:rPr>
              <w:fldChar w:fldCharType="begin"/>
            </w:r>
            <w:r w:rsidRPr="00257AE6">
              <w:rPr>
                <w:rFonts w:cs="Arial"/>
                <w:b/>
                <w:bCs/>
              </w:rPr>
              <w:instrText>NUMPAGES</w:instrText>
            </w:r>
            <w:r w:rsidRPr="00257AE6">
              <w:rPr>
                <w:rFonts w:cs="Arial"/>
                <w:b/>
                <w:bCs/>
                <w:sz w:val="24"/>
                <w:szCs w:val="24"/>
              </w:rPr>
              <w:fldChar w:fldCharType="separate"/>
            </w:r>
            <w:r w:rsidR="00A8147E">
              <w:rPr>
                <w:rFonts w:cs="Arial"/>
                <w:b/>
                <w:bCs/>
                <w:noProof/>
              </w:rPr>
              <w:t>190</w:t>
            </w:r>
            <w:r w:rsidRPr="00257AE6">
              <w:rPr>
                <w:rFonts w:cs="Arial"/>
                <w:b/>
                <w:bCs/>
                <w:sz w:val="24"/>
                <w:szCs w:val="24"/>
              </w:rPr>
              <w:fldChar w:fldCharType="end"/>
            </w:r>
          </w:p>
        </w:sdtContent>
      </w:sdt>
    </w:sdtContent>
  </w:sdt>
  <w:p w14:paraId="2C240871" w14:textId="77777777" w:rsidR="00443AD1" w:rsidRDefault="00443AD1"/>
  <w:p w14:paraId="7D64B083" w14:textId="77777777" w:rsidR="00443AD1" w:rsidRDefault="00443AD1"/>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513068"/>
      <w:docPartObj>
        <w:docPartGallery w:val="Page Numbers (Bottom of Page)"/>
        <w:docPartUnique/>
      </w:docPartObj>
    </w:sdtPr>
    <w:sdtEndPr/>
    <w:sdtContent>
      <w:sdt>
        <w:sdtPr>
          <w:rPr>
            <w:rFonts w:cs="Arial"/>
          </w:rPr>
          <w:id w:val="1567845890"/>
          <w:docPartObj>
            <w:docPartGallery w:val="Page Numbers (Top of Page)"/>
            <w:docPartUnique/>
          </w:docPartObj>
        </w:sdtPr>
        <w:sdtEndPr>
          <w:rPr>
            <w:rFonts w:cstheme="minorBidi"/>
          </w:rPr>
        </w:sdtEndPr>
        <w:sdtContent>
          <w:p w14:paraId="6737B282" w14:textId="37B93EF2" w:rsidR="00443AD1" w:rsidRDefault="00443AD1" w:rsidP="0088335B">
            <w:pPr>
              <w:pStyle w:val="Stopka"/>
              <w:jc w:val="center"/>
            </w:pPr>
            <w:r w:rsidRPr="00257AE6">
              <w:rPr>
                <w:rFonts w:cs="Arial"/>
              </w:rPr>
              <w:t xml:space="preserve">Strona </w:t>
            </w:r>
            <w:r w:rsidRPr="00257AE6">
              <w:rPr>
                <w:rFonts w:cs="Arial"/>
                <w:b/>
                <w:bCs/>
                <w:sz w:val="24"/>
                <w:szCs w:val="24"/>
              </w:rPr>
              <w:fldChar w:fldCharType="begin"/>
            </w:r>
            <w:r w:rsidRPr="00257AE6">
              <w:rPr>
                <w:rFonts w:cs="Arial"/>
                <w:b/>
                <w:bCs/>
              </w:rPr>
              <w:instrText>PAGE</w:instrText>
            </w:r>
            <w:r w:rsidRPr="00257AE6">
              <w:rPr>
                <w:rFonts w:cs="Arial"/>
                <w:b/>
                <w:bCs/>
                <w:sz w:val="24"/>
                <w:szCs w:val="24"/>
              </w:rPr>
              <w:fldChar w:fldCharType="separate"/>
            </w:r>
            <w:r w:rsidR="00A8147E">
              <w:rPr>
                <w:rFonts w:cs="Arial"/>
                <w:b/>
                <w:bCs/>
                <w:noProof/>
              </w:rPr>
              <w:t>190</w:t>
            </w:r>
            <w:r w:rsidRPr="00257AE6">
              <w:rPr>
                <w:rFonts w:cs="Arial"/>
                <w:b/>
                <w:bCs/>
                <w:sz w:val="24"/>
                <w:szCs w:val="24"/>
              </w:rPr>
              <w:fldChar w:fldCharType="end"/>
            </w:r>
            <w:r w:rsidRPr="00257AE6">
              <w:rPr>
                <w:rFonts w:cs="Arial"/>
              </w:rPr>
              <w:t xml:space="preserve"> z </w:t>
            </w:r>
            <w:r w:rsidRPr="00257AE6">
              <w:rPr>
                <w:rFonts w:cs="Arial"/>
                <w:b/>
                <w:bCs/>
                <w:sz w:val="24"/>
                <w:szCs w:val="24"/>
              </w:rPr>
              <w:fldChar w:fldCharType="begin"/>
            </w:r>
            <w:r w:rsidRPr="00257AE6">
              <w:rPr>
                <w:rFonts w:cs="Arial"/>
                <w:b/>
                <w:bCs/>
              </w:rPr>
              <w:instrText>NUMPAGES</w:instrText>
            </w:r>
            <w:r w:rsidRPr="00257AE6">
              <w:rPr>
                <w:rFonts w:cs="Arial"/>
                <w:b/>
                <w:bCs/>
                <w:sz w:val="24"/>
                <w:szCs w:val="24"/>
              </w:rPr>
              <w:fldChar w:fldCharType="separate"/>
            </w:r>
            <w:r w:rsidR="00A8147E">
              <w:rPr>
                <w:rFonts w:cs="Arial"/>
                <w:b/>
                <w:bCs/>
                <w:noProof/>
              </w:rPr>
              <w:t>190</w:t>
            </w:r>
            <w:r w:rsidRPr="00257AE6">
              <w:rPr>
                <w:rFonts w:cs="Arial"/>
                <w:b/>
                <w:bCs/>
                <w:sz w:val="24"/>
                <w:szCs w:val="24"/>
              </w:rPr>
              <w:fldChar w:fldCharType="end"/>
            </w:r>
          </w:p>
        </w:sdtContent>
      </w:sdt>
    </w:sdtContent>
  </w:sdt>
  <w:p w14:paraId="5EC81EE9" w14:textId="77777777" w:rsidR="00443AD1" w:rsidRDefault="00443AD1"/>
  <w:p w14:paraId="3E56A9E2" w14:textId="77777777" w:rsidR="00443AD1" w:rsidRDefault="00443AD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41FB9" w14:textId="77777777" w:rsidR="00064BAA" w:rsidRDefault="00064BAA" w:rsidP="00026E3A">
      <w:pPr>
        <w:spacing w:line="240" w:lineRule="auto"/>
      </w:pPr>
      <w:r>
        <w:separator/>
      </w:r>
    </w:p>
  </w:footnote>
  <w:footnote w:type="continuationSeparator" w:id="0">
    <w:p w14:paraId="2BDED13F" w14:textId="77777777" w:rsidR="00064BAA" w:rsidRDefault="00064BAA" w:rsidP="00026E3A">
      <w:pPr>
        <w:spacing w:line="240" w:lineRule="auto"/>
      </w:pPr>
      <w:r>
        <w:continuationSeparator/>
      </w:r>
    </w:p>
  </w:footnote>
  <w:footnote w:type="continuationNotice" w:id="1">
    <w:p w14:paraId="1D9764A1" w14:textId="77777777" w:rsidR="00064BAA" w:rsidRDefault="00064BAA">
      <w:pPr>
        <w:spacing w:line="240" w:lineRule="auto"/>
      </w:pPr>
    </w:p>
  </w:footnote>
  <w:footnote w:id="2">
    <w:p w14:paraId="51E0C2A0" w14:textId="77777777" w:rsidR="00443AD1" w:rsidRDefault="00443AD1" w:rsidP="00004862">
      <w:pPr>
        <w:pStyle w:val="Tekstprzypisudolnego"/>
        <w:jc w:val="both"/>
        <w:rPr>
          <w:rFonts w:ascii="Arial" w:hAnsi="Arial" w:cs="Arial"/>
          <w:sz w:val="18"/>
        </w:rPr>
      </w:pPr>
    </w:p>
    <w:p w14:paraId="36974CFE" w14:textId="77777777" w:rsidR="00443AD1" w:rsidRPr="00987479" w:rsidRDefault="00443AD1" w:rsidP="00004862">
      <w:pPr>
        <w:pStyle w:val="Tekstprzypisudolnego"/>
        <w:jc w:val="both"/>
        <w:rPr>
          <w:rFonts w:ascii="Arial" w:hAnsi="Arial" w:cs="Arial"/>
          <w:sz w:val="18"/>
        </w:rPr>
      </w:pPr>
      <w:r w:rsidRPr="00987479">
        <w:rPr>
          <w:rStyle w:val="Odwoanieprzypisudolnego"/>
          <w:sz w:val="18"/>
        </w:rPr>
        <w:footnoteRef/>
      </w:r>
      <w:r w:rsidRPr="00987479">
        <w:rPr>
          <w:rFonts w:ascii="Arial" w:hAnsi="Arial" w:cs="Arial"/>
          <w:sz w:val="18"/>
        </w:rPr>
        <w:t xml:space="preserve"> Regionalny Program Operacyjnego Województ</w:t>
      </w:r>
      <w:r>
        <w:rPr>
          <w:rFonts w:ascii="Arial" w:hAnsi="Arial" w:cs="Arial"/>
          <w:sz w:val="18"/>
        </w:rPr>
        <w:t xml:space="preserve">wa Śląskiego na lata 2014-2020, </w:t>
      </w:r>
      <w:r w:rsidRPr="00987479">
        <w:rPr>
          <w:rFonts w:ascii="Arial" w:hAnsi="Arial" w:cs="Arial"/>
          <w:sz w:val="18"/>
        </w:rPr>
        <w:t>s. 39</w:t>
      </w:r>
      <w:r>
        <w:rPr>
          <w:rFonts w:ascii="Arial" w:hAnsi="Arial" w:cs="Arial"/>
          <w:sz w:val="18"/>
        </w:rPr>
        <w:t>.</w:t>
      </w:r>
    </w:p>
  </w:footnote>
  <w:footnote w:id="3">
    <w:p w14:paraId="65717015" w14:textId="77777777" w:rsidR="00443AD1" w:rsidRPr="00987479" w:rsidRDefault="00443AD1" w:rsidP="002375E8">
      <w:pPr>
        <w:pStyle w:val="Tekstprzypisudolnego"/>
        <w:jc w:val="both"/>
        <w:rPr>
          <w:rFonts w:ascii="Arial" w:hAnsi="Arial" w:cs="Arial"/>
          <w:sz w:val="18"/>
        </w:rPr>
      </w:pPr>
      <w:r w:rsidRPr="00987479">
        <w:rPr>
          <w:rStyle w:val="Odwoanieprzypisudolnego"/>
          <w:sz w:val="18"/>
        </w:rPr>
        <w:footnoteRef/>
      </w:r>
      <w:r w:rsidRPr="00987479">
        <w:rPr>
          <w:rFonts w:ascii="Arial" w:hAnsi="Arial" w:cs="Arial"/>
          <w:sz w:val="18"/>
        </w:rPr>
        <w:t xml:space="preserve"> Brak danych dla roku 2015.</w:t>
      </w:r>
    </w:p>
  </w:footnote>
  <w:footnote w:id="4">
    <w:p w14:paraId="4BE5BE3A" w14:textId="77777777" w:rsidR="00443AD1" w:rsidRPr="00987479" w:rsidRDefault="00443AD1" w:rsidP="002375E8">
      <w:pPr>
        <w:pStyle w:val="Tekstprzypisudolnego"/>
        <w:jc w:val="both"/>
        <w:rPr>
          <w:rFonts w:ascii="Arial" w:hAnsi="Arial" w:cs="Arial"/>
        </w:rPr>
      </w:pPr>
      <w:r w:rsidRPr="00987479">
        <w:rPr>
          <w:rStyle w:val="Odwoanieprzypisudolnego"/>
        </w:rPr>
        <w:footnoteRef/>
      </w:r>
      <w:r w:rsidRPr="00987479">
        <w:rPr>
          <w:rFonts w:ascii="Arial" w:hAnsi="Arial" w:cs="Arial"/>
        </w:rPr>
        <w:t xml:space="preserve"> Pintal D., Tomaszewicz D., Domaradzka-Grochowalska Z. dla Ośrodka Rozwoju Oświaty, </w:t>
      </w:r>
      <w:r w:rsidRPr="00987479">
        <w:rPr>
          <w:rFonts w:ascii="Arial" w:hAnsi="Arial" w:cs="Arial"/>
          <w:i/>
        </w:rPr>
        <w:t xml:space="preserve">Rola jednostek samorządu terytorialnego w rozwijaniu szkół i kształtowaniu kompetencji kluczowych uczniów, </w:t>
      </w:r>
      <w:r w:rsidRPr="00987479">
        <w:rPr>
          <w:rFonts w:ascii="Arial" w:hAnsi="Arial" w:cs="Arial"/>
        </w:rPr>
        <w:t>Warszawa 2018</w:t>
      </w:r>
      <w:r>
        <w:rPr>
          <w:rFonts w:ascii="Arial" w:hAnsi="Arial" w:cs="Arial"/>
        </w:rPr>
        <w:t>, s.30</w:t>
      </w:r>
      <w:r w:rsidRPr="00987479">
        <w:rPr>
          <w:rFonts w:ascii="Arial" w:hAnsi="Arial" w:cs="Arial"/>
        </w:rPr>
        <w:t>.</w:t>
      </w:r>
    </w:p>
  </w:footnote>
  <w:footnote w:id="5">
    <w:p w14:paraId="47BFA6CA" w14:textId="77777777" w:rsidR="00443AD1" w:rsidRPr="00987479" w:rsidRDefault="00443AD1" w:rsidP="002375E8">
      <w:pPr>
        <w:pStyle w:val="Tekstprzypisudolnego"/>
        <w:jc w:val="both"/>
        <w:rPr>
          <w:rFonts w:ascii="Arial" w:hAnsi="Arial" w:cs="Arial"/>
        </w:rPr>
      </w:pPr>
      <w:r w:rsidRPr="00987479">
        <w:rPr>
          <w:rStyle w:val="Odwoanieprzypisudolnego"/>
        </w:rPr>
        <w:footnoteRef/>
      </w:r>
      <w:r w:rsidRPr="00987479">
        <w:rPr>
          <w:rFonts w:ascii="Arial" w:hAnsi="Arial" w:cs="Arial"/>
        </w:rPr>
        <w:t xml:space="preserve"> </w:t>
      </w:r>
      <w:r w:rsidRPr="005032FE">
        <w:rPr>
          <w:rFonts w:ascii="Arial" w:hAnsi="Arial" w:cs="Arial"/>
          <w:i/>
        </w:rPr>
        <w:t>Sytuacja społeczno-gospodarcza osób do 30 roku życia w województwie śląskim</w:t>
      </w:r>
      <w:r w:rsidRPr="00987479">
        <w:rPr>
          <w:rFonts w:ascii="Arial" w:hAnsi="Arial" w:cs="Arial"/>
        </w:rPr>
        <w:t>, s. 5-8.</w:t>
      </w:r>
    </w:p>
  </w:footnote>
  <w:footnote w:id="6">
    <w:p w14:paraId="1E6E668E" w14:textId="77777777" w:rsidR="00443AD1" w:rsidRPr="00987479" w:rsidRDefault="00443AD1" w:rsidP="002375E8">
      <w:pPr>
        <w:pStyle w:val="Tekstprzypisudolnego"/>
        <w:jc w:val="both"/>
        <w:rPr>
          <w:rFonts w:ascii="Arial" w:hAnsi="Arial" w:cs="Arial"/>
          <w:sz w:val="18"/>
        </w:rPr>
      </w:pPr>
      <w:r w:rsidRPr="00987479">
        <w:rPr>
          <w:rStyle w:val="Odwoanieprzypisudolnego"/>
          <w:sz w:val="18"/>
        </w:rPr>
        <w:footnoteRef/>
      </w:r>
      <w:r w:rsidRPr="00987479">
        <w:rPr>
          <w:rFonts w:ascii="Arial" w:hAnsi="Arial" w:cs="Arial"/>
          <w:sz w:val="18"/>
        </w:rPr>
        <w:t xml:space="preserve"> Program Rozwoju Szkolnictwa Zawodowego Województwa Śląskiego na lata 2014-2020, s.96-97.</w:t>
      </w:r>
    </w:p>
  </w:footnote>
  <w:footnote w:id="7">
    <w:p w14:paraId="0C6120E4" w14:textId="77777777" w:rsidR="00443AD1" w:rsidRPr="00987479" w:rsidRDefault="00443AD1" w:rsidP="002375E8">
      <w:pPr>
        <w:pStyle w:val="Tekstprzypisudolnego"/>
        <w:jc w:val="both"/>
        <w:rPr>
          <w:rFonts w:ascii="Arial" w:hAnsi="Arial" w:cs="Arial"/>
          <w:sz w:val="18"/>
        </w:rPr>
      </w:pPr>
      <w:r w:rsidRPr="00987479">
        <w:rPr>
          <w:rStyle w:val="Odwoanieprzypisudolnego"/>
          <w:sz w:val="18"/>
        </w:rPr>
        <w:footnoteRef/>
      </w:r>
      <w:r w:rsidRPr="00987479">
        <w:rPr>
          <w:rFonts w:ascii="Arial" w:hAnsi="Arial" w:cs="Arial"/>
          <w:sz w:val="18"/>
        </w:rPr>
        <w:t xml:space="preserve"> Prognoza potrzeb rynku pracy województwa śląskiego w kontekście branż i zawodów, w których do roku 2022 wystąpi deficyt wykwalifikowanych pracowników i dla których niezbędne będzie tworzenie CKZIU</w:t>
      </w:r>
      <w:r>
        <w:rPr>
          <w:rFonts w:ascii="Arial" w:hAnsi="Arial" w:cs="Arial"/>
          <w:sz w:val="18"/>
        </w:rPr>
        <w:t>, s.90-91</w:t>
      </w:r>
      <w:r w:rsidRPr="00987479">
        <w:rPr>
          <w:rFonts w:ascii="Arial" w:hAnsi="Arial" w:cs="Arial"/>
          <w:sz w:val="18"/>
        </w:rPr>
        <w:t>.</w:t>
      </w:r>
    </w:p>
  </w:footnote>
  <w:footnote w:id="8">
    <w:p w14:paraId="0537935D" w14:textId="77777777" w:rsidR="00443AD1" w:rsidRPr="00987479" w:rsidRDefault="00443AD1" w:rsidP="002375E8">
      <w:pPr>
        <w:pStyle w:val="Tekstprzypisudolnego"/>
        <w:jc w:val="both"/>
        <w:rPr>
          <w:rFonts w:ascii="Arial" w:hAnsi="Arial" w:cs="Arial"/>
          <w:sz w:val="18"/>
        </w:rPr>
      </w:pPr>
      <w:r w:rsidRPr="00987479">
        <w:rPr>
          <w:rStyle w:val="Odwoanieprzypisudolnego"/>
          <w:sz w:val="18"/>
        </w:rPr>
        <w:footnoteRef/>
      </w:r>
      <w:r w:rsidRPr="00987479">
        <w:rPr>
          <w:rFonts w:ascii="Arial" w:hAnsi="Arial" w:cs="Arial"/>
          <w:sz w:val="18"/>
        </w:rPr>
        <w:t xml:space="preserve"> Tamże.</w:t>
      </w:r>
    </w:p>
  </w:footnote>
  <w:footnote w:id="9">
    <w:p w14:paraId="401D03AB" w14:textId="77777777" w:rsidR="00443AD1" w:rsidRPr="00987479" w:rsidRDefault="00443AD1" w:rsidP="002375E8">
      <w:pPr>
        <w:pStyle w:val="Tekstprzypisudolnego"/>
        <w:jc w:val="both"/>
        <w:rPr>
          <w:rFonts w:ascii="Arial" w:hAnsi="Arial" w:cs="Arial"/>
          <w:sz w:val="18"/>
        </w:rPr>
      </w:pPr>
      <w:r w:rsidRPr="00987479">
        <w:rPr>
          <w:rStyle w:val="Odwoanieprzypisudolnego"/>
          <w:sz w:val="18"/>
        </w:rPr>
        <w:footnoteRef/>
      </w:r>
      <w:r w:rsidRPr="00987479">
        <w:rPr>
          <w:rFonts w:ascii="Arial" w:hAnsi="Arial" w:cs="Arial"/>
          <w:sz w:val="18"/>
        </w:rPr>
        <w:t xml:space="preserve"> Strategia Rozwoju Województwa Śląskiego „Śląskie 2020” s. 14-15.</w:t>
      </w:r>
    </w:p>
  </w:footnote>
  <w:footnote w:id="10">
    <w:p w14:paraId="34228965" w14:textId="77777777" w:rsidR="00443AD1" w:rsidRPr="00B95DAC" w:rsidRDefault="00443AD1" w:rsidP="002375E8">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Opracowano na podstawie danych wg stanu na grudzień 2018. Brak danych za rok 2019. </w:t>
      </w:r>
    </w:p>
  </w:footnote>
  <w:footnote w:id="11">
    <w:p w14:paraId="2BFDAC1A" w14:textId="77777777" w:rsidR="00443AD1" w:rsidRPr="00B95DAC" w:rsidRDefault="00443AD1" w:rsidP="002375E8">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Zapotrzebowanie na kwalifikacje/umiejętności w przedsiębiorstwach w województwie śląskim, s.1-3.</w:t>
      </w:r>
    </w:p>
  </w:footnote>
  <w:footnote w:id="12">
    <w:p w14:paraId="3DC03511" w14:textId="77777777" w:rsidR="00443AD1" w:rsidRPr="00B95DAC" w:rsidRDefault="00443AD1" w:rsidP="002375E8">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Barometr zawodów 2019 województwo śląskie</w:t>
      </w:r>
      <w:r>
        <w:rPr>
          <w:rFonts w:ascii="Arial" w:hAnsi="Arial" w:cs="Arial"/>
          <w:sz w:val="18"/>
        </w:rPr>
        <w:t>.</w:t>
      </w:r>
    </w:p>
  </w:footnote>
  <w:footnote w:id="13">
    <w:p w14:paraId="11C09BEE" w14:textId="77777777" w:rsidR="00443AD1" w:rsidRPr="00B95DAC" w:rsidRDefault="00443AD1" w:rsidP="002375E8">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Szczegółowy Opis Osi Priorytetowych Regionalnego Programu Operacyjnego Województwa Śląskiego na lata 2014-2020, s.</w:t>
      </w:r>
      <w:r>
        <w:rPr>
          <w:rFonts w:ascii="Arial" w:hAnsi="Arial" w:cs="Arial"/>
          <w:sz w:val="18"/>
        </w:rPr>
        <w:t xml:space="preserve"> </w:t>
      </w:r>
      <w:r w:rsidRPr="00B95DAC">
        <w:rPr>
          <w:rFonts w:ascii="Arial" w:hAnsi="Arial" w:cs="Arial"/>
          <w:sz w:val="18"/>
        </w:rPr>
        <w:t>347.</w:t>
      </w:r>
    </w:p>
  </w:footnote>
  <w:footnote w:id="14">
    <w:p w14:paraId="252AA944" w14:textId="77777777" w:rsidR="00443AD1" w:rsidRPr="00B95DAC" w:rsidRDefault="00443AD1" w:rsidP="002375E8">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Regionalny Program Operacyjny Województwa Śląskiego na lata 2014-2020, s. 284-285.</w:t>
      </w:r>
    </w:p>
  </w:footnote>
  <w:footnote w:id="15">
    <w:p w14:paraId="70AC6B32" w14:textId="77777777" w:rsidR="00443AD1" w:rsidRPr="00B95DAC" w:rsidRDefault="00443AD1" w:rsidP="00DA2E7D">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Szczegółowy Opis Osi Priorytetowych Regionalnego Programu Operacyjnego Województwa Śląskiego na lata 2014-2020, s. 380.</w:t>
      </w:r>
    </w:p>
  </w:footnote>
  <w:footnote w:id="16">
    <w:p w14:paraId="219940AC" w14:textId="77777777" w:rsidR="00443AD1" w:rsidRPr="00B95DAC" w:rsidRDefault="00443AD1" w:rsidP="000F3F66">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Wskaźnik mierzony dwukrotnie w okresie programowania w roku 2019 i 2023.</w:t>
      </w:r>
    </w:p>
  </w:footnote>
  <w:footnote w:id="17">
    <w:p w14:paraId="0F52C25B" w14:textId="77777777" w:rsidR="00443AD1" w:rsidRPr="00B95DAC" w:rsidRDefault="00443AD1" w:rsidP="000F3F66">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Wskaźnik został dodany po zmianie w RPO WSL 2014-2020. Nabór projektów został ogłoszony w kwietniu 2019 roku, nie podpisano jeszcze umów w tym zakresie.</w:t>
      </w:r>
    </w:p>
  </w:footnote>
  <w:footnote w:id="18">
    <w:p w14:paraId="74F6D58D" w14:textId="77777777" w:rsidR="00443AD1" w:rsidRPr="00B95DAC" w:rsidRDefault="00443AD1" w:rsidP="000F3F66">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Wskaźnik został dodany po zmianie w RPO WSL 2014-2020. Nabór projektów został ogłoszony w kwietniu 2019 roku, nie podpisano jeszcze umów w tym zakresie.</w:t>
      </w:r>
    </w:p>
  </w:footnote>
  <w:footnote w:id="19">
    <w:p w14:paraId="3C6B80C7" w14:textId="77777777" w:rsidR="00443AD1" w:rsidRPr="00B95DAC" w:rsidRDefault="00443AD1" w:rsidP="00846F83">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Jest to wskaźnik specyficzny dla Programu i nie został ujęty w WLWK. Szacowana realizacja na podstawie umów wyniosła 156 000, tj. 100% wartości docelowej.</w:t>
      </w:r>
    </w:p>
  </w:footnote>
  <w:footnote w:id="20">
    <w:p w14:paraId="03382432" w14:textId="77777777" w:rsidR="00443AD1" w:rsidRDefault="00443AD1" w:rsidP="00023F05">
      <w:pPr>
        <w:pStyle w:val="Tekstprzypisudolnego"/>
      </w:pPr>
      <w:r>
        <w:rPr>
          <w:rStyle w:val="Odwoanieprzypisudolnego"/>
        </w:rPr>
        <w:footnoteRef/>
      </w:r>
      <w:r>
        <w:t xml:space="preserve"> </w:t>
      </w:r>
      <w:r w:rsidRPr="005D77C6">
        <w:t>Diagnoza RPO WSL 2014-2020, str. 29</w:t>
      </w:r>
    </w:p>
  </w:footnote>
  <w:footnote w:id="21">
    <w:p w14:paraId="1BD133BC" w14:textId="77777777" w:rsidR="00443AD1" w:rsidRDefault="00443AD1" w:rsidP="00023F05">
      <w:pPr>
        <w:pStyle w:val="Tekstprzypisudolnego"/>
      </w:pPr>
      <w:r>
        <w:rPr>
          <w:rStyle w:val="Odwoanieprzypisudolnego"/>
        </w:rPr>
        <w:footnoteRef/>
      </w:r>
      <w:r>
        <w:t xml:space="preserve"> Ibidem, str. 39</w:t>
      </w:r>
    </w:p>
  </w:footnote>
  <w:footnote w:id="22">
    <w:p w14:paraId="43BA7529" w14:textId="77777777" w:rsidR="00443AD1" w:rsidRDefault="00443AD1" w:rsidP="00023F05">
      <w:pPr>
        <w:pStyle w:val="Tekstprzypisudolnego"/>
      </w:pPr>
      <w:r>
        <w:rPr>
          <w:rStyle w:val="Odwoanieprzypisudolnego"/>
        </w:rPr>
        <w:footnoteRef/>
      </w:r>
      <w:r>
        <w:t xml:space="preserve"> Ibidem, str. 39</w:t>
      </w:r>
    </w:p>
  </w:footnote>
  <w:footnote w:id="23">
    <w:p w14:paraId="632D89C6" w14:textId="77777777" w:rsidR="00443AD1" w:rsidRDefault="00443AD1" w:rsidP="00023F05">
      <w:pPr>
        <w:pStyle w:val="Tekstprzypisudolnego"/>
      </w:pPr>
      <w:r>
        <w:rPr>
          <w:rStyle w:val="Odwoanieprzypisudolnego"/>
        </w:rPr>
        <w:footnoteRef/>
      </w:r>
      <w:r>
        <w:t xml:space="preserve"> Ibidem, str. 67</w:t>
      </w:r>
    </w:p>
  </w:footnote>
  <w:footnote w:id="24">
    <w:p w14:paraId="650B4FA3" w14:textId="77777777" w:rsidR="00443AD1" w:rsidRDefault="00443AD1" w:rsidP="00023F05">
      <w:pPr>
        <w:pStyle w:val="Tekstprzypisudolnego"/>
      </w:pPr>
      <w:r>
        <w:rPr>
          <w:rStyle w:val="Odwoanieprzypisudolnego"/>
        </w:rPr>
        <w:footnoteRef/>
      </w:r>
      <w:r>
        <w:t xml:space="preserve"> </w:t>
      </w:r>
      <w:r w:rsidRPr="006C7191">
        <w:t>Strategia Rozwoju Województwa Śląskiego „Śląskie 2020+”, str. 71</w:t>
      </w:r>
      <w:r>
        <w:t>.</w:t>
      </w:r>
    </w:p>
  </w:footnote>
  <w:footnote w:id="25">
    <w:p w14:paraId="7DFB10D4" w14:textId="77777777" w:rsidR="00443AD1" w:rsidRDefault="00443AD1" w:rsidP="00023F05">
      <w:pPr>
        <w:pStyle w:val="Tekstprzypisudolnego"/>
      </w:pPr>
      <w:r>
        <w:rPr>
          <w:rStyle w:val="Odwoanieprzypisudolnego"/>
        </w:rPr>
        <w:footnoteRef/>
      </w:r>
      <w:r>
        <w:t xml:space="preserve"> </w:t>
      </w:r>
      <w:r w:rsidRPr="006C7191">
        <w:t>Ewaluacja ex-ante Regionalnego Programu Operacyjnego na lata 2014-2020, str. 33 – wykazana zgodność z dokumentami strategicznymi</w:t>
      </w:r>
      <w:r>
        <w:t>.</w:t>
      </w:r>
    </w:p>
  </w:footnote>
  <w:footnote w:id="26">
    <w:p w14:paraId="23C19572" w14:textId="77777777" w:rsidR="00443AD1" w:rsidRDefault="00443AD1" w:rsidP="00023F05">
      <w:pPr>
        <w:pStyle w:val="Tekstprzypisudolnego"/>
      </w:pPr>
      <w:r>
        <w:rPr>
          <w:rStyle w:val="Odwoanieprzypisudolnego"/>
        </w:rPr>
        <w:footnoteRef/>
      </w:r>
      <w:r>
        <w:t xml:space="preserve"> Ibidem.</w:t>
      </w:r>
    </w:p>
  </w:footnote>
  <w:footnote w:id="27">
    <w:p w14:paraId="548EF6C7" w14:textId="77777777" w:rsidR="00443AD1" w:rsidRDefault="00443AD1" w:rsidP="00023F05">
      <w:pPr>
        <w:pStyle w:val="Tekstprzypisudolnego"/>
      </w:pPr>
      <w:r>
        <w:rPr>
          <w:rStyle w:val="Odwoanieprzypisudolnego"/>
        </w:rPr>
        <w:footnoteRef/>
      </w:r>
      <w:r>
        <w:t xml:space="preserve"> </w:t>
      </w:r>
      <w:r w:rsidRPr="005D77C6">
        <w:t>Diagnoza RPO WSL 2014-2020, str. 39</w:t>
      </w:r>
    </w:p>
  </w:footnote>
  <w:footnote w:id="28">
    <w:p w14:paraId="0B9E0B42" w14:textId="77777777" w:rsidR="00443AD1" w:rsidRDefault="00443AD1" w:rsidP="00023F05">
      <w:pPr>
        <w:pStyle w:val="Tekstprzypisudolnego"/>
      </w:pPr>
      <w:r>
        <w:rPr>
          <w:rStyle w:val="Odwoanieprzypisudolnego"/>
        </w:rPr>
        <w:footnoteRef/>
      </w:r>
      <w:r>
        <w:t xml:space="preserve"> Ibidem, str. 42</w:t>
      </w:r>
    </w:p>
  </w:footnote>
  <w:footnote w:id="29">
    <w:p w14:paraId="4922AA15" w14:textId="77777777" w:rsidR="00443AD1" w:rsidRDefault="00443AD1" w:rsidP="00023F05">
      <w:pPr>
        <w:pStyle w:val="Tekstprzypisudolnego"/>
      </w:pPr>
      <w:r>
        <w:rPr>
          <w:rStyle w:val="Odwoanieprzypisudolnego"/>
        </w:rPr>
        <w:footnoteRef/>
      </w:r>
      <w:r>
        <w:t xml:space="preserve"> </w:t>
      </w:r>
      <w:r w:rsidRPr="005D77C6">
        <w:t>Ibidem, str. 42</w:t>
      </w:r>
    </w:p>
  </w:footnote>
  <w:footnote w:id="30">
    <w:p w14:paraId="51E3CFEE" w14:textId="77777777" w:rsidR="00443AD1" w:rsidRDefault="00443AD1" w:rsidP="00023F05">
      <w:pPr>
        <w:pStyle w:val="Tekstprzypisudolnego"/>
      </w:pPr>
      <w:r>
        <w:rPr>
          <w:rStyle w:val="Odwoanieprzypisudolnego"/>
        </w:rPr>
        <w:footnoteRef/>
      </w:r>
      <w:r>
        <w:t xml:space="preserve"> </w:t>
      </w:r>
      <w:r w:rsidRPr="005D77C6">
        <w:t>Ibidem, str. 42</w:t>
      </w:r>
    </w:p>
  </w:footnote>
  <w:footnote w:id="31">
    <w:p w14:paraId="2BACB14F" w14:textId="77777777" w:rsidR="00443AD1" w:rsidRDefault="00443AD1" w:rsidP="00023F05">
      <w:pPr>
        <w:pStyle w:val="Tekstprzypisudolnego"/>
      </w:pPr>
      <w:r>
        <w:rPr>
          <w:rStyle w:val="Odwoanieprzypisudolnego"/>
        </w:rPr>
        <w:footnoteRef/>
      </w:r>
      <w:r>
        <w:t xml:space="preserve"> </w:t>
      </w:r>
      <w:r w:rsidRPr="005D77C6">
        <w:t xml:space="preserve">Ibidem, str. </w:t>
      </w:r>
      <w:r>
        <w:t>67</w:t>
      </w:r>
    </w:p>
  </w:footnote>
  <w:footnote w:id="32">
    <w:p w14:paraId="1B1AE0FE" w14:textId="77777777" w:rsidR="00443AD1" w:rsidRDefault="00443AD1" w:rsidP="00023F05">
      <w:pPr>
        <w:pStyle w:val="Tekstprzypisudolnego"/>
      </w:pPr>
      <w:r>
        <w:rPr>
          <w:rStyle w:val="Odwoanieprzypisudolnego"/>
        </w:rPr>
        <w:footnoteRef/>
      </w:r>
      <w:r>
        <w:t xml:space="preserve"> </w:t>
      </w:r>
      <w:r w:rsidRPr="006C7191">
        <w:t>Prognoza potrzeb rynku pracy województwa śląskiego w kontekście branż i zawodów, w których do roku 2022 wystąpi deficyt wykwalifikowanych pracowników i dla których niezbędne będzie tworzenie CKZIU, Openfield sp. z o.o., Katowice 2016, str. 119</w:t>
      </w:r>
      <w:r>
        <w:t>.</w:t>
      </w:r>
    </w:p>
  </w:footnote>
  <w:footnote w:id="33">
    <w:p w14:paraId="71363A13" w14:textId="77777777" w:rsidR="00443AD1" w:rsidRDefault="00443AD1" w:rsidP="00023F05">
      <w:pPr>
        <w:pStyle w:val="Tekstprzypisudolnego"/>
      </w:pPr>
      <w:r>
        <w:rPr>
          <w:rStyle w:val="Odwoanieprzypisudolnego"/>
        </w:rPr>
        <w:footnoteRef/>
      </w:r>
      <w:r>
        <w:t xml:space="preserve"> </w:t>
      </w:r>
      <w:r w:rsidRPr="006C7191">
        <w:t>Ewaluacja wsparcia realizowanego w obszarze edukacji w ramach Europejskiego Funduszu Społecznego, Evalu sp. z o.o., InterActive sp. z o.o, str. 219</w:t>
      </w:r>
      <w:r>
        <w:t>.</w:t>
      </w:r>
    </w:p>
  </w:footnote>
  <w:footnote w:id="34">
    <w:p w14:paraId="485EE7E2" w14:textId="77777777" w:rsidR="00443AD1" w:rsidRDefault="00443AD1" w:rsidP="00023F05">
      <w:pPr>
        <w:pStyle w:val="Tekstprzypisudolnego"/>
      </w:pPr>
      <w:r>
        <w:rPr>
          <w:rStyle w:val="Odwoanieprzypisudolnego"/>
        </w:rPr>
        <w:footnoteRef/>
      </w:r>
      <w:r>
        <w:t xml:space="preserve"> </w:t>
      </w:r>
      <w:r w:rsidRPr="006C7191">
        <w:t>Ewaluacja ex-ante Regionalnego Programu Operacyjnego na lata 2014-2020, str. 33 – wykazana zgodność z dokumentami strategicznymi</w:t>
      </w:r>
      <w:r>
        <w:t>.</w:t>
      </w:r>
    </w:p>
  </w:footnote>
  <w:footnote w:id="35">
    <w:p w14:paraId="7BF2A20A" w14:textId="77777777" w:rsidR="00443AD1" w:rsidRDefault="00443AD1" w:rsidP="00023F05">
      <w:pPr>
        <w:pStyle w:val="Tekstprzypisudolnego"/>
      </w:pPr>
      <w:r>
        <w:rPr>
          <w:rStyle w:val="Odwoanieprzypisudolnego"/>
        </w:rPr>
        <w:footnoteRef/>
      </w:r>
      <w:r>
        <w:t xml:space="preserve"> Ibidem.</w:t>
      </w:r>
    </w:p>
  </w:footnote>
  <w:footnote w:id="36">
    <w:p w14:paraId="263F4AC7" w14:textId="77777777" w:rsidR="00443AD1" w:rsidRDefault="00443AD1" w:rsidP="00023F05">
      <w:pPr>
        <w:pStyle w:val="Tekstprzypisudolnego"/>
      </w:pPr>
      <w:r>
        <w:rPr>
          <w:rStyle w:val="Odwoanieprzypisudolnego"/>
        </w:rPr>
        <w:footnoteRef/>
      </w:r>
      <w:r>
        <w:t xml:space="preserve"> Ibidem.</w:t>
      </w:r>
    </w:p>
  </w:footnote>
  <w:footnote w:id="37">
    <w:p w14:paraId="6524728E" w14:textId="77777777" w:rsidR="00443AD1" w:rsidRDefault="00443AD1" w:rsidP="00023F05">
      <w:pPr>
        <w:pStyle w:val="Tekstprzypisudolnego"/>
      </w:pPr>
      <w:r>
        <w:rPr>
          <w:rStyle w:val="Odwoanieprzypisudolnego"/>
        </w:rPr>
        <w:footnoteRef/>
      </w:r>
      <w:r>
        <w:t xml:space="preserve"> </w:t>
      </w:r>
      <w:r w:rsidRPr="005D77C6">
        <w:t>Diagnoza RPO WSL 2014-2020, str. 39</w:t>
      </w:r>
    </w:p>
  </w:footnote>
  <w:footnote w:id="38">
    <w:p w14:paraId="424BAF9E" w14:textId="77777777" w:rsidR="00443AD1" w:rsidRDefault="00443AD1" w:rsidP="00023F05">
      <w:pPr>
        <w:pStyle w:val="Tekstprzypisudolnego"/>
      </w:pPr>
      <w:r>
        <w:rPr>
          <w:rStyle w:val="Odwoanieprzypisudolnego"/>
        </w:rPr>
        <w:footnoteRef/>
      </w:r>
      <w:r>
        <w:t xml:space="preserve"> Ibidem, str. 42</w:t>
      </w:r>
    </w:p>
  </w:footnote>
  <w:footnote w:id="39">
    <w:p w14:paraId="6C9D07CD" w14:textId="77777777" w:rsidR="00443AD1" w:rsidRDefault="00443AD1" w:rsidP="00023F05">
      <w:pPr>
        <w:pStyle w:val="Tekstprzypisudolnego"/>
      </w:pPr>
      <w:r>
        <w:rPr>
          <w:rStyle w:val="Odwoanieprzypisudolnego"/>
        </w:rPr>
        <w:footnoteRef/>
      </w:r>
      <w:r>
        <w:t xml:space="preserve"> </w:t>
      </w:r>
      <w:r w:rsidRPr="005D77C6">
        <w:t>Ibidem, str. 4</w:t>
      </w:r>
      <w:r>
        <w:t>3</w:t>
      </w:r>
    </w:p>
  </w:footnote>
  <w:footnote w:id="40">
    <w:p w14:paraId="5F4147A5" w14:textId="77777777" w:rsidR="00443AD1" w:rsidRDefault="00443AD1" w:rsidP="00023F05">
      <w:pPr>
        <w:pStyle w:val="Tekstprzypisudolnego"/>
      </w:pPr>
      <w:r>
        <w:rPr>
          <w:rStyle w:val="Odwoanieprzypisudolnego"/>
        </w:rPr>
        <w:footnoteRef/>
      </w:r>
      <w:r>
        <w:t xml:space="preserve"> </w:t>
      </w:r>
      <w:r w:rsidRPr="005D77C6">
        <w:t>Ibidem, str. 4</w:t>
      </w:r>
      <w:r>
        <w:t>4</w:t>
      </w:r>
    </w:p>
  </w:footnote>
  <w:footnote w:id="41">
    <w:p w14:paraId="66666EAA" w14:textId="77777777" w:rsidR="00443AD1" w:rsidRDefault="00443AD1" w:rsidP="00023F05">
      <w:pPr>
        <w:pStyle w:val="Tekstprzypisudolnego"/>
      </w:pPr>
      <w:r>
        <w:rPr>
          <w:rStyle w:val="Odwoanieprzypisudolnego"/>
        </w:rPr>
        <w:footnoteRef/>
      </w:r>
      <w:r>
        <w:t xml:space="preserve"> </w:t>
      </w:r>
      <w:r w:rsidRPr="005D77C6">
        <w:t xml:space="preserve">Ibidem, str. </w:t>
      </w:r>
      <w:r>
        <w:t>67</w:t>
      </w:r>
    </w:p>
  </w:footnote>
  <w:footnote w:id="42">
    <w:p w14:paraId="02B054EA" w14:textId="77777777" w:rsidR="00443AD1" w:rsidRDefault="00443AD1" w:rsidP="00023F05">
      <w:pPr>
        <w:pStyle w:val="Tekstprzypisudolnego"/>
      </w:pPr>
      <w:r>
        <w:rPr>
          <w:rStyle w:val="Odwoanieprzypisudolnego"/>
        </w:rPr>
        <w:footnoteRef/>
      </w:r>
      <w:r>
        <w:t xml:space="preserve"> </w:t>
      </w:r>
      <w:r w:rsidRPr="000065D7">
        <w:t>Prognoza potrzeb rynku pracy województwa śląskiego w kontekście branż i zawodów, w których do roku 2022 wystąpi deficyt wykwalifikowanych pracowników i dla których niezbędne będzie tworzenie CKZIU, Openfield sp. z o.o., Katowice 2016, str. 119</w:t>
      </w:r>
      <w:r>
        <w:t>.</w:t>
      </w:r>
    </w:p>
  </w:footnote>
  <w:footnote w:id="43">
    <w:p w14:paraId="41B650BA" w14:textId="77777777" w:rsidR="00443AD1" w:rsidRDefault="00443AD1" w:rsidP="00023F05">
      <w:pPr>
        <w:pStyle w:val="Tekstprzypisudolnego"/>
      </w:pPr>
      <w:r>
        <w:rPr>
          <w:rStyle w:val="Odwoanieprzypisudolnego"/>
        </w:rPr>
        <w:footnoteRef/>
      </w:r>
      <w:r>
        <w:t xml:space="preserve"> Ibidem.</w:t>
      </w:r>
    </w:p>
  </w:footnote>
  <w:footnote w:id="44">
    <w:p w14:paraId="0A43C080" w14:textId="77777777" w:rsidR="00443AD1" w:rsidRDefault="00443AD1" w:rsidP="00023F05">
      <w:pPr>
        <w:pStyle w:val="Tekstprzypisudolnego"/>
      </w:pPr>
      <w:r>
        <w:rPr>
          <w:rStyle w:val="Odwoanieprzypisudolnego"/>
        </w:rPr>
        <w:footnoteRef/>
      </w:r>
      <w:r>
        <w:t xml:space="preserve"> </w:t>
      </w:r>
      <w:r w:rsidRPr="000065D7">
        <w:t>Ewaluacja wsparcia realizowanego w obszarze edukacji w ramach Europejskiego Funduszu Społecznego, Evalu sp. z o.o., InterActive sp. z o.o, str. 219</w:t>
      </w:r>
      <w:r>
        <w:t>.</w:t>
      </w:r>
    </w:p>
  </w:footnote>
  <w:footnote w:id="45">
    <w:p w14:paraId="643C9935" w14:textId="77777777" w:rsidR="00443AD1" w:rsidRDefault="00443AD1" w:rsidP="00023F05">
      <w:pPr>
        <w:pStyle w:val="Tekstprzypisudolnego"/>
      </w:pPr>
      <w:r>
        <w:rPr>
          <w:rStyle w:val="Odwoanieprzypisudolnego"/>
        </w:rPr>
        <w:footnoteRef/>
      </w:r>
      <w:r>
        <w:t xml:space="preserve"> </w:t>
      </w:r>
      <w:r w:rsidRPr="000065D7">
        <w:t>Strategia Rozwoju Województwa Śląskiego „Śląskie 2020+”, str. 70</w:t>
      </w:r>
      <w:r>
        <w:t>.</w:t>
      </w:r>
    </w:p>
  </w:footnote>
  <w:footnote w:id="46">
    <w:p w14:paraId="03CE74A1" w14:textId="77777777" w:rsidR="00443AD1" w:rsidRDefault="00443AD1" w:rsidP="00023F05">
      <w:pPr>
        <w:pStyle w:val="Tekstprzypisudolnego"/>
      </w:pPr>
      <w:r>
        <w:rPr>
          <w:rStyle w:val="Odwoanieprzypisudolnego"/>
        </w:rPr>
        <w:footnoteRef/>
      </w:r>
      <w:r>
        <w:t xml:space="preserve"> Ibidem.</w:t>
      </w:r>
    </w:p>
  </w:footnote>
  <w:footnote w:id="47">
    <w:p w14:paraId="225CE6F5" w14:textId="77777777" w:rsidR="00443AD1" w:rsidRDefault="00443AD1" w:rsidP="00023F05">
      <w:pPr>
        <w:pStyle w:val="Tekstprzypisudolnego"/>
      </w:pPr>
      <w:r>
        <w:rPr>
          <w:rStyle w:val="Odwoanieprzypisudolnego"/>
        </w:rPr>
        <w:footnoteRef/>
      </w:r>
      <w:r>
        <w:t xml:space="preserve"> </w:t>
      </w:r>
      <w:r w:rsidRPr="000065D7">
        <w:t>Program Rozwoju Szkolnictwa Zawodowego Województwa Śląskiego na lata 2014 – 2020, str. 96</w:t>
      </w:r>
      <w:r>
        <w:t>.</w:t>
      </w:r>
    </w:p>
  </w:footnote>
  <w:footnote w:id="48">
    <w:p w14:paraId="61150DC2" w14:textId="77777777" w:rsidR="00443AD1" w:rsidRPr="00B95DAC" w:rsidRDefault="00443AD1" w:rsidP="00023F05">
      <w:pPr>
        <w:pStyle w:val="Tekstprzypisudolnego"/>
        <w:jc w:val="both"/>
        <w:rPr>
          <w:rFonts w:ascii="Arial" w:hAnsi="Arial" w:cs="Arial"/>
          <w:sz w:val="18"/>
        </w:rPr>
      </w:pPr>
    </w:p>
  </w:footnote>
  <w:footnote w:id="49">
    <w:p w14:paraId="7FBDB3A0" w14:textId="77777777" w:rsidR="00443AD1" w:rsidRDefault="00443AD1" w:rsidP="00023F05">
      <w:pPr>
        <w:pStyle w:val="Tekstprzypisudolnego"/>
      </w:pPr>
      <w:r>
        <w:rPr>
          <w:rStyle w:val="Odwoanieprzypisudolnego"/>
        </w:rPr>
        <w:footnoteRef/>
      </w:r>
      <w:r>
        <w:t xml:space="preserve"> </w:t>
      </w:r>
      <w:r w:rsidRPr="005D77C6">
        <w:t>Diagnoza RPO WSL 2014-2020, str. 39</w:t>
      </w:r>
    </w:p>
  </w:footnote>
  <w:footnote w:id="50">
    <w:p w14:paraId="2BA0ED66" w14:textId="77777777" w:rsidR="00443AD1" w:rsidRDefault="00443AD1" w:rsidP="00023F05">
      <w:pPr>
        <w:pStyle w:val="Tekstprzypisudolnego"/>
      </w:pPr>
      <w:r>
        <w:rPr>
          <w:rStyle w:val="Odwoanieprzypisudolnego"/>
        </w:rPr>
        <w:footnoteRef/>
      </w:r>
      <w:r>
        <w:t xml:space="preserve"> Ibidem, str. 43</w:t>
      </w:r>
    </w:p>
  </w:footnote>
  <w:footnote w:id="51">
    <w:p w14:paraId="57C027A9" w14:textId="77777777" w:rsidR="00443AD1" w:rsidRDefault="00443AD1" w:rsidP="00023F05">
      <w:pPr>
        <w:pStyle w:val="Tekstprzypisudolnego"/>
      </w:pPr>
      <w:r>
        <w:rPr>
          <w:rStyle w:val="Odwoanieprzypisudolnego"/>
        </w:rPr>
        <w:footnoteRef/>
      </w:r>
      <w:r>
        <w:t xml:space="preserve"> </w:t>
      </w:r>
      <w:r w:rsidRPr="000065D7">
        <w:t>Sytuacja społeczno-gospodarcza osób do 30 roku życia w województwie śląskim, RCAS UM WSL, Katowice 2017, str. 17</w:t>
      </w:r>
      <w:r>
        <w:t>.</w:t>
      </w:r>
    </w:p>
  </w:footnote>
  <w:footnote w:id="52">
    <w:p w14:paraId="01BE74C9" w14:textId="77777777" w:rsidR="00443AD1" w:rsidRDefault="00443AD1" w:rsidP="00023F05">
      <w:pPr>
        <w:pStyle w:val="Tekstprzypisudolnego"/>
      </w:pPr>
      <w:r>
        <w:rPr>
          <w:rStyle w:val="Odwoanieprzypisudolnego"/>
        </w:rPr>
        <w:footnoteRef/>
      </w:r>
      <w:r>
        <w:t xml:space="preserve"> </w:t>
      </w:r>
      <w:r w:rsidRPr="000065D7">
        <w:t>Zapotrzebowanie na kwalifikacje/umiejętności w przedsiębiorstwach w województwie śląskim, Grupa BST, EU-Consult, Katowice 2017, str. 75</w:t>
      </w:r>
      <w:r>
        <w:t>.</w:t>
      </w:r>
    </w:p>
  </w:footnote>
  <w:footnote w:id="53">
    <w:p w14:paraId="0292F633" w14:textId="77777777" w:rsidR="00443AD1" w:rsidRDefault="00443AD1" w:rsidP="00023F05">
      <w:pPr>
        <w:pStyle w:val="Tekstprzypisudolnego"/>
      </w:pPr>
      <w:r>
        <w:rPr>
          <w:rStyle w:val="Odwoanieprzypisudolnego"/>
        </w:rPr>
        <w:footnoteRef/>
      </w:r>
      <w:r>
        <w:t xml:space="preserve"> </w:t>
      </w:r>
      <w:r w:rsidRPr="000065D7">
        <w:t>Ewaluacja ex-ante Regionalnego Programu Operacyjnego na lata 2014-2020, str. 33 – wykazana zgodność z dokumentami strategicznymi</w:t>
      </w:r>
      <w:r>
        <w:t>.</w:t>
      </w:r>
    </w:p>
  </w:footnote>
  <w:footnote w:id="54">
    <w:p w14:paraId="5AFBB854" w14:textId="77777777" w:rsidR="00443AD1" w:rsidRDefault="00443AD1" w:rsidP="00023F05">
      <w:pPr>
        <w:pStyle w:val="Tekstprzypisudolnego"/>
      </w:pPr>
      <w:r>
        <w:rPr>
          <w:rStyle w:val="Odwoanieprzypisudolnego"/>
        </w:rPr>
        <w:footnoteRef/>
      </w:r>
      <w:r>
        <w:t xml:space="preserve"> </w:t>
      </w:r>
      <w:r w:rsidRPr="005D77C6">
        <w:t>Diagnoza RPO WSL 2014-2020, str. 39</w:t>
      </w:r>
    </w:p>
  </w:footnote>
  <w:footnote w:id="55">
    <w:p w14:paraId="05DB4907" w14:textId="77777777" w:rsidR="00443AD1" w:rsidRDefault="00443AD1" w:rsidP="00023F05">
      <w:pPr>
        <w:pStyle w:val="Tekstprzypisudolnego"/>
      </w:pPr>
      <w:r>
        <w:rPr>
          <w:rStyle w:val="Odwoanieprzypisudolnego"/>
        </w:rPr>
        <w:footnoteRef/>
      </w:r>
      <w:r>
        <w:t xml:space="preserve"> Ibidem, str. 43</w:t>
      </w:r>
    </w:p>
  </w:footnote>
  <w:footnote w:id="56">
    <w:p w14:paraId="488D4D8F" w14:textId="77777777" w:rsidR="00443AD1" w:rsidRDefault="00443AD1" w:rsidP="00023F05">
      <w:pPr>
        <w:pStyle w:val="Tekstprzypisudolnego"/>
      </w:pPr>
      <w:r>
        <w:rPr>
          <w:rStyle w:val="Odwoanieprzypisudolnego"/>
        </w:rPr>
        <w:footnoteRef/>
      </w:r>
      <w:r>
        <w:t xml:space="preserve"> </w:t>
      </w:r>
      <w:r w:rsidRPr="005D77C6">
        <w:t>Ibidem, str. 4</w:t>
      </w:r>
      <w:r>
        <w:t>5</w:t>
      </w:r>
    </w:p>
  </w:footnote>
  <w:footnote w:id="57">
    <w:p w14:paraId="6FE553BE" w14:textId="77777777" w:rsidR="00443AD1" w:rsidRDefault="00443AD1" w:rsidP="00023F05">
      <w:pPr>
        <w:pStyle w:val="Tekstprzypisudolnego"/>
      </w:pPr>
      <w:r>
        <w:rPr>
          <w:rStyle w:val="Odwoanieprzypisudolnego"/>
        </w:rPr>
        <w:footnoteRef/>
      </w:r>
      <w:r>
        <w:t xml:space="preserve"> </w:t>
      </w:r>
      <w:r w:rsidRPr="005D77C6">
        <w:t>Ibidem, str. 4</w:t>
      </w:r>
      <w:r>
        <w:t>6</w:t>
      </w:r>
    </w:p>
  </w:footnote>
  <w:footnote w:id="58">
    <w:p w14:paraId="4BCA9656" w14:textId="77777777" w:rsidR="00443AD1" w:rsidRDefault="00443AD1" w:rsidP="00023F05">
      <w:pPr>
        <w:pStyle w:val="Tekstprzypisudolnego"/>
      </w:pPr>
      <w:r>
        <w:rPr>
          <w:rStyle w:val="Odwoanieprzypisudolnego"/>
        </w:rPr>
        <w:footnoteRef/>
      </w:r>
      <w:r>
        <w:t xml:space="preserve"> </w:t>
      </w:r>
      <w:r w:rsidRPr="005D77C6">
        <w:t xml:space="preserve">Ibidem, str. </w:t>
      </w:r>
      <w:r>
        <w:t>72</w:t>
      </w:r>
    </w:p>
  </w:footnote>
  <w:footnote w:id="59">
    <w:p w14:paraId="35F633E4" w14:textId="77777777" w:rsidR="00443AD1" w:rsidRDefault="00443AD1" w:rsidP="00023F05">
      <w:pPr>
        <w:pStyle w:val="Tekstprzypisudolnego"/>
      </w:pPr>
      <w:r>
        <w:rPr>
          <w:rStyle w:val="Odwoanieprzypisudolnego"/>
        </w:rPr>
        <w:footnoteRef/>
      </w:r>
      <w:r>
        <w:t xml:space="preserve"> </w:t>
      </w:r>
      <w:r w:rsidRPr="000065D7">
        <w:t>Zapotrzebowanie na kwalifikacje/umiejętności w przedsiębiorstwach w województwie śląskim, Grupa BST, EU-Consult, Katowice 2017, str. 75</w:t>
      </w:r>
      <w:r>
        <w:t>.</w:t>
      </w:r>
    </w:p>
  </w:footnote>
  <w:footnote w:id="60">
    <w:p w14:paraId="413172B7" w14:textId="77777777" w:rsidR="00443AD1" w:rsidRDefault="00443AD1" w:rsidP="00023F05">
      <w:pPr>
        <w:pStyle w:val="Tekstprzypisudolnego"/>
      </w:pPr>
      <w:r>
        <w:rPr>
          <w:rStyle w:val="Odwoanieprzypisudolnego"/>
        </w:rPr>
        <w:footnoteRef/>
      </w:r>
      <w:r>
        <w:t xml:space="preserve"> Ibidem.</w:t>
      </w:r>
    </w:p>
  </w:footnote>
  <w:footnote w:id="61">
    <w:p w14:paraId="210ABBDC" w14:textId="77777777" w:rsidR="00443AD1" w:rsidRDefault="00443AD1" w:rsidP="00023F05">
      <w:pPr>
        <w:pStyle w:val="Tekstprzypisudolnego"/>
      </w:pPr>
      <w:r>
        <w:rPr>
          <w:rStyle w:val="Odwoanieprzypisudolnego"/>
        </w:rPr>
        <w:footnoteRef/>
      </w:r>
      <w:r>
        <w:t xml:space="preserve"> </w:t>
      </w:r>
      <w:r w:rsidRPr="000065D7">
        <w:t>Strategia Rozwoju Województwa Śląskiego „Śląskie 2020+”, str. 71</w:t>
      </w:r>
      <w:r>
        <w:t>.</w:t>
      </w:r>
    </w:p>
  </w:footnote>
  <w:footnote w:id="62">
    <w:p w14:paraId="33D5B78C" w14:textId="77777777" w:rsidR="00443AD1" w:rsidRDefault="00443AD1" w:rsidP="00023F05">
      <w:pPr>
        <w:pStyle w:val="Tekstprzypisudolnego"/>
      </w:pPr>
      <w:r>
        <w:rPr>
          <w:rStyle w:val="Odwoanieprzypisudolnego"/>
        </w:rPr>
        <w:footnoteRef/>
      </w:r>
      <w:r>
        <w:t xml:space="preserve"> </w:t>
      </w:r>
      <w:r w:rsidRPr="005D77C6">
        <w:t>Diagnoza RPO WSL 2014-2020, str. 39</w:t>
      </w:r>
    </w:p>
  </w:footnote>
  <w:footnote w:id="63">
    <w:p w14:paraId="28EF3A6C" w14:textId="77777777" w:rsidR="00443AD1" w:rsidRDefault="00443AD1" w:rsidP="00023F05">
      <w:pPr>
        <w:pStyle w:val="Tekstprzypisudolnego"/>
      </w:pPr>
      <w:r>
        <w:rPr>
          <w:rStyle w:val="Odwoanieprzypisudolnego"/>
        </w:rPr>
        <w:footnoteRef/>
      </w:r>
      <w:r>
        <w:t xml:space="preserve"> Ibidem, str. 39</w:t>
      </w:r>
    </w:p>
  </w:footnote>
  <w:footnote w:id="64">
    <w:p w14:paraId="7CA0FC6D" w14:textId="77777777" w:rsidR="00443AD1" w:rsidRDefault="00443AD1" w:rsidP="00023F05">
      <w:pPr>
        <w:pStyle w:val="Tekstprzypisudolnego"/>
      </w:pPr>
      <w:r>
        <w:rPr>
          <w:rStyle w:val="Odwoanieprzypisudolnego"/>
        </w:rPr>
        <w:footnoteRef/>
      </w:r>
      <w:r>
        <w:t xml:space="preserve"> Ibidem, str. 69</w:t>
      </w:r>
    </w:p>
  </w:footnote>
  <w:footnote w:id="65">
    <w:p w14:paraId="4700CE78" w14:textId="77777777" w:rsidR="00443AD1" w:rsidRDefault="00443AD1" w:rsidP="00023F05">
      <w:pPr>
        <w:pStyle w:val="Tekstprzypisudolnego"/>
      </w:pPr>
      <w:r>
        <w:rPr>
          <w:rStyle w:val="Odwoanieprzypisudolnego"/>
        </w:rPr>
        <w:footnoteRef/>
      </w:r>
      <w:r>
        <w:t xml:space="preserve"> </w:t>
      </w:r>
      <w:r w:rsidRPr="000065D7">
        <w:t>Strategia Rozwoju Województwa Śląskiego „Śląskie 2020+”, str. 71</w:t>
      </w:r>
      <w:r>
        <w:t>.</w:t>
      </w:r>
    </w:p>
  </w:footnote>
  <w:footnote w:id="66">
    <w:p w14:paraId="04FDA897" w14:textId="77777777" w:rsidR="00443AD1" w:rsidRDefault="00443AD1" w:rsidP="00023F05">
      <w:pPr>
        <w:pStyle w:val="Tekstprzypisudolnego"/>
      </w:pPr>
      <w:r>
        <w:rPr>
          <w:rStyle w:val="Odwoanieprzypisudolnego"/>
        </w:rPr>
        <w:footnoteRef/>
      </w:r>
      <w:r>
        <w:t xml:space="preserve"> </w:t>
      </w:r>
      <w:r w:rsidRPr="003F6478">
        <w:t>Diagnoza RPO WSL 2014-2020, str. 69</w:t>
      </w:r>
    </w:p>
  </w:footnote>
  <w:footnote w:id="67">
    <w:p w14:paraId="123957EA" w14:textId="77777777" w:rsidR="00443AD1" w:rsidRDefault="00443AD1" w:rsidP="00023F05">
      <w:pPr>
        <w:pStyle w:val="Tekstprzypisudolnego"/>
      </w:pPr>
      <w:r>
        <w:rPr>
          <w:rStyle w:val="Odwoanieprzypisudolnego"/>
        </w:rPr>
        <w:footnoteRef/>
      </w:r>
      <w:r>
        <w:t xml:space="preserve"> </w:t>
      </w:r>
      <w:r w:rsidRPr="000065D7">
        <w:t>Program Rozwoju Szkolnictwa Zawodowego Województwa Śląskiego na lata 2014 – 2020, str. 96</w:t>
      </w:r>
      <w:r>
        <w:t>.</w:t>
      </w:r>
    </w:p>
  </w:footnote>
  <w:footnote w:id="68">
    <w:p w14:paraId="3CEE622E" w14:textId="77777777" w:rsidR="00443AD1" w:rsidRDefault="00443AD1">
      <w:pPr>
        <w:pStyle w:val="Tekstprzypisudolnego"/>
      </w:pPr>
      <w:r w:rsidRPr="001E6E38">
        <w:rPr>
          <w:rStyle w:val="Odwoanieprzypisudolnego"/>
        </w:rPr>
        <w:footnoteRef/>
      </w:r>
      <w:r w:rsidRPr="001E6E38">
        <w:t xml:space="preserve"> </w:t>
      </w:r>
      <w:r w:rsidRPr="007B5F7E">
        <w:t>Wartość stanowi % osób udzielających odpowiedzi twierdzącej pośród wszystkich respondentów odpowiadających w ramach poszczególnych kategorii (stanowiących potrzeby, na które odpowiadał projekt) – w podziale na działania.</w:t>
      </w:r>
    </w:p>
  </w:footnote>
  <w:footnote w:id="69">
    <w:p w14:paraId="20396511" w14:textId="77777777" w:rsidR="00443AD1" w:rsidRDefault="00443AD1" w:rsidP="001C6C6F">
      <w:pPr>
        <w:pStyle w:val="Tekstprzypisudolnego"/>
      </w:pPr>
      <w:r w:rsidRPr="007B5F7E">
        <w:rPr>
          <w:rStyle w:val="Odwoanieprzypisudolnego"/>
        </w:rPr>
        <w:footnoteRef/>
      </w:r>
      <w:r w:rsidRPr="007B5F7E">
        <w:t xml:space="preserve"> Wartość stanowi % osób udzielających odpowiedzi „raczej odpowiada” i „zdecydowanie odpowiada” pośród wszystkich respondentów odpowiadających w ramach poszczególnych kategorii (stanowiących przedsięwzięcia, które w największym stopniu odpowiadają na potrzeby placówek edukacyjnych) – w podziale na działania.</w:t>
      </w:r>
    </w:p>
  </w:footnote>
  <w:footnote w:id="70">
    <w:p w14:paraId="54E6F54C" w14:textId="77777777" w:rsidR="00443AD1" w:rsidRDefault="00443AD1" w:rsidP="001C6C6F">
      <w:pPr>
        <w:pStyle w:val="Tekstprzypisudolnego"/>
      </w:pPr>
      <w:r w:rsidRPr="007B5F7E">
        <w:rPr>
          <w:rStyle w:val="Odwoanieprzypisudolnego"/>
        </w:rPr>
        <w:footnoteRef/>
      </w:r>
      <w:r w:rsidRPr="007B5F7E">
        <w:t xml:space="preserve"> Wartość stanowi % osób udzielających odpowiedzi twierdzącej pośród wszystkich respondentów odpowiadających w ramach poszczególnych kategorii (stanowiących potrzeby, na które odpowiadał projekt) – w podziale na działania.</w:t>
      </w:r>
    </w:p>
  </w:footnote>
  <w:footnote w:id="71">
    <w:p w14:paraId="3B5D4052" w14:textId="77777777" w:rsidR="00443AD1" w:rsidRPr="00B95DAC" w:rsidRDefault="00443AD1" w:rsidP="00150A10">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Na podstawie dokumentów: Ewaluacja mid-term dotycząca postępu rzeczowego RPO WSL oraz wkładu Programu w realizację unijnej strategii EU 2020 dla potrzeb przeglądu śródokresowego, Ewaluacja osiągania celów Programu wraz z oceną stanu projektów w ramach ścieżki pozakonkursowej, Ewaluacja wsparcia realizowanego w obszarze edukacji w ramach Europejskiego Funduszu Społecznego oraz dużych projektów oraz analizy baz dostarczonych przez Zamawiającego.</w:t>
      </w:r>
    </w:p>
  </w:footnote>
  <w:footnote w:id="72">
    <w:p w14:paraId="03797038" w14:textId="77777777" w:rsidR="00443AD1" w:rsidRPr="00B95DAC" w:rsidRDefault="00443AD1" w:rsidP="00F52861">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Ibidem.</w:t>
      </w:r>
    </w:p>
  </w:footnote>
  <w:footnote w:id="73">
    <w:p w14:paraId="64D2D36E" w14:textId="77777777" w:rsidR="00443AD1" w:rsidRPr="00150A10" w:rsidRDefault="00443AD1" w:rsidP="00F52861">
      <w:pPr>
        <w:pStyle w:val="Tekstprzypisudolnego"/>
        <w:rPr>
          <w:rFonts w:ascii="Arial" w:hAnsi="Arial" w:cs="Arial"/>
        </w:rPr>
      </w:pPr>
      <w:r w:rsidRPr="00150A10">
        <w:rPr>
          <w:rStyle w:val="Odwoanieprzypisudolnego"/>
        </w:rPr>
        <w:footnoteRef/>
      </w:r>
      <w:r w:rsidRPr="00150A10">
        <w:rPr>
          <w:rFonts w:ascii="Arial" w:hAnsi="Arial" w:cs="Arial"/>
        </w:rPr>
        <w:t xml:space="preserve"> </w:t>
      </w:r>
      <w:r w:rsidRPr="00150A10">
        <w:rPr>
          <w:rFonts w:ascii="Arial" w:hAnsi="Arial" w:cs="Arial"/>
          <w:sz w:val="18"/>
        </w:rPr>
        <w:t>Ibidem.</w:t>
      </w:r>
    </w:p>
  </w:footnote>
  <w:footnote w:id="74">
    <w:p w14:paraId="070620EB" w14:textId="77777777" w:rsidR="00443AD1" w:rsidRPr="00B830C7" w:rsidRDefault="00443AD1" w:rsidP="00876708">
      <w:pPr>
        <w:pStyle w:val="Tekstprzypisudolnego"/>
        <w:jc w:val="both"/>
        <w:rPr>
          <w:rFonts w:ascii="Arial" w:hAnsi="Arial" w:cs="Arial"/>
        </w:rPr>
      </w:pPr>
      <w:r w:rsidRPr="00B830C7">
        <w:rPr>
          <w:rStyle w:val="Odwoanieprzypisudolnego"/>
        </w:rPr>
        <w:footnoteRef/>
      </w:r>
      <w:r w:rsidRPr="00B830C7">
        <w:rPr>
          <w:rFonts w:ascii="Arial" w:hAnsi="Arial" w:cs="Arial"/>
        </w:rPr>
        <w:t xml:space="preserve"> % wykorzystanych środków finansowych z pierwotnie przydzielonej alokacji.</w:t>
      </w:r>
    </w:p>
  </w:footnote>
  <w:footnote w:id="75">
    <w:p w14:paraId="112997D0" w14:textId="77777777" w:rsidR="00443AD1" w:rsidRDefault="00443AD1" w:rsidP="00876708">
      <w:pPr>
        <w:pStyle w:val="Tekstprzypisudolnego"/>
      </w:pPr>
      <w:r>
        <w:rPr>
          <w:rStyle w:val="Odwoanieprzypisudolnego"/>
        </w:rPr>
        <w:footnoteRef/>
      </w:r>
      <w:r>
        <w:t xml:space="preserve"> Badanie CAWI/CATI z beneficjentami.</w:t>
      </w:r>
    </w:p>
  </w:footnote>
  <w:footnote w:id="76">
    <w:p w14:paraId="03B1C222" w14:textId="77777777" w:rsidR="00443AD1" w:rsidRDefault="00443AD1" w:rsidP="00876708">
      <w:pPr>
        <w:pStyle w:val="Tekstprzypisudolnego"/>
      </w:pPr>
      <w:r>
        <w:rPr>
          <w:rStyle w:val="Odwoanieprzypisudolnego"/>
        </w:rPr>
        <w:footnoteRef/>
      </w:r>
      <w:r>
        <w:t xml:space="preserve"> Ibidem.</w:t>
      </w:r>
    </w:p>
  </w:footnote>
  <w:footnote w:id="77">
    <w:p w14:paraId="55715556" w14:textId="77777777" w:rsidR="00443AD1" w:rsidRPr="0051099C" w:rsidRDefault="00443AD1" w:rsidP="0051099C">
      <w:pPr>
        <w:pStyle w:val="Tekstprzypisudolnego"/>
        <w:jc w:val="both"/>
        <w:rPr>
          <w:rFonts w:ascii="Arial" w:hAnsi="Arial" w:cs="Arial"/>
          <w:sz w:val="18"/>
        </w:rPr>
      </w:pPr>
      <w:r w:rsidRPr="0051099C">
        <w:rPr>
          <w:rStyle w:val="Odwoanieprzypisudolnego"/>
          <w:sz w:val="18"/>
        </w:rPr>
        <w:footnoteRef/>
      </w:r>
      <w:r w:rsidRPr="0051099C">
        <w:rPr>
          <w:rFonts w:ascii="Arial" w:hAnsi="Arial" w:cs="Arial"/>
          <w:sz w:val="18"/>
        </w:rPr>
        <w:t xml:space="preserve"> </w:t>
      </w:r>
      <w:r w:rsidRPr="0051099C">
        <w:rPr>
          <w:rFonts w:ascii="Arial" w:hAnsi="Arial" w:cs="Arial"/>
          <w:sz w:val="18"/>
          <w:shd w:val="clear" w:color="auto" w:fill="FFFFFF"/>
        </w:rPr>
        <w:t xml:space="preserve">Ewaluacja wsparcia realizowanego w obszarze edukacji w ramach Europejskiego Funduszu Społecznego, </w:t>
      </w:r>
      <w:r w:rsidRPr="0051099C">
        <w:rPr>
          <w:rFonts w:ascii="Arial" w:hAnsi="Arial" w:cs="Arial"/>
          <w:sz w:val="18"/>
        </w:rPr>
        <w:t>Warszawa, sierpień 2018</w:t>
      </w:r>
      <w:r>
        <w:rPr>
          <w:rFonts w:ascii="Arial" w:hAnsi="Arial" w:cs="Arial"/>
          <w:sz w:val="18"/>
        </w:rPr>
        <w:t>.</w:t>
      </w:r>
    </w:p>
  </w:footnote>
  <w:footnote w:id="78">
    <w:p w14:paraId="77E3ACEA" w14:textId="77777777" w:rsidR="00443AD1" w:rsidRDefault="00443AD1" w:rsidP="001B2A0E">
      <w:pPr>
        <w:pStyle w:val="Tekstprzypisudolnego"/>
      </w:pPr>
      <w:r>
        <w:rPr>
          <w:rStyle w:val="Odwoanieprzypisudolnego"/>
        </w:rPr>
        <w:footnoteRef/>
      </w:r>
      <w:r>
        <w:t xml:space="preserve"> </w:t>
      </w:r>
      <w:r w:rsidRPr="0051099C">
        <w:rPr>
          <w:rFonts w:ascii="Arial" w:hAnsi="Arial" w:cs="Arial"/>
          <w:sz w:val="18"/>
          <w:shd w:val="clear" w:color="auto" w:fill="FFFFFF"/>
        </w:rPr>
        <w:t>Joanna Dąbrowska-Resiak, Jak zwiększyć trwałość rezultatów projektów? Wyniki badania trwałości przedsięwzięć realizowanych przez laureatów konkursu EDUinspiracje z lat 2011–2016, Fundacja Rozwoju Systemu Edukacji, Warszawa 2018</w:t>
      </w:r>
      <w:r>
        <w:rPr>
          <w:rFonts w:ascii="Arial" w:hAnsi="Arial" w:cs="Arial"/>
          <w:sz w:val="18"/>
          <w:shd w:val="clear" w:color="auto" w:fill="FFFFFF"/>
        </w:rPr>
        <w:t>.</w:t>
      </w:r>
    </w:p>
  </w:footnote>
  <w:footnote w:id="79">
    <w:p w14:paraId="746D83B1" w14:textId="77777777" w:rsidR="00443AD1" w:rsidRPr="0051099C" w:rsidRDefault="00443AD1" w:rsidP="0051099C">
      <w:pPr>
        <w:pStyle w:val="Tekstprzypisudolnego"/>
        <w:jc w:val="both"/>
        <w:rPr>
          <w:rFonts w:ascii="Arial" w:hAnsi="Arial" w:cs="Arial"/>
          <w:sz w:val="18"/>
        </w:rPr>
      </w:pPr>
      <w:r w:rsidRPr="0051099C">
        <w:rPr>
          <w:rStyle w:val="Odwoanieprzypisudolnego"/>
          <w:sz w:val="18"/>
        </w:rPr>
        <w:footnoteRef/>
      </w:r>
      <w:r w:rsidRPr="0051099C">
        <w:rPr>
          <w:rFonts w:ascii="Arial" w:hAnsi="Arial" w:cs="Arial"/>
          <w:sz w:val="18"/>
        </w:rPr>
        <w:t xml:space="preserve"> </w:t>
      </w:r>
      <w:r>
        <w:rPr>
          <w:rFonts w:ascii="Arial" w:hAnsi="Arial" w:cs="Arial"/>
          <w:sz w:val="18"/>
          <w:shd w:val="clear" w:color="auto" w:fill="FFFFFF"/>
        </w:rPr>
        <w:t>Ibidem.</w:t>
      </w:r>
    </w:p>
  </w:footnote>
  <w:footnote w:id="80">
    <w:p w14:paraId="286212B7" w14:textId="77777777" w:rsidR="00443AD1" w:rsidRPr="004B4DD0" w:rsidRDefault="00443AD1" w:rsidP="004B4DD0">
      <w:pPr>
        <w:pStyle w:val="Tekstprzypisudolnego"/>
        <w:jc w:val="both"/>
        <w:rPr>
          <w:rFonts w:ascii="Arial" w:hAnsi="Arial" w:cs="Arial"/>
        </w:rPr>
      </w:pPr>
      <w:r w:rsidRPr="004B4DD0">
        <w:rPr>
          <w:rStyle w:val="Odwoanieprzypisudolnego"/>
        </w:rPr>
        <w:footnoteRef/>
      </w:r>
      <w:r w:rsidRPr="004B4DD0">
        <w:rPr>
          <w:rFonts w:ascii="Arial" w:hAnsi="Arial" w:cs="Arial"/>
        </w:rPr>
        <w:t xml:space="preserve"> Opracowanie na podstawie danych </w:t>
      </w:r>
      <w:r>
        <w:rPr>
          <w:rFonts w:ascii="Arial" w:hAnsi="Arial" w:cs="Arial"/>
        </w:rPr>
        <w:t>SL</w:t>
      </w:r>
      <w:r w:rsidRPr="004B4DD0">
        <w:rPr>
          <w:rFonts w:ascii="Arial" w:hAnsi="Arial" w:cs="Arial"/>
        </w:rPr>
        <w:t xml:space="preserve">2014 z dnia </w:t>
      </w:r>
      <w:r>
        <w:rPr>
          <w:rFonts w:ascii="Arial" w:hAnsi="Arial" w:cs="Arial"/>
        </w:rPr>
        <w:t>1</w:t>
      </w:r>
      <w:r w:rsidRPr="004B4DD0">
        <w:rPr>
          <w:rFonts w:ascii="Arial" w:hAnsi="Arial" w:cs="Arial"/>
        </w:rPr>
        <w:t>.</w:t>
      </w:r>
      <w:r>
        <w:rPr>
          <w:rFonts w:ascii="Arial" w:hAnsi="Arial" w:cs="Arial"/>
        </w:rPr>
        <w:t>10</w:t>
      </w:r>
      <w:r w:rsidRPr="004B4DD0">
        <w:rPr>
          <w:rFonts w:ascii="Arial" w:hAnsi="Arial" w:cs="Arial"/>
        </w:rPr>
        <w:t>.2019 r.</w:t>
      </w:r>
    </w:p>
  </w:footnote>
  <w:footnote w:id="81">
    <w:p w14:paraId="5574C23B" w14:textId="77777777" w:rsidR="00443AD1" w:rsidRDefault="00443AD1" w:rsidP="004A0B2D">
      <w:pPr>
        <w:pStyle w:val="Tekstprzypisudolnego"/>
      </w:pPr>
      <w:r>
        <w:rPr>
          <w:rStyle w:val="Odwoanieprzypisudolnego"/>
        </w:rPr>
        <w:footnoteRef/>
      </w:r>
      <w:r>
        <w:t xml:space="preserve"> </w:t>
      </w:r>
      <w:r w:rsidRPr="0040249D">
        <w:t>Metaanaliza wyników badań ewaluacyjnych dotyczących oceny wsparcia z EFS – I raport cząstkowy, Warszawa 2017</w:t>
      </w:r>
      <w:r w:rsidRPr="005302F9">
        <w:t>.</w:t>
      </w:r>
    </w:p>
  </w:footnote>
  <w:footnote w:id="82">
    <w:p w14:paraId="7B4C43C5" w14:textId="77777777" w:rsidR="00443AD1" w:rsidRDefault="00443AD1" w:rsidP="004A0B2D">
      <w:pPr>
        <w:pStyle w:val="Tekstprzypisudolnego"/>
      </w:pPr>
      <w:r>
        <w:rPr>
          <w:rStyle w:val="Odwoanieprzypisudolnego"/>
        </w:rPr>
        <w:footnoteRef/>
      </w:r>
      <w:r>
        <w:t xml:space="preserve"> </w:t>
      </w:r>
      <w:r w:rsidRPr="00F03CFB">
        <w:t>Metaanaliza wyników badań ewaluacyjnych dotyczących oceny wsparcia z EFS. II raport cząstkowy</w:t>
      </w:r>
      <w:r>
        <w:t>, Warszawa 2017.</w:t>
      </w:r>
    </w:p>
  </w:footnote>
  <w:footnote w:id="83">
    <w:p w14:paraId="37D0E3D0" w14:textId="77777777" w:rsidR="00443AD1" w:rsidRDefault="00443AD1" w:rsidP="004A0B2D">
      <w:pPr>
        <w:pStyle w:val="Tekstprzypisudolnego"/>
      </w:pPr>
      <w:r>
        <w:rPr>
          <w:rStyle w:val="Odwoanieprzypisudolnego"/>
        </w:rPr>
        <w:footnoteRef/>
      </w:r>
      <w:r>
        <w:t xml:space="preserve"> </w:t>
      </w:r>
      <w:r w:rsidRPr="00154520">
        <w:t>Badanie efektów wsparcia zrealizowanego na rzecz osób młodych w ramach Programu Operacyjnego Wiedza Edukacja Rozwój. II Raport tematyczny, Warszawa 2019</w:t>
      </w:r>
      <w:r>
        <w:t>.</w:t>
      </w:r>
    </w:p>
  </w:footnote>
  <w:footnote w:id="84">
    <w:p w14:paraId="63C07728" w14:textId="77777777" w:rsidR="00443AD1" w:rsidRDefault="00443AD1" w:rsidP="004A0B2D">
      <w:pPr>
        <w:pStyle w:val="Tekstprzypisudolnego"/>
      </w:pPr>
      <w:r>
        <w:rPr>
          <w:rStyle w:val="Odwoanieprzypisudolnego"/>
        </w:rPr>
        <w:footnoteRef/>
      </w:r>
      <w:r>
        <w:t xml:space="preserve"> Ewaluacja działań podejmowanych na rzecz edukacji w ramach RPO WK-P  2014-2020, Toruń 2018.</w:t>
      </w:r>
    </w:p>
  </w:footnote>
  <w:footnote w:id="85">
    <w:p w14:paraId="69A81624" w14:textId="77777777" w:rsidR="00443AD1" w:rsidRDefault="00443AD1" w:rsidP="004A0B2D">
      <w:pPr>
        <w:pStyle w:val="Tekstprzypisudolnego"/>
      </w:pPr>
      <w:r>
        <w:rPr>
          <w:rStyle w:val="Odwoanieprzypisudolnego"/>
        </w:rPr>
        <w:footnoteRef/>
      </w:r>
      <w:r>
        <w:t xml:space="preserve"> </w:t>
      </w:r>
      <w:r w:rsidRPr="00F03CFB">
        <w:t>Ewaluacja działań podejmowanych na rzecz edukacji w Regionalnym Programie Województwa Mazowieckiego 2014-2020, Warszawa 2019</w:t>
      </w:r>
      <w:r>
        <w:t>.</w:t>
      </w:r>
    </w:p>
  </w:footnote>
  <w:footnote w:id="86">
    <w:p w14:paraId="70665065" w14:textId="77777777" w:rsidR="00443AD1" w:rsidRPr="00B52932" w:rsidRDefault="00443AD1" w:rsidP="00B52932">
      <w:pPr>
        <w:pStyle w:val="Tekstprzypisudolnego"/>
        <w:jc w:val="both"/>
        <w:rPr>
          <w:rFonts w:ascii="Arial" w:hAnsi="Arial" w:cs="Arial"/>
        </w:rPr>
      </w:pPr>
      <w:r w:rsidRPr="00B52932">
        <w:rPr>
          <w:rStyle w:val="Odwoanieprzypisudolnego"/>
        </w:rPr>
        <w:footnoteRef/>
      </w:r>
      <w:r w:rsidRPr="00B52932">
        <w:rPr>
          <w:rFonts w:ascii="Arial" w:hAnsi="Arial" w:cs="Arial"/>
        </w:rPr>
        <w:t xml:space="preserve"> Efekt Netto=(śr.ben.2-śr.ben.1)-(śr.nieb.2-śr.nieb.1), gdzie:</w:t>
      </w:r>
    </w:p>
    <w:p w14:paraId="2027336C" w14:textId="77777777" w:rsidR="00443AD1" w:rsidRPr="00B52932" w:rsidRDefault="00443AD1" w:rsidP="00B52932">
      <w:pPr>
        <w:pStyle w:val="Tekstprzypisudolnego"/>
        <w:jc w:val="both"/>
        <w:rPr>
          <w:rFonts w:ascii="Arial" w:hAnsi="Arial" w:cs="Arial"/>
        </w:rPr>
      </w:pPr>
      <w:r w:rsidRPr="00B52932">
        <w:rPr>
          <w:rFonts w:ascii="Arial" w:hAnsi="Arial" w:cs="Arial"/>
        </w:rPr>
        <w:t>• Śr.ben.1 – średnia ocen dot. badanego aspektu przed realizacją projektu wśród beneficjentów/szkoły korzystające ze wsparcia</w:t>
      </w:r>
      <w:r>
        <w:rPr>
          <w:rFonts w:ascii="Arial" w:hAnsi="Arial" w:cs="Arial"/>
        </w:rPr>
        <w:t>;</w:t>
      </w:r>
    </w:p>
    <w:p w14:paraId="1AEC6C1C" w14:textId="77777777" w:rsidR="00443AD1" w:rsidRPr="00B52932" w:rsidRDefault="00443AD1" w:rsidP="00B52932">
      <w:pPr>
        <w:pStyle w:val="Tekstprzypisudolnego"/>
        <w:jc w:val="both"/>
        <w:rPr>
          <w:rFonts w:ascii="Arial" w:hAnsi="Arial" w:cs="Arial"/>
        </w:rPr>
      </w:pPr>
      <w:r w:rsidRPr="00B52932">
        <w:rPr>
          <w:rFonts w:ascii="Arial" w:hAnsi="Arial" w:cs="Arial"/>
        </w:rPr>
        <w:t>• Śr.ben.2 – średnia ocen dot. badanego aspektu po/w trakcie realizacji projektu (rok 2019) wśród beneficjentów/szkoły korzystające ze wsparcia</w:t>
      </w:r>
      <w:r>
        <w:rPr>
          <w:rFonts w:ascii="Arial" w:hAnsi="Arial" w:cs="Arial"/>
        </w:rPr>
        <w:t>;</w:t>
      </w:r>
    </w:p>
    <w:p w14:paraId="7AFC38A6" w14:textId="77777777" w:rsidR="00443AD1" w:rsidRPr="00B52932" w:rsidRDefault="00443AD1" w:rsidP="00B52932">
      <w:pPr>
        <w:pStyle w:val="Tekstprzypisudolnego"/>
        <w:jc w:val="both"/>
        <w:rPr>
          <w:rFonts w:ascii="Arial" w:hAnsi="Arial" w:cs="Arial"/>
        </w:rPr>
      </w:pPr>
      <w:r w:rsidRPr="00B52932">
        <w:rPr>
          <w:rFonts w:ascii="Arial" w:hAnsi="Arial" w:cs="Arial"/>
        </w:rPr>
        <w:t>• Śr.nieb.1 – średnia ocen dot. badanego aspektu przed realizacją projektu (przez bliźniaka statystycznego wspartego z RPO) wśród niebeneficjentów/szkół niekorzystających ze wsparcia</w:t>
      </w:r>
      <w:r>
        <w:rPr>
          <w:rFonts w:ascii="Arial" w:hAnsi="Arial" w:cs="Arial"/>
        </w:rPr>
        <w:t>;</w:t>
      </w:r>
    </w:p>
    <w:p w14:paraId="39162746" w14:textId="77777777" w:rsidR="00443AD1" w:rsidRPr="00B52932" w:rsidRDefault="00443AD1" w:rsidP="00B52932">
      <w:pPr>
        <w:pStyle w:val="Tekstprzypisudolnego"/>
        <w:jc w:val="both"/>
        <w:rPr>
          <w:rFonts w:ascii="Arial" w:hAnsi="Arial" w:cs="Arial"/>
        </w:rPr>
      </w:pPr>
      <w:r w:rsidRPr="00B52932">
        <w:rPr>
          <w:rFonts w:ascii="Arial" w:hAnsi="Arial" w:cs="Arial"/>
        </w:rPr>
        <w:t>• Śr.nieb.2 – średnia ocen dot. badanego aspektu po/w trakcie realizacji projektu (rok 2019) wśród niebeneficjentów/szkół niekorzystających ze wsparcia</w:t>
      </w:r>
      <w:r>
        <w:rPr>
          <w:rFonts w:ascii="Arial" w:hAnsi="Arial" w:cs="Arial"/>
        </w:rPr>
        <w:t>.</w:t>
      </w:r>
    </w:p>
  </w:footnote>
  <w:footnote w:id="87">
    <w:p w14:paraId="21ED82B8" w14:textId="77777777" w:rsidR="00443AD1" w:rsidRPr="00B52932" w:rsidRDefault="00443AD1" w:rsidP="00B52932">
      <w:pPr>
        <w:pStyle w:val="Tekstprzypisudolnego"/>
        <w:jc w:val="both"/>
        <w:rPr>
          <w:rFonts w:ascii="Arial" w:hAnsi="Arial" w:cs="Arial"/>
        </w:rPr>
      </w:pPr>
      <w:r w:rsidRPr="00B52932">
        <w:rPr>
          <w:rStyle w:val="Odwoanieprzypisudolnego"/>
        </w:rPr>
        <w:footnoteRef/>
      </w:r>
      <w:r w:rsidRPr="00B52932">
        <w:rPr>
          <w:rFonts w:ascii="Arial" w:hAnsi="Arial" w:cs="Arial"/>
        </w:rPr>
        <w:t xml:space="preserve"> Szczegółowy Opis Osi Priorytetowych Regionalnego Programu Operacyjnego Województwa Śląskiego na lata 2014-2020, Katowice 2019, s. 341/342.</w:t>
      </w:r>
    </w:p>
  </w:footnote>
  <w:footnote w:id="88">
    <w:p w14:paraId="2FBCA1F7" w14:textId="77777777" w:rsidR="00443AD1" w:rsidRPr="00B52932" w:rsidRDefault="00443AD1" w:rsidP="00B52932">
      <w:pPr>
        <w:pStyle w:val="Tekstprzypisudolnego"/>
        <w:jc w:val="both"/>
        <w:rPr>
          <w:rFonts w:ascii="Arial" w:hAnsi="Arial" w:cs="Arial"/>
        </w:rPr>
      </w:pPr>
      <w:r w:rsidRPr="00B52932">
        <w:rPr>
          <w:rStyle w:val="Odwoanieprzypisudolnego"/>
        </w:rPr>
        <w:footnoteRef/>
      </w:r>
      <w:r w:rsidRPr="00B52932">
        <w:rPr>
          <w:rFonts w:ascii="Arial" w:hAnsi="Arial" w:cs="Arial"/>
        </w:rPr>
        <w:t xml:space="preserve"> Ibidem, s. 374.</w:t>
      </w:r>
    </w:p>
  </w:footnote>
  <w:footnote w:id="89">
    <w:p w14:paraId="729E4164" w14:textId="77777777" w:rsidR="00443AD1" w:rsidRPr="00B52932" w:rsidRDefault="00443AD1" w:rsidP="00B52932">
      <w:pPr>
        <w:pStyle w:val="Tekstprzypisudolnego"/>
        <w:jc w:val="both"/>
        <w:rPr>
          <w:rFonts w:ascii="Arial" w:hAnsi="Arial" w:cs="Arial"/>
        </w:rPr>
      </w:pPr>
      <w:r w:rsidRPr="00B52932">
        <w:rPr>
          <w:rStyle w:val="Odwoanieprzypisudolnego"/>
        </w:rPr>
        <w:footnoteRef/>
      </w:r>
      <w:r w:rsidRPr="00B52932">
        <w:rPr>
          <w:rFonts w:ascii="Arial" w:hAnsi="Arial" w:cs="Arial"/>
        </w:rPr>
        <w:t xml:space="preserve"> Program Rozwoju Szkolnictwa Zawodowego Województwa Śląskiego na lata 2014 – 2020, Katowice 2015, s. 132.</w:t>
      </w:r>
    </w:p>
  </w:footnote>
  <w:footnote w:id="90">
    <w:p w14:paraId="3C3F902A" w14:textId="77777777" w:rsidR="00443AD1" w:rsidRPr="00B52932" w:rsidRDefault="00443AD1" w:rsidP="00B52932">
      <w:pPr>
        <w:pStyle w:val="Tekstprzypisudolnego"/>
        <w:jc w:val="both"/>
        <w:rPr>
          <w:rFonts w:ascii="Arial" w:hAnsi="Arial" w:cs="Arial"/>
        </w:rPr>
      </w:pPr>
      <w:r w:rsidRPr="00B52932">
        <w:rPr>
          <w:rStyle w:val="Odwoanieprzypisudolnego"/>
        </w:rPr>
        <w:footnoteRef/>
      </w:r>
      <w:r w:rsidRPr="00B52932">
        <w:rPr>
          <w:rFonts w:ascii="Arial" w:hAnsi="Arial" w:cs="Arial"/>
        </w:rPr>
        <w:t xml:space="preserve"> Ibidem, Katowice 2015, s. 132/133.</w:t>
      </w:r>
    </w:p>
  </w:footnote>
  <w:footnote w:id="91">
    <w:p w14:paraId="6D8A7864" w14:textId="77777777" w:rsidR="00443AD1" w:rsidRPr="00B52932" w:rsidRDefault="00443AD1" w:rsidP="00B52932">
      <w:pPr>
        <w:pStyle w:val="Tekstprzypisudolnego"/>
        <w:jc w:val="both"/>
        <w:rPr>
          <w:rFonts w:ascii="Arial" w:hAnsi="Arial" w:cs="Arial"/>
        </w:rPr>
      </w:pPr>
      <w:r w:rsidRPr="00B52932">
        <w:rPr>
          <w:rStyle w:val="Odwoanieprzypisudolnego"/>
        </w:rPr>
        <w:footnoteRef/>
      </w:r>
      <w:r w:rsidRPr="00B52932">
        <w:rPr>
          <w:rFonts w:ascii="Arial" w:hAnsi="Arial" w:cs="Arial"/>
        </w:rPr>
        <w:t xml:space="preserve"> Ibidem, s. 133.</w:t>
      </w:r>
    </w:p>
  </w:footnote>
  <w:footnote w:id="92">
    <w:p w14:paraId="74398C10" w14:textId="77777777" w:rsidR="00443AD1" w:rsidRPr="00B52932" w:rsidRDefault="00443AD1" w:rsidP="00B52932">
      <w:pPr>
        <w:pStyle w:val="Tekstprzypisudolnego"/>
        <w:jc w:val="both"/>
        <w:rPr>
          <w:rFonts w:ascii="Arial" w:hAnsi="Arial" w:cs="Arial"/>
        </w:rPr>
      </w:pPr>
      <w:r w:rsidRPr="00B52932">
        <w:rPr>
          <w:rStyle w:val="Odwoanieprzypisudolnego"/>
        </w:rPr>
        <w:footnoteRef/>
      </w:r>
      <w:r w:rsidRPr="00B52932">
        <w:rPr>
          <w:rFonts w:ascii="Arial" w:hAnsi="Arial" w:cs="Arial"/>
        </w:rPr>
        <w:t xml:space="preserve"> Ibidem, s. 134.</w:t>
      </w:r>
    </w:p>
  </w:footnote>
  <w:footnote w:id="93">
    <w:p w14:paraId="5EBF25D7" w14:textId="77777777" w:rsidR="00443AD1" w:rsidRPr="00C84520" w:rsidRDefault="00443AD1" w:rsidP="00C84520">
      <w:pPr>
        <w:pStyle w:val="Tekstprzypisudolnego"/>
        <w:jc w:val="both"/>
        <w:rPr>
          <w:rFonts w:ascii="Arial" w:hAnsi="Arial" w:cs="Arial"/>
        </w:rPr>
      </w:pPr>
      <w:r w:rsidRPr="00C84520">
        <w:rPr>
          <w:rStyle w:val="Odwoanieprzypisudolnego"/>
        </w:rPr>
        <w:footnoteRef/>
      </w:r>
      <w:r w:rsidRPr="00C84520">
        <w:rPr>
          <w:rFonts w:ascii="Arial" w:hAnsi="Arial" w:cs="Arial"/>
        </w:rPr>
        <w:t xml:space="preserve"> Ibidem, s. 181.</w:t>
      </w:r>
    </w:p>
  </w:footnote>
  <w:footnote w:id="94">
    <w:p w14:paraId="661B95D3" w14:textId="77777777" w:rsidR="00443AD1" w:rsidRPr="00C84520" w:rsidRDefault="00443AD1" w:rsidP="00C84520">
      <w:pPr>
        <w:pStyle w:val="Tekstprzypisudolnego"/>
        <w:jc w:val="both"/>
        <w:rPr>
          <w:rFonts w:ascii="Arial" w:hAnsi="Arial" w:cs="Arial"/>
        </w:rPr>
      </w:pPr>
      <w:r w:rsidRPr="00C84520">
        <w:rPr>
          <w:rStyle w:val="Odwoanieprzypisudolnego"/>
        </w:rPr>
        <w:footnoteRef/>
      </w:r>
      <w:r w:rsidRPr="00C84520">
        <w:rPr>
          <w:rFonts w:ascii="Arial" w:hAnsi="Arial" w:cs="Arial"/>
        </w:rPr>
        <w:t xml:space="preserve"> Strategia Rozwoju Województwa Śląskiego „ŚLĄSKIE 2020+”, Katowice, lipiec 2013, s. 85.</w:t>
      </w:r>
    </w:p>
  </w:footnote>
  <w:footnote w:id="95">
    <w:p w14:paraId="4B4FAEFF" w14:textId="77777777" w:rsidR="00443AD1" w:rsidRPr="00C84520" w:rsidRDefault="00443AD1" w:rsidP="00C84520">
      <w:pPr>
        <w:pStyle w:val="Tekstprzypisudolnego"/>
        <w:jc w:val="both"/>
        <w:rPr>
          <w:rFonts w:ascii="Arial" w:hAnsi="Arial" w:cs="Arial"/>
        </w:rPr>
      </w:pPr>
      <w:r w:rsidRPr="00C84520">
        <w:rPr>
          <w:rStyle w:val="Odwoanieprzypisudolnego"/>
        </w:rPr>
        <w:footnoteRef/>
      </w:r>
      <w:r w:rsidRPr="00C84520">
        <w:rPr>
          <w:rFonts w:ascii="Arial" w:hAnsi="Arial" w:cs="Arial"/>
        </w:rPr>
        <w:t xml:space="preserve"> Ibidem, s. 88-89.</w:t>
      </w:r>
    </w:p>
  </w:footnote>
  <w:footnote w:id="96">
    <w:p w14:paraId="4AF94354" w14:textId="77777777" w:rsidR="00443AD1" w:rsidRPr="005B5B86" w:rsidRDefault="00443AD1">
      <w:pPr>
        <w:pStyle w:val="Tekstprzypisudolnego"/>
        <w:rPr>
          <w:rFonts w:ascii="Arial" w:hAnsi="Arial" w:cs="Arial"/>
        </w:rPr>
      </w:pPr>
      <w:r w:rsidRPr="005B5B86">
        <w:rPr>
          <w:rStyle w:val="Odwoanieprzypisudolnego"/>
        </w:rPr>
        <w:footnoteRef/>
      </w:r>
      <w:r w:rsidRPr="005B5B86">
        <w:rPr>
          <w:rFonts w:ascii="Arial" w:hAnsi="Arial" w:cs="Arial"/>
        </w:rPr>
        <w:t xml:space="preserve"> Opracowano na podstawie danych LSI2014</w:t>
      </w:r>
      <w:r>
        <w:rPr>
          <w:rFonts w:ascii="Arial" w:hAnsi="Arial" w:cs="Arial"/>
        </w:rPr>
        <w:t xml:space="preserve"> </w:t>
      </w:r>
      <w:r w:rsidRPr="00AB5D0E">
        <w:rPr>
          <w:rFonts w:ascii="Arial" w:hAnsi="Arial" w:cs="Arial"/>
        </w:rPr>
        <w:t>(data dostępu: 30.09.2019 r.).</w:t>
      </w:r>
      <w:r w:rsidRPr="005B5B86">
        <w:rPr>
          <w:rFonts w:ascii="Arial" w:hAnsi="Arial" w:cs="Arial"/>
        </w:rPr>
        <w:t>.</w:t>
      </w:r>
    </w:p>
  </w:footnote>
  <w:footnote w:id="97">
    <w:p w14:paraId="5798CD6C" w14:textId="77777777" w:rsidR="00443AD1" w:rsidRPr="005B5B86" w:rsidRDefault="00443AD1">
      <w:pPr>
        <w:pStyle w:val="Tekstprzypisudolnego"/>
        <w:rPr>
          <w:rFonts w:ascii="Arial" w:hAnsi="Arial" w:cs="Arial"/>
        </w:rPr>
      </w:pPr>
      <w:r w:rsidRPr="005B5B86">
        <w:rPr>
          <w:rStyle w:val="Odwoanieprzypisudolnego"/>
        </w:rPr>
        <w:footnoteRef/>
      </w:r>
      <w:r w:rsidRPr="005B5B86">
        <w:rPr>
          <w:rFonts w:ascii="Arial" w:hAnsi="Arial" w:cs="Arial"/>
        </w:rPr>
        <w:t xml:space="preserve"> Ibidem.</w:t>
      </w:r>
    </w:p>
  </w:footnote>
  <w:footnote w:id="98">
    <w:p w14:paraId="1C0D9542" w14:textId="77777777" w:rsidR="00443AD1" w:rsidRPr="005B5B86" w:rsidRDefault="00443AD1">
      <w:pPr>
        <w:pStyle w:val="Tekstprzypisudolnego"/>
        <w:rPr>
          <w:rFonts w:ascii="Arial" w:hAnsi="Arial" w:cs="Arial"/>
        </w:rPr>
      </w:pPr>
      <w:r w:rsidRPr="005B5B86">
        <w:rPr>
          <w:rStyle w:val="Odwoanieprzypisudolnego"/>
        </w:rPr>
        <w:footnoteRef/>
      </w:r>
      <w:r w:rsidRPr="005B5B86">
        <w:rPr>
          <w:rFonts w:ascii="Arial" w:hAnsi="Arial" w:cs="Arial"/>
        </w:rPr>
        <w:t xml:space="preserve"> Ibidem.</w:t>
      </w:r>
    </w:p>
  </w:footnote>
  <w:footnote w:id="99">
    <w:p w14:paraId="5023C377" w14:textId="77777777" w:rsidR="00443AD1" w:rsidRPr="00895B2D" w:rsidRDefault="00443AD1" w:rsidP="0076457A">
      <w:pPr>
        <w:pStyle w:val="Tekstprzypisudolnego"/>
        <w:jc w:val="both"/>
        <w:rPr>
          <w:rFonts w:ascii="Arial" w:hAnsi="Arial" w:cs="Arial"/>
        </w:rPr>
      </w:pPr>
      <w:r w:rsidRPr="00895B2D">
        <w:rPr>
          <w:rStyle w:val="Odwoanieprzypisudolnego"/>
        </w:rPr>
        <w:footnoteRef/>
      </w:r>
      <w:r w:rsidRPr="00895B2D">
        <w:rPr>
          <w:rFonts w:ascii="Arial" w:hAnsi="Arial" w:cs="Arial"/>
        </w:rPr>
        <w:t xml:space="preserve"> Opracowano na podstawie danych LSI2014</w:t>
      </w:r>
      <w:r>
        <w:rPr>
          <w:rFonts w:ascii="Arial" w:hAnsi="Arial" w:cs="Arial"/>
        </w:rPr>
        <w:t xml:space="preserve"> </w:t>
      </w:r>
      <w:r w:rsidRPr="00AB5D0E">
        <w:rPr>
          <w:rFonts w:ascii="Arial" w:hAnsi="Arial" w:cs="Arial"/>
        </w:rPr>
        <w:t>(data dostępu: 30.09.2019 r.).</w:t>
      </w:r>
      <w:r w:rsidRPr="00895B2D">
        <w:rPr>
          <w:rFonts w:ascii="Arial" w:hAnsi="Arial" w:cs="Arial"/>
        </w:rPr>
        <w:t>.</w:t>
      </w:r>
    </w:p>
  </w:footnote>
  <w:footnote w:id="100">
    <w:p w14:paraId="070E98CE" w14:textId="77777777" w:rsidR="00443AD1" w:rsidRPr="009033EC" w:rsidRDefault="00443AD1" w:rsidP="0076457A">
      <w:pPr>
        <w:pStyle w:val="Tekstprzypisudolnego"/>
      </w:pPr>
      <w:r w:rsidRPr="009033EC">
        <w:rPr>
          <w:rStyle w:val="Odwoanieprzypisudolnego"/>
        </w:rPr>
        <w:footnoteRef/>
      </w:r>
      <w:r w:rsidRPr="009033EC">
        <w:t xml:space="preserve"> </w:t>
      </w:r>
      <w:r w:rsidRPr="009033EC">
        <w:rPr>
          <w:rFonts w:ascii="Arial" w:hAnsi="Arial" w:cs="Arial"/>
        </w:rPr>
        <w:t>Opracowano na podstawie danych LSI2014</w:t>
      </w:r>
      <w:r>
        <w:rPr>
          <w:rFonts w:ascii="Arial" w:hAnsi="Arial" w:cs="Arial"/>
        </w:rPr>
        <w:t xml:space="preserve"> </w:t>
      </w:r>
      <w:r w:rsidRPr="00AB5D0E">
        <w:rPr>
          <w:rFonts w:ascii="Arial" w:hAnsi="Arial" w:cs="Arial"/>
        </w:rPr>
        <w:t>(data dostępu: 30.09.2019 r.).</w:t>
      </w:r>
      <w:r w:rsidRPr="009033EC">
        <w:rPr>
          <w:rFonts w:ascii="Arial" w:hAnsi="Arial" w:cs="Arial"/>
        </w:rPr>
        <w:t>.</w:t>
      </w:r>
    </w:p>
  </w:footnote>
  <w:footnote w:id="101">
    <w:p w14:paraId="5608D1E1" w14:textId="77777777" w:rsidR="00443AD1" w:rsidRPr="000648EC" w:rsidRDefault="00443AD1" w:rsidP="0076457A">
      <w:pPr>
        <w:pStyle w:val="Tekstprzypisudolnego"/>
        <w:rPr>
          <w:rFonts w:ascii="Arial" w:hAnsi="Arial" w:cs="Arial"/>
        </w:rPr>
      </w:pPr>
      <w:r w:rsidRPr="000648EC">
        <w:rPr>
          <w:rStyle w:val="Odwoanieprzypisudolnego"/>
        </w:rPr>
        <w:footnoteRef/>
      </w:r>
      <w:r w:rsidRPr="000648EC">
        <w:rPr>
          <w:rFonts w:ascii="Arial" w:hAnsi="Arial" w:cs="Arial"/>
        </w:rPr>
        <w:t xml:space="preserve"> Opracowano na podstawie danych LSI2014</w:t>
      </w:r>
      <w:r>
        <w:rPr>
          <w:rFonts w:ascii="Arial" w:hAnsi="Arial" w:cs="Arial"/>
        </w:rPr>
        <w:t xml:space="preserve"> </w:t>
      </w:r>
      <w:r w:rsidRPr="00AB5D0E">
        <w:rPr>
          <w:rFonts w:ascii="Arial" w:hAnsi="Arial" w:cs="Arial"/>
        </w:rPr>
        <w:t>(data dostępu: 30.09.2019 r.).</w:t>
      </w:r>
      <w:r w:rsidRPr="000648EC">
        <w:rPr>
          <w:rFonts w:ascii="Arial" w:hAnsi="Arial" w:cs="Arial"/>
        </w:rPr>
        <w:t>.</w:t>
      </w:r>
    </w:p>
  </w:footnote>
  <w:footnote w:id="102">
    <w:p w14:paraId="2B6883AD" w14:textId="77777777" w:rsidR="00443AD1" w:rsidRPr="000648EC" w:rsidRDefault="00443AD1" w:rsidP="0076457A">
      <w:pPr>
        <w:pStyle w:val="Tekstprzypisudolnego"/>
        <w:rPr>
          <w:rFonts w:ascii="Arial" w:hAnsi="Arial" w:cs="Arial"/>
        </w:rPr>
      </w:pPr>
      <w:r w:rsidRPr="000648EC">
        <w:rPr>
          <w:rStyle w:val="Odwoanieprzypisudolnego"/>
        </w:rPr>
        <w:footnoteRef/>
      </w:r>
      <w:r w:rsidRPr="000648EC">
        <w:rPr>
          <w:rFonts w:ascii="Arial" w:hAnsi="Arial" w:cs="Arial"/>
        </w:rPr>
        <w:t xml:space="preserve"> Opracowano na podstawie danych LSI2014</w:t>
      </w:r>
      <w:r>
        <w:rPr>
          <w:rFonts w:ascii="Arial" w:hAnsi="Arial" w:cs="Arial"/>
        </w:rPr>
        <w:t xml:space="preserve"> (data dostępu: 30.09.2019 r.)</w:t>
      </w:r>
      <w:r w:rsidRPr="000648EC">
        <w:rPr>
          <w:rFonts w:ascii="Arial" w:hAnsi="Arial" w:cs="Arial"/>
        </w:rPr>
        <w:t>.</w:t>
      </w:r>
    </w:p>
  </w:footnote>
  <w:footnote w:id="103">
    <w:p w14:paraId="63903CA4" w14:textId="77777777" w:rsidR="00443AD1" w:rsidRPr="00895B2D" w:rsidRDefault="00443AD1">
      <w:pPr>
        <w:pStyle w:val="Tekstprzypisudolnego"/>
        <w:rPr>
          <w:rFonts w:ascii="Arial" w:hAnsi="Arial" w:cs="Arial"/>
        </w:rPr>
      </w:pPr>
      <w:r w:rsidRPr="00895B2D">
        <w:rPr>
          <w:rStyle w:val="Odwoanieprzypisudolnego"/>
        </w:rPr>
        <w:footnoteRef/>
      </w:r>
      <w:r w:rsidRPr="00895B2D">
        <w:rPr>
          <w:rFonts w:ascii="Arial" w:hAnsi="Arial" w:cs="Arial"/>
        </w:rPr>
        <w:t xml:space="preserve"> Opracowano na podstawie danych LSI2014</w:t>
      </w:r>
      <w:r>
        <w:rPr>
          <w:rFonts w:ascii="Arial" w:hAnsi="Arial" w:cs="Arial"/>
        </w:rPr>
        <w:t xml:space="preserve"> </w:t>
      </w:r>
      <w:r w:rsidRPr="00AB5D0E">
        <w:rPr>
          <w:rFonts w:ascii="Arial" w:hAnsi="Arial" w:cs="Arial"/>
        </w:rPr>
        <w:t>(data dostępu: 30.09.2019 r.).</w:t>
      </w:r>
    </w:p>
  </w:footnote>
  <w:footnote w:id="104">
    <w:p w14:paraId="2F7353A5" w14:textId="77777777" w:rsidR="00443AD1" w:rsidRPr="00895B2D" w:rsidRDefault="00443AD1" w:rsidP="00895B2D">
      <w:pPr>
        <w:pStyle w:val="Tekstprzypisudolnego"/>
        <w:jc w:val="both"/>
        <w:rPr>
          <w:rFonts w:ascii="Arial" w:hAnsi="Arial" w:cs="Arial"/>
        </w:rPr>
      </w:pPr>
      <w:r w:rsidRPr="00895B2D">
        <w:rPr>
          <w:rStyle w:val="Odwoanieprzypisudolnego"/>
        </w:rPr>
        <w:footnoteRef/>
      </w:r>
      <w:r w:rsidRPr="00895B2D">
        <w:rPr>
          <w:rFonts w:ascii="Arial" w:hAnsi="Arial" w:cs="Arial"/>
        </w:rPr>
        <w:t xml:space="preserve"> Analizie poddane zostały projekty pod względem udziału beneficjentów, którzy deklarowali sposób realizacji zasady horyzontalnej w ogólnej liczbie beneficjentów w zależności od typu realizowanego projektu i możliwości zastosowania wskazanych mechanizmów.</w:t>
      </w:r>
    </w:p>
  </w:footnote>
  <w:footnote w:id="105">
    <w:p w14:paraId="765CA247" w14:textId="77777777" w:rsidR="00443AD1" w:rsidRPr="001149A8" w:rsidRDefault="00443AD1" w:rsidP="0043367C">
      <w:pPr>
        <w:pStyle w:val="Tekstprzypisudolnego"/>
        <w:jc w:val="both"/>
        <w:rPr>
          <w:rFonts w:ascii="Arial" w:hAnsi="Arial" w:cs="Arial"/>
          <w:sz w:val="18"/>
        </w:rPr>
      </w:pPr>
      <w:r w:rsidRPr="001149A8">
        <w:rPr>
          <w:rStyle w:val="Odwoanieprzypisudolnego"/>
          <w:sz w:val="18"/>
        </w:rPr>
        <w:footnoteRef/>
      </w:r>
      <w:r w:rsidRPr="001149A8">
        <w:rPr>
          <w:rFonts w:ascii="Arial" w:hAnsi="Arial" w:cs="Arial"/>
          <w:sz w:val="18"/>
        </w:rPr>
        <w:t xml:space="preserve"> Realizacja zasady równości szans i niedyskryminacji, w tym dostępności dla osób z niepełnosprawnościami. Poradnik dla realizatorów projektów i instytucji systemu wdrażania funduszy europejskich 2014-2020./ Wytyczne w zakresie realizacji zasady równości szans i niedyskryminacji, w tym dostępności dla osób z niepełnosprawnościami oraz zasady równości szans kobiet i mężczyzn w ramach funduszy unijnych na lata 2014–2020</w:t>
      </w:r>
      <w:r>
        <w:rPr>
          <w:rFonts w:ascii="Arial" w:hAnsi="Arial" w:cs="Arial"/>
          <w:sz w:val="18"/>
        </w:rPr>
        <w:t>.</w:t>
      </w:r>
    </w:p>
  </w:footnote>
  <w:footnote w:id="106">
    <w:p w14:paraId="5ACA669E" w14:textId="77777777" w:rsidR="00443AD1" w:rsidRPr="009033EC" w:rsidRDefault="00443AD1" w:rsidP="0043367C">
      <w:pPr>
        <w:pStyle w:val="Tekstprzypisudolnego"/>
        <w:rPr>
          <w:rFonts w:ascii="Arial" w:hAnsi="Arial" w:cs="Arial"/>
        </w:rPr>
      </w:pPr>
      <w:r w:rsidRPr="009033EC">
        <w:rPr>
          <w:rStyle w:val="Odwoanieprzypisudolnego"/>
        </w:rPr>
        <w:footnoteRef/>
      </w:r>
      <w:r w:rsidRPr="009033EC">
        <w:rPr>
          <w:rFonts w:ascii="Arial" w:hAnsi="Arial" w:cs="Arial"/>
        </w:rPr>
        <w:t xml:space="preserve"> Ibidem.</w:t>
      </w:r>
    </w:p>
  </w:footnote>
  <w:footnote w:id="107">
    <w:p w14:paraId="21CF99BC" w14:textId="77777777" w:rsidR="00443AD1" w:rsidRDefault="00443AD1">
      <w:pPr>
        <w:pStyle w:val="Tekstprzypisudolnego"/>
      </w:pPr>
      <w:r>
        <w:rPr>
          <w:rStyle w:val="Odwoanieprzypisudolnego"/>
        </w:rPr>
        <w:footnoteRef/>
      </w:r>
      <w:r>
        <w:t xml:space="preserve"> Opracowano na podstawie danych SL2014 </w:t>
      </w:r>
      <w:r w:rsidRPr="00AB5D0E">
        <w:rPr>
          <w:rFonts w:ascii="Arial" w:hAnsi="Arial" w:cs="Arial"/>
        </w:rPr>
        <w:t xml:space="preserve">(data dostępu: </w:t>
      </w:r>
      <w:r>
        <w:rPr>
          <w:rFonts w:ascii="Arial" w:hAnsi="Arial" w:cs="Arial"/>
        </w:rPr>
        <w:t>1</w:t>
      </w:r>
      <w:r w:rsidRPr="00AB5D0E">
        <w:rPr>
          <w:rFonts w:ascii="Arial" w:hAnsi="Arial" w:cs="Arial"/>
        </w:rPr>
        <w:t>.</w:t>
      </w:r>
      <w:r>
        <w:rPr>
          <w:rFonts w:ascii="Arial" w:hAnsi="Arial" w:cs="Arial"/>
        </w:rPr>
        <w:t>10</w:t>
      </w:r>
      <w:r w:rsidRPr="00AB5D0E">
        <w:rPr>
          <w:rFonts w:ascii="Arial" w:hAnsi="Arial" w:cs="Arial"/>
        </w:rPr>
        <w:t>.2019 r.).</w:t>
      </w:r>
    </w:p>
  </w:footnote>
  <w:footnote w:id="108">
    <w:p w14:paraId="34498F13" w14:textId="77777777" w:rsidR="00443AD1" w:rsidRPr="009033EC" w:rsidRDefault="00443AD1" w:rsidP="009033EC">
      <w:pPr>
        <w:pStyle w:val="Tekstprzypisudolnego"/>
        <w:jc w:val="both"/>
        <w:rPr>
          <w:rFonts w:ascii="Arial" w:hAnsi="Arial" w:cs="Arial"/>
        </w:rPr>
      </w:pPr>
      <w:r w:rsidRPr="009033EC">
        <w:rPr>
          <w:rStyle w:val="Odwoanieprzypisudolnego"/>
        </w:rPr>
        <w:footnoteRef/>
      </w:r>
      <w:r w:rsidRPr="009033EC">
        <w:rPr>
          <w:rFonts w:ascii="Arial" w:hAnsi="Arial" w:cs="Arial"/>
        </w:rPr>
        <w:t xml:space="preserve"> Analizie poddane zostały projekty pod względem udziału beneficjentów, którzy deklarowali sposób realizacji zasady horyzontalnej w ogólnej liczbie beneficjentów w zależności od typu realizowanego projektu i możliwości zastosowania wskazanych mechanizmów.</w:t>
      </w:r>
    </w:p>
  </w:footnote>
  <w:footnote w:id="109">
    <w:p w14:paraId="05029436" w14:textId="77777777" w:rsidR="00443AD1" w:rsidRPr="000648EC" w:rsidRDefault="00443AD1">
      <w:pPr>
        <w:pStyle w:val="Tekstprzypisudolnego"/>
        <w:rPr>
          <w:rFonts w:ascii="Arial" w:hAnsi="Arial" w:cs="Arial"/>
        </w:rPr>
      </w:pPr>
      <w:r w:rsidRPr="000648EC">
        <w:rPr>
          <w:rStyle w:val="Odwoanieprzypisudolnego"/>
        </w:rPr>
        <w:footnoteRef/>
      </w:r>
      <w:r w:rsidRPr="000648EC">
        <w:rPr>
          <w:rFonts w:ascii="Arial" w:hAnsi="Arial" w:cs="Arial"/>
        </w:rPr>
        <w:t xml:space="preserve"> </w:t>
      </w:r>
      <w:r>
        <w:rPr>
          <w:rFonts w:ascii="Arial" w:hAnsi="Arial" w:cs="Arial"/>
        </w:rPr>
        <w:t>I</w:t>
      </w:r>
      <w:r w:rsidRPr="00546204">
        <w:rPr>
          <w:rFonts w:ascii="Arial" w:hAnsi="Arial" w:cs="Arial"/>
        </w:rPr>
        <w:t>nstrukcja wypełniania wniosku o dofin</w:t>
      </w:r>
      <w:r>
        <w:rPr>
          <w:rFonts w:ascii="Arial" w:hAnsi="Arial" w:cs="Arial"/>
        </w:rPr>
        <w:t>ansowanie projektu w ramach EFRR</w:t>
      </w:r>
      <w:r w:rsidRPr="00546204">
        <w:rPr>
          <w:rFonts w:ascii="Arial" w:hAnsi="Arial" w:cs="Arial"/>
        </w:rPr>
        <w:t>, RPO WSL 2014-2020, s. 34;</w:t>
      </w:r>
    </w:p>
  </w:footnote>
  <w:footnote w:id="110">
    <w:p w14:paraId="4EFC99F5" w14:textId="77777777" w:rsidR="00443AD1" w:rsidRPr="000648EC" w:rsidRDefault="00443AD1" w:rsidP="001862D5">
      <w:pPr>
        <w:pStyle w:val="Tekstprzypisudolnego"/>
        <w:rPr>
          <w:rFonts w:ascii="Arial" w:hAnsi="Arial" w:cs="Arial"/>
        </w:rPr>
      </w:pPr>
      <w:r w:rsidRPr="000648EC">
        <w:rPr>
          <w:rStyle w:val="Odwoanieprzypisudolnego"/>
        </w:rPr>
        <w:footnoteRef/>
      </w:r>
      <w:r w:rsidRPr="000648EC">
        <w:rPr>
          <w:rFonts w:ascii="Arial" w:hAnsi="Arial" w:cs="Arial"/>
        </w:rPr>
        <w:t xml:space="preserve"> Opracowano na podstawie danych LSI2014</w:t>
      </w:r>
      <w:r>
        <w:rPr>
          <w:rFonts w:ascii="Arial" w:hAnsi="Arial" w:cs="Arial"/>
        </w:rPr>
        <w:t xml:space="preserve"> </w:t>
      </w:r>
      <w:r w:rsidRPr="00AB5D0E">
        <w:rPr>
          <w:rFonts w:ascii="Arial" w:hAnsi="Arial" w:cs="Arial"/>
        </w:rPr>
        <w:t>(data dostępu: 30.09.2019 r.).</w:t>
      </w:r>
      <w:r w:rsidRPr="000648EC">
        <w:rPr>
          <w:rFonts w:ascii="Arial" w:hAnsi="Arial" w:cs="Arial"/>
        </w:rPr>
        <w:t>.</w:t>
      </w:r>
    </w:p>
  </w:footnote>
  <w:footnote w:id="111">
    <w:p w14:paraId="4BAB2AA3" w14:textId="77777777" w:rsidR="00443AD1" w:rsidRPr="000648EC" w:rsidRDefault="00443AD1" w:rsidP="000648EC">
      <w:pPr>
        <w:pStyle w:val="Tekstprzypisudolnego"/>
        <w:jc w:val="both"/>
        <w:rPr>
          <w:rFonts w:ascii="Arial" w:hAnsi="Arial" w:cs="Arial"/>
        </w:rPr>
      </w:pPr>
      <w:r w:rsidRPr="000648EC">
        <w:rPr>
          <w:rStyle w:val="Odwoanieprzypisudolnego"/>
        </w:rPr>
        <w:footnoteRef/>
      </w:r>
      <w:r w:rsidRPr="000648EC">
        <w:rPr>
          <w:rFonts w:ascii="Arial" w:hAnsi="Arial" w:cs="Arial"/>
        </w:rPr>
        <w:t xml:space="preserve"> Analizie poddane zostały projekty pod względem udziału beneficjentów, którzy deklarowali sposób realizacji zasady horyzontalnej w ogólnej liczbie beneficjentów w zależności od typu realizowanego projektu i możliwości zastosowania wskazanych mechanizmów.</w:t>
      </w:r>
    </w:p>
  </w:footnote>
  <w:footnote w:id="112">
    <w:p w14:paraId="008F98DE" w14:textId="77777777" w:rsidR="00443AD1" w:rsidRPr="000648EC" w:rsidRDefault="00443AD1" w:rsidP="00F72E5D">
      <w:pPr>
        <w:pStyle w:val="Tekstprzypisudolnego"/>
        <w:jc w:val="both"/>
        <w:rPr>
          <w:rFonts w:ascii="Arial" w:hAnsi="Arial" w:cs="Arial"/>
        </w:rPr>
      </w:pPr>
      <w:r w:rsidRPr="000648EC">
        <w:rPr>
          <w:rStyle w:val="Odwoanieprzypisudolnego"/>
        </w:rPr>
        <w:footnoteRef/>
      </w:r>
      <w:r w:rsidRPr="000648EC">
        <w:rPr>
          <w:rFonts w:ascii="Arial" w:hAnsi="Arial" w:cs="Arial"/>
        </w:rPr>
        <w:t xml:space="preserve"> </w:t>
      </w:r>
      <w:hyperlink r:id="rId1" w:history="1">
        <w:r w:rsidRPr="003769D9">
          <w:rPr>
            <w:rStyle w:val="Hipercze"/>
            <w:rFonts w:ascii="Arial" w:hAnsi="Arial" w:cs="Arial"/>
          </w:rPr>
          <w:t>Strona internetowa RPO WSL 2014-2020</w:t>
        </w:r>
      </w:hyperlink>
      <w:r>
        <w:rPr>
          <w:rFonts w:ascii="Arial" w:hAnsi="Arial" w:cs="Arial"/>
        </w:rPr>
        <w:t xml:space="preserve"> </w:t>
      </w:r>
      <w:r w:rsidRPr="000648EC">
        <w:rPr>
          <w:rFonts w:ascii="Arial" w:hAnsi="Arial" w:cs="Arial"/>
        </w:rPr>
        <w:t>[dostęp na dzień: 09.01.2020].</w:t>
      </w:r>
    </w:p>
  </w:footnote>
  <w:footnote w:id="113">
    <w:p w14:paraId="1FE83479" w14:textId="77777777" w:rsidR="00443AD1" w:rsidRPr="000648EC" w:rsidRDefault="00443AD1" w:rsidP="00F72E5D">
      <w:pPr>
        <w:pStyle w:val="Tekstprzypisudolnego"/>
        <w:jc w:val="both"/>
        <w:rPr>
          <w:rFonts w:ascii="Arial" w:hAnsi="Arial" w:cs="Arial"/>
        </w:rPr>
      </w:pPr>
      <w:r w:rsidRPr="000648EC">
        <w:rPr>
          <w:rStyle w:val="Odwoanieprzypisudolnego"/>
        </w:rPr>
        <w:footnoteRef/>
      </w:r>
      <w:r w:rsidRPr="000648EC">
        <w:rPr>
          <w:rFonts w:ascii="Arial" w:hAnsi="Arial" w:cs="Arial"/>
        </w:rPr>
        <w:t xml:space="preserve"> Ewaluacja systemu wyboru projektów ze szczególnym uwzględnieniem kryteriów wyboru projektów. Raport końcowy.</w:t>
      </w:r>
    </w:p>
  </w:footnote>
  <w:footnote w:id="114">
    <w:p w14:paraId="2A31C5CC" w14:textId="77777777" w:rsidR="00443AD1" w:rsidRPr="00F350D7" w:rsidRDefault="00443AD1" w:rsidP="0043367C">
      <w:pPr>
        <w:pStyle w:val="Tekstprzypisudolnego"/>
        <w:jc w:val="both"/>
        <w:rPr>
          <w:rFonts w:ascii="Arial" w:hAnsi="Arial" w:cs="Arial"/>
        </w:rPr>
      </w:pPr>
      <w:r w:rsidRPr="00F350D7">
        <w:rPr>
          <w:rStyle w:val="Odwoanieprzypisudolnego"/>
        </w:rPr>
        <w:footnoteRef/>
      </w:r>
      <w:r w:rsidRPr="00F350D7">
        <w:rPr>
          <w:rFonts w:ascii="Arial" w:hAnsi="Arial" w:cs="Arial"/>
        </w:rPr>
        <w:t xml:space="preserve"> Realizacja Regionalnego Programu Operacyjnego Województwa Śląskiego 2014-2020 – stan na dzień 14 października 2019 r.</w:t>
      </w:r>
    </w:p>
  </w:footnote>
  <w:footnote w:id="115">
    <w:p w14:paraId="527DFF28" w14:textId="77777777" w:rsidR="00443AD1" w:rsidRPr="00F350D7" w:rsidRDefault="00443AD1" w:rsidP="0043367C">
      <w:pPr>
        <w:pStyle w:val="Tekstprzypisudolnego"/>
        <w:jc w:val="both"/>
        <w:rPr>
          <w:rFonts w:ascii="Arial" w:hAnsi="Arial" w:cs="Arial"/>
        </w:rPr>
      </w:pPr>
      <w:r w:rsidRPr="00F350D7">
        <w:rPr>
          <w:rStyle w:val="Odwoanieprzypisudolnego"/>
        </w:rPr>
        <w:footnoteRef/>
      </w:r>
      <w:r w:rsidRPr="00F350D7">
        <w:rPr>
          <w:rFonts w:ascii="Arial" w:hAnsi="Arial" w:cs="Arial"/>
        </w:rPr>
        <w:t xml:space="preserve"> Roczne i końcowe sprawozdania z wdrażania w ramach celu „Inwestycje na rzecz wzrostu gospodarczego i zatrudnienia” stan na rok 2017.</w:t>
      </w:r>
    </w:p>
  </w:footnote>
  <w:footnote w:id="116">
    <w:p w14:paraId="46B29422" w14:textId="77777777" w:rsidR="00443AD1" w:rsidRPr="00F350D7" w:rsidRDefault="00443AD1">
      <w:pPr>
        <w:pStyle w:val="Tekstprzypisudolnego"/>
      </w:pPr>
      <w:r w:rsidRPr="00F350D7">
        <w:rPr>
          <w:rStyle w:val="Odwoanieprzypisudolnego"/>
        </w:rPr>
        <w:footnoteRef/>
      </w:r>
      <w:r w:rsidRPr="00F350D7">
        <w:t xml:space="preserve"> </w:t>
      </w:r>
      <w:r w:rsidRPr="00F350D7">
        <w:rPr>
          <w:rFonts w:ascii="Arial" w:hAnsi="Arial" w:cs="Arial"/>
        </w:rPr>
        <w:t>Dane pozyskane z LSI2014</w:t>
      </w:r>
      <w:r>
        <w:rPr>
          <w:rFonts w:ascii="Arial" w:hAnsi="Arial" w:cs="Arial"/>
        </w:rPr>
        <w:t xml:space="preserve"> </w:t>
      </w:r>
      <w:r w:rsidRPr="00AB5D0E">
        <w:rPr>
          <w:rFonts w:ascii="Arial" w:hAnsi="Arial" w:cs="Arial"/>
        </w:rPr>
        <w:t>(data dostępu: 30.09.2019 r.).</w:t>
      </w:r>
    </w:p>
  </w:footnote>
  <w:footnote w:id="117">
    <w:p w14:paraId="4BE9C267" w14:textId="77777777" w:rsidR="00443AD1" w:rsidRPr="00F350D7" w:rsidRDefault="00443AD1">
      <w:pPr>
        <w:pStyle w:val="Tekstprzypisudolnego"/>
      </w:pPr>
      <w:r w:rsidRPr="00F350D7">
        <w:rPr>
          <w:rStyle w:val="Odwoanieprzypisudolnego"/>
        </w:rPr>
        <w:footnoteRef/>
      </w:r>
      <w:r w:rsidRPr="00F350D7">
        <w:t xml:space="preserve"> </w:t>
      </w:r>
      <w:r w:rsidRPr="00F350D7">
        <w:rPr>
          <w:rFonts w:ascii="Arial" w:hAnsi="Arial" w:cs="Arial"/>
        </w:rPr>
        <w:t>Dane pozyskane z LSI2014</w:t>
      </w:r>
      <w:r>
        <w:rPr>
          <w:rFonts w:ascii="Arial" w:hAnsi="Arial" w:cs="Arial"/>
        </w:rPr>
        <w:t xml:space="preserve"> </w:t>
      </w:r>
      <w:r w:rsidRPr="00AB5D0E">
        <w:rPr>
          <w:rFonts w:ascii="Arial" w:hAnsi="Arial" w:cs="Arial"/>
        </w:rPr>
        <w:t>(data dostępu: 30.09.2019 r.).</w:t>
      </w:r>
    </w:p>
  </w:footnote>
  <w:footnote w:id="118">
    <w:p w14:paraId="61D3D264" w14:textId="77777777" w:rsidR="00443AD1" w:rsidRPr="00F350D7" w:rsidRDefault="00443AD1">
      <w:pPr>
        <w:pStyle w:val="Tekstprzypisudolnego"/>
      </w:pPr>
      <w:r w:rsidRPr="00F350D7">
        <w:rPr>
          <w:rStyle w:val="Odwoanieprzypisudolnego"/>
        </w:rPr>
        <w:footnoteRef/>
      </w:r>
      <w:r w:rsidRPr="00F350D7">
        <w:t xml:space="preserve"> </w:t>
      </w:r>
      <w:r w:rsidRPr="00F350D7">
        <w:rPr>
          <w:rFonts w:ascii="Arial" w:hAnsi="Arial" w:cs="Arial"/>
        </w:rPr>
        <w:t>Dane pozyskane z LSI2014</w:t>
      </w:r>
      <w:r>
        <w:rPr>
          <w:rFonts w:ascii="Arial" w:hAnsi="Arial" w:cs="Arial"/>
        </w:rPr>
        <w:t xml:space="preserve"> </w:t>
      </w:r>
      <w:r w:rsidRPr="00AB5D0E">
        <w:rPr>
          <w:rFonts w:ascii="Arial" w:hAnsi="Arial" w:cs="Arial"/>
        </w:rPr>
        <w:t>(data dostępu: 30.09.2019 r.).</w:t>
      </w:r>
      <w:r w:rsidRPr="00F350D7">
        <w:rPr>
          <w:rFonts w:ascii="Arial" w:hAnsi="Arial" w:cs="Arial"/>
        </w:rPr>
        <w:t>.</w:t>
      </w:r>
    </w:p>
  </w:footnote>
  <w:footnote w:id="119">
    <w:p w14:paraId="163B3287" w14:textId="77777777" w:rsidR="00443AD1" w:rsidRPr="00F350D7" w:rsidRDefault="00443AD1">
      <w:pPr>
        <w:pStyle w:val="Tekstprzypisudolnego"/>
      </w:pPr>
      <w:r w:rsidRPr="00F350D7">
        <w:rPr>
          <w:rStyle w:val="Odwoanieprzypisudolnego"/>
        </w:rPr>
        <w:footnoteRef/>
      </w:r>
      <w:r w:rsidRPr="00F350D7">
        <w:t xml:space="preserve"> </w:t>
      </w:r>
      <w:r w:rsidRPr="00F350D7">
        <w:rPr>
          <w:rFonts w:ascii="Arial" w:hAnsi="Arial" w:cs="Arial"/>
        </w:rPr>
        <w:t>Dane pozyskane z LSI2014</w:t>
      </w:r>
      <w:r>
        <w:rPr>
          <w:rFonts w:ascii="Arial" w:hAnsi="Arial" w:cs="Arial"/>
        </w:rPr>
        <w:t xml:space="preserve"> </w:t>
      </w:r>
      <w:r w:rsidRPr="00AB5D0E">
        <w:rPr>
          <w:rFonts w:ascii="Arial" w:hAnsi="Arial" w:cs="Arial"/>
        </w:rPr>
        <w:t>(data dostępu: 30.09.2019 r.).</w:t>
      </w:r>
      <w:r w:rsidRPr="00F350D7">
        <w:rPr>
          <w:rFonts w:ascii="Arial" w:hAnsi="Arial" w:cs="Arial"/>
        </w:rPr>
        <w:t>.</w:t>
      </w:r>
    </w:p>
  </w:footnote>
  <w:footnote w:id="120">
    <w:p w14:paraId="780E239B" w14:textId="77777777" w:rsidR="00443AD1" w:rsidRPr="00F350D7" w:rsidRDefault="00443AD1">
      <w:pPr>
        <w:pStyle w:val="Tekstprzypisudolnego"/>
        <w:rPr>
          <w:rFonts w:ascii="Arial" w:hAnsi="Arial" w:cs="Arial"/>
        </w:rPr>
      </w:pPr>
      <w:r w:rsidRPr="00F350D7">
        <w:rPr>
          <w:rStyle w:val="Odwoanieprzypisudolnego"/>
        </w:rPr>
        <w:footnoteRef/>
      </w:r>
      <w:r w:rsidRPr="00F350D7">
        <w:rPr>
          <w:rFonts w:ascii="Arial" w:hAnsi="Arial" w:cs="Arial"/>
        </w:rPr>
        <w:t xml:space="preserve"> Dane pozyskane z LSI2014</w:t>
      </w:r>
      <w:r>
        <w:rPr>
          <w:rFonts w:ascii="Arial" w:hAnsi="Arial" w:cs="Arial"/>
        </w:rPr>
        <w:t xml:space="preserve"> </w:t>
      </w:r>
      <w:r w:rsidRPr="00AB5D0E">
        <w:rPr>
          <w:rFonts w:ascii="Arial" w:hAnsi="Arial" w:cs="Arial"/>
        </w:rPr>
        <w:t>(data dostępu: 30.09.2019 r.).</w:t>
      </w:r>
      <w:r w:rsidRPr="00F350D7">
        <w:rPr>
          <w:rFonts w:ascii="Arial" w:hAnsi="Arial" w:cs="Arial"/>
        </w:rPr>
        <w:t>.</w:t>
      </w:r>
    </w:p>
  </w:footnote>
  <w:footnote w:id="121">
    <w:p w14:paraId="5178E4D9" w14:textId="77777777" w:rsidR="00443AD1" w:rsidRPr="00F350D7" w:rsidRDefault="00443AD1" w:rsidP="00EB4FFB">
      <w:pPr>
        <w:pStyle w:val="Tekstprzypisudolnego"/>
        <w:jc w:val="both"/>
        <w:rPr>
          <w:rFonts w:ascii="Arial" w:hAnsi="Arial" w:cs="Arial"/>
        </w:rPr>
      </w:pPr>
      <w:r w:rsidRPr="00F350D7">
        <w:rPr>
          <w:rStyle w:val="Odwoanieprzypisudolnego"/>
        </w:rPr>
        <w:footnoteRef/>
      </w:r>
      <w:r w:rsidRPr="00F350D7">
        <w:rPr>
          <w:rFonts w:ascii="Arial" w:hAnsi="Arial" w:cs="Arial"/>
        </w:rPr>
        <w:t xml:space="preserve"> </w:t>
      </w:r>
      <w:r w:rsidRPr="00F350D7">
        <w:rPr>
          <w:rFonts w:ascii="Arial" w:eastAsia="DejaVuSans" w:hAnsi="Arial" w:cs="Arial"/>
        </w:rPr>
        <w:t>W ramach trwającej do końca roku 2020, edycji piątej, na moment sporządzania raportu nie wskazano wskaźnika dotyczącego liczby szkół, w obrębie których uczniowie otrzymali wsparcie stypendialne.</w:t>
      </w:r>
    </w:p>
  </w:footnote>
  <w:footnote w:id="122">
    <w:p w14:paraId="25F03645" w14:textId="77777777" w:rsidR="00443AD1" w:rsidRPr="00987479" w:rsidRDefault="00443AD1" w:rsidP="00987479">
      <w:pPr>
        <w:pStyle w:val="Tekstprzypisudolnego"/>
        <w:jc w:val="both"/>
        <w:rPr>
          <w:rFonts w:ascii="Arial" w:hAnsi="Arial" w:cs="Arial"/>
          <w:sz w:val="18"/>
        </w:rPr>
      </w:pPr>
      <w:r w:rsidRPr="00987479">
        <w:rPr>
          <w:rStyle w:val="Odwoanieprzypisudolnego"/>
          <w:sz w:val="18"/>
        </w:rPr>
        <w:footnoteRef/>
      </w:r>
      <w:r>
        <w:rPr>
          <w:rFonts w:ascii="Arial" w:hAnsi="Arial" w:cs="Arial"/>
          <w:sz w:val="18"/>
        </w:rPr>
        <w:t xml:space="preserve"> </w:t>
      </w:r>
      <w:hyperlink r:id="rId2" w:history="1">
        <w:r w:rsidRPr="003769D9">
          <w:rPr>
            <w:rStyle w:val="Hipercze"/>
            <w:rFonts w:ascii="Arial" w:hAnsi="Arial" w:cs="Arial"/>
            <w:sz w:val="18"/>
          </w:rPr>
          <w:t>Strony internetowe Ośrodka Rozwoju Edukacji</w:t>
        </w:r>
      </w:hyperlink>
      <w:r w:rsidRPr="00987479">
        <w:rPr>
          <w:rFonts w:ascii="Arial" w:hAnsi="Arial" w:cs="Arial"/>
          <w:sz w:val="18"/>
        </w:rPr>
        <w:t xml:space="preserve"> oraz kuratoriów oświaty z wszystkich 16 województw [dostęp: 08.01.2020].</w:t>
      </w:r>
    </w:p>
  </w:footnote>
  <w:footnote w:id="123">
    <w:p w14:paraId="0B5EBBF4" w14:textId="77777777" w:rsidR="00443AD1" w:rsidRPr="00F350D7" w:rsidRDefault="00443AD1">
      <w:pPr>
        <w:pStyle w:val="Tekstprzypisudolnego"/>
        <w:rPr>
          <w:rFonts w:ascii="Arial" w:hAnsi="Arial" w:cs="Arial"/>
          <w:szCs w:val="18"/>
        </w:rPr>
      </w:pPr>
      <w:r w:rsidRPr="00F350D7">
        <w:rPr>
          <w:rStyle w:val="Odwoanieprzypisudolnego"/>
          <w:szCs w:val="18"/>
        </w:rPr>
        <w:footnoteRef/>
      </w:r>
      <w:r w:rsidRPr="00F350D7">
        <w:rPr>
          <w:szCs w:val="18"/>
        </w:rPr>
        <w:t xml:space="preserve"> </w:t>
      </w:r>
      <w:r w:rsidRPr="00F350D7">
        <w:rPr>
          <w:rFonts w:ascii="Arial" w:hAnsi="Arial" w:cs="Arial"/>
          <w:szCs w:val="18"/>
        </w:rPr>
        <w:t>Dane pozyskane z LSI2014</w:t>
      </w:r>
      <w:r>
        <w:rPr>
          <w:rFonts w:ascii="Arial" w:hAnsi="Arial" w:cs="Arial"/>
          <w:szCs w:val="18"/>
        </w:rPr>
        <w:t xml:space="preserve"> </w:t>
      </w:r>
      <w:r w:rsidRPr="00AB5D0E">
        <w:rPr>
          <w:rFonts w:ascii="Arial" w:hAnsi="Arial" w:cs="Arial"/>
          <w:szCs w:val="18"/>
        </w:rPr>
        <w:t>(data dostępu: 30.09.2019 r.).</w:t>
      </w:r>
    </w:p>
  </w:footnote>
  <w:footnote w:id="124">
    <w:p w14:paraId="4C5D2CAC" w14:textId="77777777" w:rsidR="00443AD1" w:rsidRPr="00F350D7" w:rsidRDefault="00443AD1">
      <w:pPr>
        <w:pStyle w:val="Tekstprzypisudolnego"/>
        <w:rPr>
          <w:rFonts w:ascii="Arial" w:hAnsi="Arial" w:cs="Arial"/>
        </w:rPr>
      </w:pPr>
      <w:r w:rsidRPr="00F350D7">
        <w:rPr>
          <w:rStyle w:val="Odwoanieprzypisudolnego"/>
        </w:rPr>
        <w:footnoteRef/>
      </w:r>
      <w:r>
        <w:rPr>
          <w:rFonts w:ascii="Arial" w:hAnsi="Arial" w:cs="Arial"/>
        </w:rPr>
        <w:t xml:space="preserve"> Ibidem.</w:t>
      </w:r>
    </w:p>
  </w:footnote>
  <w:footnote w:id="125">
    <w:p w14:paraId="2D87A2B2" w14:textId="77777777" w:rsidR="00443AD1" w:rsidRPr="00F350D7" w:rsidRDefault="00443AD1">
      <w:pPr>
        <w:pStyle w:val="Tekstprzypisudolnego"/>
        <w:rPr>
          <w:sz w:val="22"/>
        </w:rPr>
      </w:pPr>
      <w:r w:rsidRPr="00F350D7">
        <w:rPr>
          <w:rStyle w:val="Odwoanieprzypisudolnego"/>
        </w:rPr>
        <w:footnoteRef/>
      </w:r>
      <w:r w:rsidRPr="00F350D7">
        <w:rPr>
          <w:rFonts w:ascii="Arial" w:hAnsi="Arial" w:cs="Arial"/>
        </w:rPr>
        <w:t xml:space="preserve"> </w:t>
      </w:r>
      <w:r>
        <w:rPr>
          <w:rFonts w:ascii="Arial" w:hAnsi="Arial" w:cs="Arial"/>
        </w:rPr>
        <w:t>Ibidem</w:t>
      </w:r>
      <w:r w:rsidRPr="00F350D7">
        <w:rPr>
          <w:rFonts w:ascii="Arial" w:hAnsi="Arial" w:cs="Arial"/>
        </w:rPr>
        <w:t>.</w:t>
      </w:r>
    </w:p>
  </w:footnote>
  <w:footnote w:id="126">
    <w:p w14:paraId="477942D5" w14:textId="77777777" w:rsidR="00443AD1" w:rsidRPr="00F350D7" w:rsidRDefault="00443AD1">
      <w:pPr>
        <w:pStyle w:val="Tekstprzypisudolnego"/>
        <w:rPr>
          <w:szCs w:val="18"/>
        </w:rPr>
      </w:pPr>
      <w:r w:rsidRPr="00F350D7">
        <w:rPr>
          <w:rStyle w:val="Odwoanieprzypisudolnego"/>
          <w:szCs w:val="18"/>
        </w:rPr>
        <w:footnoteRef/>
      </w:r>
      <w:r w:rsidRPr="00F350D7">
        <w:rPr>
          <w:szCs w:val="18"/>
        </w:rPr>
        <w:t xml:space="preserve"> </w:t>
      </w:r>
      <w:r>
        <w:rPr>
          <w:rFonts w:ascii="Arial" w:hAnsi="Arial" w:cs="Arial"/>
          <w:szCs w:val="18"/>
        </w:rPr>
        <w:t>Ibidem</w:t>
      </w:r>
      <w:r w:rsidRPr="00F350D7">
        <w:rPr>
          <w:rFonts w:ascii="Arial" w:hAnsi="Arial" w:cs="Arial"/>
          <w:szCs w:val="18"/>
        </w:rPr>
        <w:t>.</w:t>
      </w:r>
    </w:p>
  </w:footnote>
  <w:footnote w:id="127">
    <w:p w14:paraId="1205B9C0" w14:textId="77777777" w:rsidR="00443AD1" w:rsidRPr="00F350D7" w:rsidRDefault="00443AD1">
      <w:pPr>
        <w:pStyle w:val="Tekstprzypisudolnego"/>
        <w:rPr>
          <w:sz w:val="22"/>
        </w:rPr>
      </w:pPr>
      <w:r w:rsidRPr="00F350D7">
        <w:rPr>
          <w:rStyle w:val="Odwoanieprzypisudolnego"/>
          <w:sz w:val="22"/>
        </w:rPr>
        <w:footnoteRef/>
      </w:r>
      <w:r w:rsidRPr="00F350D7">
        <w:rPr>
          <w:sz w:val="22"/>
        </w:rPr>
        <w:t xml:space="preserve"> </w:t>
      </w:r>
      <w:r w:rsidRPr="00F350D7">
        <w:rPr>
          <w:rFonts w:ascii="Arial" w:hAnsi="Arial" w:cs="Arial"/>
        </w:rPr>
        <w:t>Dane pozyskane z LSI2014</w:t>
      </w:r>
      <w:r>
        <w:rPr>
          <w:rFonts w:ascii="Arial" w:hAnsi="Arial" w:cs="Arial"/>
        </w:rPr>
        <w:t xml:space="preserve"> </w:t>
      </w:r>
      <w:r w:rsidRPr="00AB5D0E">
        <w:rPr>
          <w:rFonts w:ascii="Arial" w:hAnsi="Arial" w:cs="Arial"/>
        </w:rPr>
        <w:t>(data dostępu: 30.09.2019 r.).</w:t>
      </w:r>
    </w:p>
  </w:footnote>
  <w:footnote w:id="128">
    <w:p w14:paraId="00B3C276" w14:textId="77777777" w:rsidR="00443AD1" w:rsidRPr="00F350D7" w:rsidRDefault="00443AD1" w:rsidP="003429FB">
      <w:pPr>
        <w:pStyle w:val="Tekstprzypisudolnego"/>
        <w:jc w:val="both"/>
        <w:rPr>
          <w:rFonts w:ascii="Arial" w:hAnsi="Arial" w:cs="Arial"/>
        </w:rPr>
      </w:pPr>
      <w:r w:rsidRPr="00F350D7">
        <w:rPr>
          <w:rStyle w:val="Odwoanieprzypisudolnego"/>
        </w:rPr>
        <w:footnoteRef/>
      </w:r>
      <w:r w:rsidRPr="00F350D7">
        <w:rPr>
          <w:rFonts w:ascii="Arial" w:hAnsi="Arial" w:cs="Arial"/>
        </w:rPr>
        <w:t xml:space="preserve"> Roczne i końcowe sprawozdania z wdrażania w ramach celu „Inwestycje na rzecz wzrostu gospodarczego i zatrudnienia” – sprawozdanie za lata 2014-2015.</w:t>
      </w:r>
    </w:p>
  </w:footnote>
  <w:footnote w:id="129">
    <w:p w14:paraId="0B37D5D4" w14:textId="77777777" w:rsidR="00443AD1" w:rsidRPr="00DC26C0" w:rsidRDefault="00443AD1" w:rsidP="002F1F17">
      <w:pPr>
        <w:pStyle w:val="Tekstprzypisudolnego"/>
        <w:jc w:val="both"/>
        <w:rPr>
          <w:rFonts w:ascii="Arial" w:hAnsi="Arial" w:cs="Arial"/>
        </w:rPr>
      </w:pPr>
      <w:r w:rsidRPr="00DC26C0">
        <w:rPr>
          <w:rStyle w:val="Odwoanieprzypisudolnego"/>
        </w:rPr>
        <w:footnoteRef/>
      </w:r>
      <w:r w:rsidRPr="00DC26C0">
        <w:rPr>
          <w:rFonts w:ascii="Arial" w:hAnsi="Arial" w:cs="Arial"/>
        </w:rPr>
        <w:t xml:space="preserve"> Okręgowa Komisja Egzaminacyjna w Jaworznie, Sprawozdanie ogólne z egzaminu maturalnego 2019.</w:t>
      </w:r>
    </w:p>
  </w:footnote>
  <w:footnote w:id="130">
    <w:p w14:paraId="7812D8E4" w14:textId="77777777" w:rsidR="00443AD1" w:rsidRDefault="00443AD1" w:rsidP="004A0B2D">
      <w:pPr>
        <w:pStyle w:val="Tekstprzypisudolnego"/>
      </w:pPr>
      <w:r>
        <w:rPr>
          <w:rStyle w:val="Odwoanieprzypisudolnego"/>
        </w:rPr>
        <w:footnoteRef/>
      </w:r>
      <w:r>
        <w:t xml:space="preserve"> Monitor edukacji i kształcenia 2019. Polska. Komisja Europejska.</w:t>
      </w:r>
    </w:p>
  </w:footnote>
  <w:footnote w:id="131">
    <w:p w14:paraId="061794FC" w14:textId="77777777" w:rsidR="00443AD1" w:rsidRDefault="00443AD1" w:rsidP="00357502">
      <w:pPr>
        <w:pStyle w:val="Tekstprzypisudolnego"/>
      </w:pPr>
      <w:r>
        <w:rPr>
          <w:rStyle w:val="Odwoanieprzypisudolnego"/>
        </w:rPr>
        <w:footnoteRef/>
      </w:r>
      <w:r>
        <w:t xml:space="preserve"> Źródło: Realizacja Regionalnego Programu Operacyjnego Województwa Śląskiego 2014-2020 - stan na dzień 14 października 2019 r.</w:t>
      </w:r>
    </w:p>
  </w:footnote>
  <w:footnote w:id="132">
    <w:p w14:paraId="51BB43DD" w14:textId="77777777" w:rsidR="00443AD1" w:rsidRDefault="00443AD1" w:rsidP="00357502">
      <w:pPr>
        <w:pStyle w:val="Tekstprzypisudolnego"/>
      </w:pPr>
      <w:r>
        <w:rPr>
          <w:rStyle w:val="Odwoanieprzypisudolnego"/>
        </w:rPr>
        <w:footnoteRef/>
      </w:r>
      <w:r>
        <w:t xml:space="preserve"> Wartość podpisanych umów podzielona przez wartość aktualną wskaźnika.</w:t>
      </w:r>
    </w:p>
  </w:footnote>
  <w:footnote w:id="133">
    <w:p w14:paraId="18275798" w14:textId="77777777" w:rsidR="00443AD1" w:rsidRDefault="00443AD1" w:rsidP="00357502">
      <w:pPr>
        <w:pStyle w:val="Tekstprzypisudolnego"/>
      </w:pPr>
      <w:r>
        <w:rPr>
          <w:rStyle w:val="Odwoanieprzypisudolnego"/>
        </w:rPr>
        <w:footnoteRef/>
      </w:r>
      <w:r>
        <w:t xml:space="preserve"> Źródło: Realizacja Regionalnego Programu Operacyjnego Województwa Śląskiego 2014-2020 - stan na dzień 14 października 2019 r.</w:t>
      </w:r>
    </w:p>
  </w:footnote>
  <w:footnote w:id="134">
    <w:p w14:paraId="385821AF" w14:textId="77777777" w:rsidR="00443AD1" w:rsidRDefault="00443AD1" w:rsidP="00B11F10">
      <w:pPr>
        <w:pStyle w:val="Tekstprzypisudolnego"/>
      </w:pPr>
      <w:r>
        <w:rPr>
          <w:rStyle w:val="Odwoanieprzypisudolnego"/>
        </w:rPr>
        <w:footnoteRef/>
      </w:r>
      <w:r>
        <w:t xml:space="preserve"> Z wyłączeniem wskaźników realizowanych przez projekt w trybie pozakonkursowym.</w:t>
      </w:r>
    </w:p>
  </w:footnote>
  <w:footnote w:id="135">
    <w:p w14:paraId="28110AA5" w14:textId="77777777" w:rsidR="00443AD1" w:rsidRDefault="00443AD1" w:rsidP="00B11F10">
      <w:pPr>
        <w:pStyle w:val="Tekstprzypisudolnego"/>
      </w:pPr>
      <w:r>
        <w:rPr>
          <w:rStyle w:val="Odwoanieprzypisudolnego"/>
        </w:rPr>
        <w:footnoteRef/>
      </w:r>
      <w:r>
        <w:t xml:space="preserve"> Iloraz % osiągniętej wartości docelowej wskaźnika i liczby zrealizowanych projektów.</w:t>
      </w:r>
    </w:p>
  </w:footnote>
  <w:footnote w:id="136">
    <w:p w14:paraId="30D22E24" w14:textId="77777777" w:rsidR="00443AD1" w:rsidRDefault="00443AD1" w:rsidP="008873F5">
      <w:pPr>
        <w:pStyle w:val="Tekstprzypisudolnego"/>
      </w:pPr>
      <w:r>
        <w:rPr>
          <w:rStyle w:val="Odwoanieprzypisudolnego"/>
        </w:rPr>
        <w:footnoteRef/>
      </w:r>
      <w:r>
        <w:t xml:space="preserve"> Iloraz wartości podpisanych umów o dofinansowanie i liczby projektów realizujących wskaźnik.</w:t>
      </w:r>
    </w:p>
  </w:footnote>
  <w:footnote w:id="137">
    <w:p w14:paraId="0A40D886" w14:textId="77777777" w:rsidR="00443AD1" w:rsidRPr="008D2398" w:rsidRDefault="00443AD1" w:rsidP="00915AF8">
      <w:pPr>
        <w:pStyle w:val="Tekstprzypisudolnego"/>
        <w:rPr>
          <w:rFonts w:ascii="Arial" w:hAnsi="Arial" w:cs="Arial"/>
        </w:rPr>
      </w:pPr>
      <w:r w:rsidRPr="008D2398">
        <w:rPr>
          <w:rStyle w:val="Odwoanieprzypisudolnego"/>
        </w:rPr>
        <w:footnoteRef/>
      </w:r>
      <w:r w:rsidRPr="008D2398">
        <w:rPr>
          <w:rFonts w:ascii="Arial" w:hAnsi="Arial" w:cs="Arial"/>
        </w:rPr>
        <w:t xml:space="preserve"> Roczne sprawozdanie z wdrażania w ramach celu „Inwestycje na rzecz wzrostu i zatrudnienia”, Regionalny Program Operacyjny Województwa</w:t>
      </w:r>
      <w:r>
        <w:rPr>
          <w:rFonts w:ascii="Arial" w:hAnsi="Arial" w:cs="Arial"/>
        </w:rPr>
        <w:t xml:space="preserve"> </w:t>
      </w:r>
      <w:r w:rsidRPr="008D2398">
        <w:rPr>
          <w:rFonts w:ascii="Arial" w:hAnsi="Arial" w:cs="Arial"/>
        </w:rPr>
        <w:t>Śląskiego na lata 2014-2020, s. 170.</w:t>
      </w:r>
    </w:p>
  </w:footnote>
  <w:footnote w:id="138">
    <w:p w14:paraId="74BF3E0E" w14:textId="77777777" w:rsidR="00443AD1" w:rsidRDefault="00443AD1" w:rsidP="000F2849">
      <w:pPr>
        <w:pStyle w:val="Tekstprzypisudolnego"/>
      </w:pPr>
      <w:r>
        <w:rPr>
          <w:rStyle w:val="Odwoanieprzypisudolnego"/>
        </w:rPr>
        <w:footnoteRef/>
      </w:r>
      <w:r>
        <w:t xml:space="preserve"> </w:t>
      </w:r>
      <w:r w:rsidRPr="006E621A">
        <w:t>https://slaskie.pl/content/slaskie-zawodowcy</w:t>
      </w:r>
    </w:p>
  </w:footnote>
  <w:footnote w:id="139">
    <w:p w14:paraId="67BC93D2" w14:textId="77777777" w:rsidR="00443AD1" w:rsidRPr="002D42DC" w:rsidRDefault="00443AD1" w:rsidP="00915AF8">
      <w:pPr>
        <w:pStyle w:val="Tekstprzypisudolnego"/>
        <w:jc w:val="both"/>
        <w:rPr>
          <w:rFonts w:ascii="Arial" w:hAnsi="Arial" w:cs="Arial"/>
        </w:rPr>
      </w:pPr>
      <w:r w:rsidRPr="002D42DC">
        <w:rPr>
          <w:rStyle w:val="Odwoanieprzypisudolnego"/>
        </w:rPr>
        <w:footnoteRef/>
      </w:r>
      <w:r w:rsidRPr="002D42DC">
        <w:rPr>
          <w:rFonts w:ascii="Arial" w:hAnsi="Arial" w:cs="Arial"/>
        </w:rPr>
        <w:t xml:space="preserve"> Obniżenie wskaźnika zostało zarekomendowane w Ewaluacji mid-term dotyczącej postępu rzeczowego RPO WSL 2014-2020 oraz wkładu Programu w realizację unijnej strategii EU 2020 dla potrzeb przeglądu śródokresowego.</w:t>
      </w:r>
    </w:p>
  </w:footnote>
  <w:footnote w:id="140">
    <w:p w14:paraId="487FDF7E" w14:textId="77777777" w:rsidR="00443AD1" w:rsidRDefault="00443AD1" w:rsidP="000F2849">
      <w:pPr>
        <w:pStyle w:val="Tekstprzypisudolnego"/>
      </w:pPr>
      <w:r>
        <w:rPr>
          <w:rStyle w:val="Odwoanieprzypisudolnego"/>
        </w:rPr>
        <w:footnoteRef/>
      </w:r>
      <w:r>
        <w:t xml:space="preserve"> </w:t>
      </w:r>
      <w:r w:rsidRPr="006E621A">
        <w:t>https://slaskie.pl/content/slaskie-zawodowcy</w:t>
      </w:r>
    </w:p>
  </w:footnote>
  <w:footnote w:id="141">
    <w:p w14:paraId="6CADB671" w14:textId="77777777" w:rsidR="00443AD1" w:rsidRPr="00B95DAC" w:rsidRDefault="00443AD1" w:rsidP="000F2849">
      <w:pPr>
        <w:pStyle w:val="Tekstprzypisudolnego"/>
        <w:jc w:val="both"/>
        <w:rPr>
          <w:rFonts w:ascii="Arial" w:hAnsi="Arial" w:cs="Arial"/>
          <w:sz w:val="18"/>
        </w:rPr>
      </w:pPr>
      <w:r w:rsidRPr="00B95DAC">
        <w:rPr>
          <w:rStyle w:val="Odwoanieprzypisudolnego"/>
          <w:sz w:val="18"/>
        </w:rPr>
        <w:footnoteRef/>
      </w:r>
      <w:r w:rsidRPr="00B95DAC">
        <w:rPr>
          <w:rFonts w:ascii="Arial" w:hAnsi="Arial" w:cs="Arial"/>
          <w:sz w:val="18"/>
        </w:rPr>
        <w:t xml:space="preserve"> Wskaźnik mierzony dwukrotnie w okresie programowania w roku 2019 i 2023.</w:t>
      </w:r>
    </w:p>
  </w:footnote>
  <w:footnote w:id="142">
    <w:p w14:paraId="5F3D0CCD" w14:textId="77777777" w:rsidR="00443AD1" w:rsidRDefault="00443AD1" w:rsidP="000F2849">
      <w:pPr>
        <w:pStyle w:val="Tekstprzypisudolnego"/>
      </w:pPr>
      <w:r>
        <w:rPr>
          <w:rStyle w:val="Odwoanieprzypisudolnego"/>
        </w:rPr>
        <w:footnoteRef/>
      </w:r>
      <w:r>
        <w:t xml:space="preserve"> Na podstawie szacowanej wartości wskaźnika: </w:t>
      </w:r>
      <w:r w:rsidRPr="00E24BD3">
        <w:rPr>
          <w:rFonts w:eastAsia="Times New Roman" w:cs="Arial"/>
          <w:color w:val="000000"/>
          <w:lang w:eastAsia="pl-PL"/>
        </w:rPr>
        <w:t>Liczba miejsc wychowania przedszkolnego dofinansowanych w programie</w:t>
      </w:r>
      <w:r>
        <w:rPr>
          <w:rFonts w:eastAsia="Times New Roman" w:cs="Arial"/>
          <w:color w:val="000000"/>
          <w:lang w:eastAsia="pl-PL"/>
        </w:rPr>
        <w:t xml:space="preserve"> oraz odsetka miejsc wychowania przedszkolnego utworzonych lub dostosowanych do potrzeb dzieci z niepełnosprawnościami istniejących co najmniej 2 lata, który w 2019 r. wynosił 100% ( Źródło: Ewaluacja uzyskanych wartości wskaźników rezultatu długoterminowego EFS i wskaźnika rezultatu EFRR oraz oszacowanie wartości wskaźnika produktu w ramach RPO WSL na lata 2014-2020).</w:t>
      </w:r>
    </w:p>
  </w:footnote>
  <w:footnote w:id="143">
    <w:p w14:paraId="44210923" w14:textId="77777777" w:rsidR="00443AD1" w:rsidRPr="00E24E5D" w:rsidRDefault="00443AD1" w:rsidP="00854A72">
      <w:pPr>
        <w:pStyle w:val="Tekstprzypisudolnego"/>
        <w:jc w:val="both"/>
        <w:rPr>
          <w:rFonts w:ascii="Arial" w:hAnsi="Arial" w:cs="Arial"/>
          <w:sz w:val="18"/>
          <w:szCs w:val="18"/>
        </w:rPr>
      </w:pPr>
      <w:r w:rsidRPr="00E24E5D">
        <w:rPr>
          <w:rStyle w:val="Odwoanieprzypisudolnego"/>
          <w:sz w:val="18"/>
          <w:szCs w:val="18"/>
        </w:rPr>
        <w:footnoteRef/>
      </w:r>
      <w:r w:rsidRPr="00E24E5D">
        <w:rPr>
          <w:rFonts w:ascii="Arial" w:hAnsi="Arial" w:cs="Arial"/>
          <w:sz w:val="18"/>
          <w:szCs w:val="18"/>
        </w:rPr>
        <w:t xml:space="preserve"> W tym: Komunikat o sytuacji społeczno-gospodarczej Województwa Śląskiego, wrzesień 2017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521"/>
    <w:multiLevelType w:val="hybridMultilevel"/>
    <w:tmpl w:val="C2C44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6E67DE"/>
    <w:multiLevelType w:val="hybridMultilevel"/>
    <w:tmpl w:val="063EC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790B20"/>
    <w:multiLevelType w:val="hybridMultilevel"/>
    <w:tmpl w:val="19789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E81AEC"/>
    <w:multiLevelType w:val="hybridMultilevel"/>
    <w:tmpl w:val="6D84E8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FD107C"/>
    <w:multiLevelType w:val="hybridMultilevel"/>
    <w:tmpl w:val="15328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3C73E2"/>
    <w:multiLevelType w:val="hybridMultilevel"/>
    <w:tmpl w:val="CE46E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2C7BF4"/>
    <w:multiLevelType w:val="hybridMultilevel"/>
    <w:tmpl w:val="09E622D2"/>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7" w15:restartNumberingAfterBreak="0">
    <w:nsid w:val="06F35ACC"/>
    <w:multiLevelType w:val="hybridMultilevel"/>
    <w:tmpl w:val="3B546930"/>
    <w:lvl w:ilvl="0" w:tplc="04150019">
      <w:start w:val="1"/>
      <w:numFmt w:val="lowerLetter"/>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0CBB1924"/>
    <w:multiLevelType w:val="hybridMultilevel"/>
    <w:tmpl w:val="856A9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D02DAD"/>
    <w:multiLevelType w:val="hybridMultilevel"/>
    <w:tmpl w:val="1E1A2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F6A7A5D"/>
    <w:multiLevelType w:val="hybridMultilevel"/>
    <w:tmpl w:val="315610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A85E8B"/>
    <w:multiLevelType w:val="hybridMultilevel"/>
    <w:tmpl w:val="89C83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FE15B85"/>
    <w:multiLevelType w:val="hybridMultilevel"/>
    <w:tmpl w:val="56B85A88"/>
    <w:lvl w:ilvl="0" w:tplc="04150011">
      <w:start w:val="1"/>
      <w:numFmt w:val="decimal"/>
      <w:lvlText w:val="%1)"/>
      <w:lvlJc w:val="left"/>
      <w:pPr>
        <w:ind w:left="720" w:hanging="360"/>
      </w:pPr>
    </w:lvl>
    <w:lvl w:ilvl="1" w:tplc="B03A4A7E">
      <w:start w:val="10"/>
      <w:numFmt w:val="bullet"/>
      <w:lvlText w:val=""/>
      <w:lvlJc w:val="left"/>
      <w:pPr>
        <w:ind w:left="1440" w:hanging="360"/>
      </w:pPr>
      <w:rPr>
        <w:rFonts w:ascii="Arial" w:eastAsiaTheme="minorEastAsia"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353511"/>
    <w:multiLevelType w:val="hybridMultilevel"/>
    <w:tmpl w:val="39361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2917C48"/>
    <w:multiLevelType w:val="hybridMultilevel"/>
    <w:tmpl w:val="62C6C4DE"/>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12A31B81"/>
    <w:multiLevelType w:val="hybridMultilevel"/>
    <w:tmpl w:val="AABA4AA8"/>
    <w:lvl w:ilvl="0" w:tplc="04150019">
      <w:start w:val="1"/>
      <w:numFmt w:val="lowerLetter"/>
      <w:lvlText w:val="%1."/>
      <w:lvlJc w:val="left"/>
      <w:pPr>
        <w:ind w:left="1068" w:hanging="360"/>
      </w:p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6" w15:restartNumberingAfterBreak="0">
    <w:nsid w:val="12F272A7"/>
    <w:multiLevelType w:val="hybridMultilevel"/>
    <w:tmpl w:val="A8A2C852"/>
    <w:lvl w:ilvl="0" w:tplc="0B6A387A">
      <w:start w:val="1"/>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38C19C9"/>
    <w:multiLevelType w:val="hybridMultilevel"/>
    <w:tmpl w:val="D1727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62828EC"/>
    <w:multiLevelType w:val="hybridMultilevel"/>
    <w:tmpl w:val="28DCDF1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15:restartNumberingAfterBreak="0">
    <w:nsid w:val="1669770C"/>
    <w:multiLevelType w:val="hybridMultilevel"/>
    <w:tmpl w:val="8DEE8C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7A4EF3"/>
    <w:multiLevelType w:val="hybridMultilevel"/>
    <w:tmpl w:val="2EBC3AB4"/>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15:restartNumberingAfterBreak="0">
    <w:nsid w:val="19BC73FC"/>
    <w:multiLevelType w:val="multilevel"/>
    <w:tmpl w:val="DC86B136"/>
    <w:lvl w:ilvl="0">
      <w:start w:val="1"/>
      <w:numFmt w:val="decimal"/>
      <w:lvlText w:val="%1."/>
      <w:lvlJc w:val="left"/>
      <w:pPr>
        <w:ind w:left="480" w:hanging="48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B9312AA"/>
    <w:multiLevelType w:val="hybridMultilevel"/>
    <w:tmpl w:val="4F8AFA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BE13066"/>
    <w:multiLevelType w:val="hybridMultilevel"/>
    <w:tmpl w:val="0C98A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C6577D9"/>
    <w:multiLevelType w:val="hybridMultilevel"/>
    <w:tmpl w:val="2730B84C"/>
    <w:lvl w:ilvl="0" w:tplc="0B6A387A">
      <w:start w:val="1"/>
      <w:numFmt w:val="decimal"/>
      <w:lvlText w:val="%1."/>
      <w:lvlJc w:val="left"/>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DD64E6D"/>
    <w:multiLevelType w:val="hybridMultilevel"/>
    <w:tmpl w:val="E33AC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EBB1ABC"/>
    <w:multiLevelType w:val="hybridMultilevel"/>
    <w:tmpl w:val="E57AFE7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EF130C8"/>
    <w:multiLevelType w:val="hybridMultilevel"/>
    <w:tmpl w:val="684CC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0DA07B8"/>
    <w:multiLevelType w:val="hybridMultilevel"/>
    <w:tmpl w:val="A7BA2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115634D"/>
    <w:multiLevelType w:val="hybridMultilevel"/>
    <w:tmpl w:val="875A0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48001BC"/>
    <w:multiLevelType w:val="hybridMultilevel"/>
    <w:tmpl w:val="93026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C915FC"/>
    <w:multiLevelType w:val="hybridMultilevel"/>
    <w:tmpl w:val="37CA90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28BF61D6"/>
    <w:multiLevelType w:val="hybridMultilevel"/>
    <w:tmpl w:val="507278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98342D1"/>
    <w:multiLevelType w:val="hybridMultilevel"/>
    <w:tmpl w:val="E33ABA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B7F70DA"/>
    <w:multiLevelType w:val="hybridMultilevel"/>
    <w:tmpl w:val="197607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F162028"/>
    <w:multiLevelType w:val="hybridMultilevel"/>
    <w:tmpl w:val="5B1A5FE0"/>
    <w:lvl w:ilvl="0" w:tplc="04150011">
      <w:start w:val="1"/>
      <w:numFmt w:val="decimal"/>
      <w:lvlText w:val="%1)"/>
      <w:lvlJc w:val="left"/>
      <w:pPr>
        <w:ind w:left="720" w:hanging="360"/>
      </w:pPr>
    </w:lvl>
    <w:lvl w:ilvl="1" w:tplc="C7C44BD2">
      <w:start w:val="1"/>
      <w:numFmt w:val="decimal"/>
      <w:lvlText w:val="%2."/>
      <w:lvlJc w:val="left"/>
      <w:pPr>
        <w:ind w:left="1440" w:hanging="360"/>
      </w:pPr>
      <w:rPr>
        <w:rFonts w:hint="default"/>
      </w:rPr>
    </w:lvl>
    <w:lvl w:ilvl="2" w:tplc="B2FAA318">
      <w:start w:val="7"/>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19D0F31"/>
    <w:multiLevelType w:val="hybridMultilevel"/>
    <w:tmpl w:val="F4DE7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2871F6A"/>
    <w:multiLevelType w:val="hybridMultilevel"/>
    <w:tmpl w:val="DEB09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4381614"/>
    <w:multiLevelType w:val="hybridMultilevel"/>
    <w:tmpl w:val="45100BF6"/>
    <w:lvl w:ilvl="0" w:tplc="04150011">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5DA390B"/>
    <w:multiLevelType w:val="multilevel"/>
    <w:tmpl w:val="11F09E34"/>
    <w:lvl w:ilvl="0">
      <w:start w:val="1"/>
      <w:numFmt w:val="decimal"/>
      <w:pStyle w:val="Nagwek1"/>
      <w:lvlText w:val="%1."/>
      <w:lvlJc w:val="left"/>
      <w:pPr>
        <w:ind w:left="1080" w:hanging="720"/>
      </w:pPr>
      <w:rPr>
        <w:rFonts w:ascii="Arial" w:eastAsiaTheme="majorEastAsia" w:hAnsi="Arial" w:cstheme="majorBidi"/>
      </w:rPr>
    </w:lvl>
    <w:lvl w:ilvl="1">
      <w:start w:val="1"/>
      <w:numFmt w:val="decimal"/>
      <w:pStyle w:val="Nagwek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6550B96"/>
    <w:multiLevelType w:val="hybridMultilevel"/>
    <w:tmpl w:val="40CE7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7D767DB"/>
    <w:multiLevelType w:val="hybridMultilevel"/>
    <w:tmpl w:val="14DA68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530C1A"/>
    <w:multiLevelType w:val="hybridMultilevel"/>
    <w:tmpl w:val="C71A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CCD4B69"/>
    <w:multiLevelType w:val="hybridMultilevel"/>
    <w:tmpl w:val="F7204ACA"/>
    <w:lvl w:ilvl="0" w:tplc="0B6A387A">
      <w:start w:val="1"/>
      <w:numFmt w:val="decimal"/>
      <w:lvlText w:val="%1."/>
      <w:lvlJc w:val="left"/>
      <w:rPr>
        <w:rFonts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44" w15:restartNumberingAfterBreak="0">
    <w:nsid w:val="3CE010F0"/>
    <w:multiLevelType w:val="hybridMultilevel"/>
    <w:tmpl w:val="F4EA69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D32602E"/>
    <w:multiLevelType w:val="hybridMultilevel"/>
    <w:tmpl w:val="6E9CF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657BEC"/>
    <w:multiLevelType w:val="hybridMultilevel"/>
    <w:tmpl w:val="BFA23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2D240F4"/>
    <w:multiLevelType w:val="hybridMultilevel"/>
    <w:tmpl w:val="2CCA9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40F24F4"/>
    <w:multiLevelType w:val="hybridMultilevel"/>
    <w:tmpl w:val="CA3E3B70"/>
    <w:lvl w:ilvl="0" w:tplc="0415000D">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46AB5A13"/>
    <w:multiLevelType w:val="multilevel"/>
    <w:tmpl w:val="875C77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46F90EB7"/>
    <w:multiLevelType w:val="hybridMultilevel"/>
    <w:tmpl w:val="9BBCE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7D454B5"/>
    <w:multiLevelType w:val="hybridMultilevel"/>
    <w:tmpl w:val="E7C062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8580A3B"/>
    <w:multiLevelType w:val="hybridMultilevel"/>
    <w:tmpl w:val="AABA4AA8"/>
    <w:lvl w:ilvl="0" w:tplc="04150019">
      <w:start w:val="1"/>
      <w:numFmt w:val="lowerLetter"/>
      <w:lvlText w:val="%1."/>
      <w:lvlJc w:val="left"/>
      <w:pPr>
        <w:ind w:left="1068" w:hanging="360"/>
      </w:p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53" w15:restartNumberingAfterBreak="0">
    <w:nsid w:val="48F63957"/>
    <w:multiLevelType w:val="hybridMultilevel"/>
    <w:tmpl w:val="19E60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A5010C7"/>
    <w:multiLevelType w:val="hybridMultilevel"/>
    <w:tmpl w:val="9AA05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B315530"/>
    <w:multiLevelType w:val="hybridMultilevel"/>
    <w:tmpl w:val="A7863B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D9C14FD"/>
    <w:multiLevelType w:val="hybridMultilevel"/>
    <w:tmpl w:val="BC826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DCB3A54"/>
    <w:multiLevelType w:val="hybridMultilevel"/>
    <w:tmpl w:val="AB88EE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0D77CF0"/>
    <w:multiLevelType w:val="multilevel"/>
    <w:tmpl w:val="FA924CB0"/>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1BD0519"/>
    <w:multiLevelType w:val="hybridMultilevel"/>
    <w:tmpl w:val="72C80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2A83B8B"/>
    <w:multiLevelType w:val="hybridMultilevel"/>
    <w:tmpl w:val="F3884B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4A4661C"/>
    <w:multiLevelType w:val="hybridMultilevel"/>
    <w:tmpl w:val="3A760A36"/>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2" w15:restartNumberingAfterBreak="0">
    <w:nsid w:val="5CC7143A"/>
    <w:multiLevelType w:val="hybridMultilevel"/>
    <w:tmpl w:val="5DCA96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15:restartNumberingAfterBreak="0">
    <w:nsid w:val="6000278D"/>
    <w:multiLevelType w:val="hybridMultilevel"/>
    <w:tmpl w:val="617433C2"/>
    <w:lvl w:ilvl="0" w:tplc="0415000F">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605D0C61"/>
    <w:multiLevelType w:val="hybridMultilevel"/>
    <w:tmpl w:val="EB0CCF64"/>
    <w:lvl w:ilvl="0" w:tplc="BE787B34">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0765702"/>
    <w:multiLevelType w:val="hybridMultilevel"/>
    <w:tmpl w:val="6828687C"/>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6" w15:restartNumberingAfterBreak="0">
    <w:nsid w:val="68124B9D"/>
    <w:multiLevelType w:val="hybridMultilevel"/>
    <w:tmpl w:val="FCAE4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AFF19A6"/>
    <w:multiLevelType w:val="hybridMultilevel"/>
    <w:tmpl w:val="528C3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CA251D1"/>
    <w:multiLevelType w:val="hybridMultilevel"/>
    <w:tmpl w:val="5498B408"/>
    <w:lvl w:ilvl="0" w:tplc="AE2C4A78">
      <w:start w:val="1"/>
      <w:numFmt w:val="lowerLetter"/>
      <w:pStyle w:val="Nagwek3"/>
      <w:lvlText w:val="%1)"/>
      <w:lvlJc w:val="left"/>
      <w:pPr>
        <w:ind w:left="0" w:hanging="360"/>
      </w:pPr>
      <w:rPr>
        <w:rFonts w:ascii="Arial" w:eastAsiaTheme="majorEastAsia" w:hAnsi="Arial" w:cstheme="majorBid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9" w15:restartNumberingAfterBreak="0">
    <w:nsid w:val="6D1D5180"/>
    <w:multiLevelType w:val="hybridMultilevel"/>
    <w:tmpl w:val="BC5A50F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6E602705"/>
    <w:multiLevelType w:val="hybridMultilevel"/>
    <w:tmpl w:val="628C22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3914B5D"/>
    <w:multiLevelType w:val="hybridMultilevel"/>
    <w:tmpl w:val="A4EA2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45F4255"/>
    <w:multiLevelType w:val="hybridMultilevel"/>
    <w:tmpl w:val="065C30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4A36926"/>
    <w:multiLevelType w:val="hybridMultilevel"/>
    <w:tmpl w:val="2CE83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62E1CCC"/>
    <w:multiLevelType w:val="hybridMultilevel"/>
    <w:tmpl w:val="DD2EB17C"/>
    <w:lvl w:ilvl="0" w:tplc="40929EA6">
      <w:start w:val="1"/>
      <w:numFmt w:val="bullet"/>
      <w:lvlText w:val=""/>
      <w:lvlJc w:val="left"/>
      <w:pPr>
        <w:ind w:left="720" w:hanging="360"/>
      </w:pPr>
      <w:rPr>
        <w:rFonts w:ascii="Symbol" w:hAnsi="Symbol" w:hint="default"/>
        <w:b/>
        <w:i w:val="0"/>
        <w:color w:val="E36C0A" w:themeColor="accent6" w:themeShade="B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15:restartNumberingAfterBreak="0">
    <w:nsid w:val="79FB6D0F"/>
    <w:multiLevelType w:val="hybridMultilevel"/>
    <w:tmpl w:val="3EE2C8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BB94E13"/>
    <w:multiLevelType w:val="hybridMultilevel"/>
    <w:tmpl w:val="FD3EF9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8"/>
    <w:lvlOverride w:ilvl="0">
      <w:startOverride w:val="1"/>
    </w:lvlOverride>
  </w:num>
  <w:num w:numId="2">
    <w:abstractNumId w:val="39"/>
  </w:num>
  <w:num w:numId="3">
    <w:abstractNumId w:val="68"/>
    <w:lvlOverride w:ilvl="0">
      <w:startOverride w:val="1"/>
    </w:lvlOverride>
  </w:num>
  <w:num w:numId="4">
    <w:abstractNumId w:val="71"/>
  </w:num>
  <w:num w:numId="5">
    <w:abstractNumId w:val="17"/>
  </w:num>
  <w:num w:numId="6">
    <w:abstractNumId w:val="58"/>
  </w:num>
  <w:num w:numId="7">
    <w:abstractNumId w:val="35"/>
  </w:num>
  <w:num w:numId="8">
    <w:abstractNumId w:val="21"/>
  </w:num>
  <w:num w:numId="9">
    <w:abstractNumId w:val="75"/>
  </w:num>
  <w:num w:numId="10">
    <w:abstractNumId w:val="12"/>
  </w:num>
  <w:num w:numId="11">
    <w:abstractNumId w:val="38"/>
  </w:num>
  <w:num w:numId="12">
    <w:abstractNumId w:val="70"/>
  </w:num>
  <w:num w:numId="13">
    <w:abstractNumId w:val="57"/>
  </w:num>
  <w:num w:numId="14">
    <w:abstractNumId w:val="13"/>
  </w:num>
  <w:num w:numId="15">
    <w:abstractNumId w:val="7"/>
    <w:lvlOverride w:ilvl="0">
      <w:startOverride w:val="1"/>
    </w:lvlOverride>
    <w:lvlOverride w:ilvl="1"/>
    <w:lvlOverride w:ilvl="2"/>
    <w:lvlOverride w:ilvl="3"/>
    <w:lvlOverride w:ilvl="4"/>
    <w:lvlOverride w:ilvl="5"/>
    <w:lvlOverride w:ilvl="6"/>
    <w:lvlOverride w:ilvl="7"/>
    <w:lvlOverride w:ilvl="8"/>
  </w:num>
  <w:num w:numId="16">
    <w:abstractNumId w:val="74"/>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lvlOverride w:ilvl="2"/>
    <w:lvlOverride w:ilvl="3"/>
    <w:lvlOverride w:ilvl="4"/>
    <w:lvlOverride w:ilvl="5"/>
    <w:lvlOverride w:ilvl="6"/>
    <w:lvlOverride w:ilvl="7"/>
    <w:lvlOverride w:ilvl="8"/>
  </w:num>
  <w:num w:numId="19">
    <w:abstractNumId w:val="14"/>
    <w:lvlOverride w:ilvl="0">
      <w:startOverride w:val="1"/>
    </w:lvlOverride>
    <w:lvlOverride w:ilvl="1"/>
    <w:lvlOverride w:ilvl="2"/>
    <w:lvlOverride w:ilvl="3"/>
    <w:lvlOverride w:ilvl="4"/>
    <w:lvlOverride w:ilvl="5"/>
    <w:lvlOverride w:ilvl="6"/>
    <w:lvlOverride w:ilvl="7"/>
    <w:lvlOverride w:ilvl="8"/>
  </w:num>
  <w:num w:numId="20">
    <w:abstractNumId w:val="65"/>
  </w:num>
  <w:num w:numId="21">
    <w:abstractNumId w:val="26"/>
  </w:num>
  <w:num w:numId="22">
    <w:abstractNumId w:val="3"/>
  </w:num>
  <w:num w:numId="23">
    <w:abstractNumId w:val="61"/>
  </w:num>
  <w:num w:numId="24">
    <w:abstractNumId w:val="9"/>
  </w:num>
  <w:num w:numId="25">
    <w:abstractNumId w:val="10"/>
  </w:num>
  <w:num w:numId="26">
    <w:abstractNumId w:val="0"/>
  </w:num>
  <w:num w:numId="27">
    <w:abstractNumId w:val="60"/>
  </w:num>
  <w:num w:numId="28">
    <w:abstractNumId w:val="52"/>
    <w:lvlOverride w:ilvl="0">
      <w:startOverride w:val="1"/>
    </w:lvlOverride>
    <w:lvlOverride w:ilvl="1"/>
    <w:lvlOverride w:ilvl="2"/>
    <w:lvlOverride w:ilvl="3"/>
    <w:lvlOverride w:ilvl="4"/>
    <w:lvlOverride w:ilvl="5"/>
    <w:lvlOverride w:ilvl="6"/>
    <w:lvlOverride w:ilvl="7"/>
    <w:lvlOverride w:ilvl="8"/>
  </w:num>
  <w:num w:numId="29">
    <w:abstractNumId w:val="62"/>
  </w:num>
  <w:num w:numId="30">
    <w:abstractNumId w:val="41"/>
  </w:num>
  <w:num w:numId="31">
    <w:abstractNumId w:val="32"/>
  </w:num>
  <w:num w:numId="32">
    <w:abstractNumId w:val="50"/>
  </w:num>
  <w:num w:numId="33">
    <w:abstractNumId w:val="33"/>
  </w:num>
  <w:num w:numId="34">
    <w:abstractNumId w:val="6"/>
  </w:num>
  <w:num w:numId="35">
    <w:abstractNumId w:val="37"/>
  </w:num>
  <w:num w:numId="36">
    <w:abstractNumId w:val="53"/>
  </w:num>
  <w:num w:numId="37">
    <w:abstractNumId w:val="76"/>
  </w:num>
  <w:num w:numId="38">
    <w:abstractNumId w:val="66"/>
  </w:num>
  <w:num w:numId="39">
    <w:abstractNumId w:val="4"/>
  </w:num>
  <w:num w:numId="40">
    <w:abstractNumId w:val="5"/>
  </w:num>
  <w:num w:numId="41">
    <w:abstractNumId w:val="55"/>
  </w:num>
  <w:num w:numId="42">
    <w:abstractNumId w:val="2"/>
  </w:num>
  <w:num w:numId="43">
    <w:abstractNumId w:val="11"/>
  </w:num>
  <w:num w:numId="44">
    <w:abstractNumId w:val="67"/>
  </w:num>
  <w:num w:numId="45">
    <w:abstractNumId w:val="8"/>
  </w:num>
  <w:num w:numId="46">
    <w:abstractNumId w:val="36"/>
  </w:num>
  <w:num w:numId="47">
    <w:abstractNumId w:val="22"/>
  </w:num>
  <w:num w:numId="48">
    <w:abstractNumId w:val="30"/>
  </w:num>
  <w:num w:numId="49">
    <w:abstractNumId w:val="59"/>
  </w:num>
  <w:num w:numId="50">
    <w:abstractNumId w:val="73"/>
  </w:num>
  <w:num w:numId="51">
    <w:abstractNumId w:val="45"/>
  </w:num>
  <w:num w:numId="52">
    <w:abstractNumId w:val="68"/>
  </w:num>
  <w:num w:numId="53">
    <w:abstractNumId w:val="64"/>
  </w:num>
  <w:num w:numId="54">
    <w:abstractNumId w:val="72"/>
  </w:num>
  <w:num w:numId="55">
    <w:abstractNumId w:val="16"/>
  </w:num>
  <w:num w:numId="56">
    <w:abstractNumId w:val="43"/>
  </w:num>
  <w:num w:numId="57">
    <w:abstractNumId w:val="24"/>
  </w:num>
  <w:num w:numId="58">
    <w:abstractNumId w:val="25"/>
  </w:num>
  <w:num w:numId="59">
    <w:abstractNumId w:val="51"/>
  </w:num>
  <w:num w:numId="60">
    <w:abstractNumId w:val="44"/>
  </w:num>
  <w:num w:numId="61">
    <w:abstractNumId w:val="31"/>
  </w:num>
  <w:num w:numId="62">
    <w:abstractNumId w:val="27"/>
  </w:num>
  <w:num w:numId="63">
    <w:abstractNumId w:val="56"/>
  </w:num>
  <w:num w:numId="64">
    <w:abstractNumId w:val="20"/>
  </w:num>
  <w:num w:numId="65">
    <w:abstractNumId w:val="69"/>
  </w:num>
  <w:num w:numId="66">
    <w:abstractNumId w:val="48"/>
  </w:num>
  <w:num w:numId="67">
    <w:abstractNumId w:val="40"/>
  </w:num>
  <w:num w:numId="68">
    <w:abstractNumId w:val="19"/>
  </w:num>
  <w:num w:numId="69">
    <w:abstractNumId w:val="1"/>
  </w:num>
  <w:num w:numId="70">
    <w:abstractNumId w:val="29"/>
  </w:num>
  <w:num w:numId="71">
    <w:abstractNumId w:val="46"/>
  </w:num>
  <w:num w:numId="72">
    <w:abstractNumId w:val="42"/>
  </w:num>
  <w:num w:numId="73">
    <w:abstractNumId w:val="34"/>
  </w:num>
  <w:num w:numId="74">
    <w:abstractNumId w:val="28"/>
  </w:num>
  <w:num w:numId="75">
    <w:abstractNumId w:val="47"/>
  </w:num>
  <w:num w:numId="76">
    <w:abstractNumId w:val="18"/>
  </w:num>
  <w:num w:numId="77">
    <w:abstractNumId w:val="49"/>
  </w:num>
  <w:num w:numId="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3"/>
  </w:num>
  <w:num w:numId="126">
    <w:abstractNumId w:val="5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efaultTableStyle w:val="redniasiatka3akcent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3A"/>
    <w:rsid w:val="00001AD6"/>
    <w:rsid w:val="00002481"/>
    <w:rsid w:val="0000435B"/>
    <w:rsid w:val="000044D4"/>
    <w:rsid w:val="000046BA"/>
    <w:rsid w:val="00004862"/>
    <w:rsid w:val="00004BD4"/>
    <w:rsid w:val="00004DA5"/>
    <w:rsid w:val="00005C47"/>
    <w:rsid w:val="00005D6D"/>
    <w:rsid w:val="0000607E"/>
    <w:rsid w:val="00006908"/>
    <w:rsid w:val="00006F06"/>
    <w:rsid w:val="000070BC"/>
    <w:rsid w:val="0000765F"/>
    <w:rsid w:val="0001036B"/>
    <w:rsid w:val="000106C3"/>
    <w:rsid w:val="000106C9"/>
    <w:rsid w:val="00010BD8"/>
    <w:rsid w:val="00011228"/>
    <w:rsid w:val="0001124B"/>
    <w:rsid w:val="000118A5"/>
    <w:rsid w:val="00011964"/>
    <w:rsid w:val="00012A5F"/>
    <w:rsid w:val="00013046"/>
    <w:rsid w:val="00013EA2"/>
    <w:rsid w:val="0001401B"/>
    <w:rsid w:val="00014294"/>
    <w:rsid w:val="000144B9"/>
    <w:rsid w:val="00014DA6"/>
    <w:rsid w:val="00015BD1"/>
    <w:rsid w:val="00016220"/>
    <w:rsid w:val="00016B51"/>
    <w:rsid w:val="00017103"/>
    <w:rsid w:val="00017171"/>
    <w:rsid w:val="0001723E"/>
    <w:rsid w:val="00017582"/>
    <w:rsid w:val="00017C6C"/>
    <w:rsid w:val="00017CDB"/>
    <w:rsid w:val="0002087A"/>
    <w:rsid w:val="00020A79"/>
    <w:rsid w:val="00021100"/>
    <w:rsid w:val="0002181D"/>
    <w:rsid w:val="0002260E"/>
    <w:rsid w:val="00022689"/>
    <w:rsid w:val="0002375A"/>
    <w:rsid w:val="00023F05"/>
    <w:rsid w:val="0002437C"/>
    <w:rsid w:val="0002471B"/>
    <w:rsid w:val="00025668"/>
    <w:rsid w:val="00025DD1"/>
    <w:rsid w:val="0002647C"/>
    <w:rsid w:val="000265E3"/>
    <w:rsid w:val="0002671A"/>
    <w:rsid w:val="0002683E"/>
    <w:rsid w:val="00026E3A"/>
    <w:rsid w:val="0002778A"/>
    <w:rsid w:val="00030023"/>
    <w:rsid w:val="000300AD"/>
    <w:rsid w:val="000300C9"/>
    <w:rsid w:val="00030B8C"/>
    <w:rsid w:val="000313C7"/>
    <w:rsid w:val="00031B45"/>
    <w:rsid w:val="0003219C"/>
    <w:rsid w:val="0003291B"/>
    <w:rsid w:val="00032F6F"/>
    <w:rsid w:val="0003341A"/>
    <w:rsid w:val="0003345B"/>
    <w:rsid w:val="000335B9"/>
    <w:rsid w:val="00033783"/>
    <w:rsid w:val="00033FCE"/>
    <w:rsid w:val="000346C1"/>
    <w:rsid w:val="00034DA8"/>
    <w:rsid w:val="000352C3"/>
    <w:rsid w:val="0003560C"/>
    <w:rsid w:val="000357FA"/>
    <w:rsid w:val="0003595F"/>
    <w:rsid w:val="000360FE"/>
    <w:rsid w:val="000362E9"/>
    <w:rsid w:val="000365A6"/>
    <w:rsid w:val="000367E3"/>
    <w:rsid w:val="00037090"/>
    <w:rsid w:val="000376E9"/>
    <w:rsid w:val="00037A97"/>
    <w:rsid w:val="00037D28"/>
    <w:rsid w:val="0004077B"/>
    <w:rsid w:val="000409EA"/>
    <w:rsid w:val="00041474"/>
    <w:rsid w:val="000420EA"/>
    <w:rsid w:val="000433D5"/>
    <w:rsid w:val="000434C7"/>
    <w:rsid w:val="000439D3"/>
    <w:rsid w:val="0004451F"/>
    <w:rsid w:val="0004463B"/>
    <w:rsid w:val="000448C4"/>
    <w:rsid w:val="00044A1A"/>
    <w:rsid w:val="00044BE2"/>
    <w:rsid w:val="000456CD"/>
    <w:rsid w:val="000457DA"/>
    <w:rsid w:val="00045F23"/>
    <w:rsid w:val="00046A22"/>
    <w:rsid w:val="00046A96"/>
    <w:rsid w:val="00046FF8"/>
    <w:rsid w:val="0004737B"/>
    <w:rsid w:val="00047560"/>
    <w:rsid w:val="00047A73"/>
    <w:rsid w:val="00047AC8"/>
    <w:rsid w:val="00047DD3"/>
    <w:rsid w:val="0005007A"/>
    <w:rsid w:val="0005017F"/>
    <w:rsid w:val="000503A5"/>
    <w:rsid w:val="0005065D"/>
    <w:rsid w:val="00051AEF"/>
    <w:rsid w:val="000521F8"/>
    <w:rsid w:val="00052883"/>
    <w:rsid w:val="00052A1F"/>
    <w:rsid w:val="00052BE5"/>
    <w:rsid w:val="00053456"/>
    <w:rsid w:val="0005385A"/>
    <w:rsid w:val="00053AD9"/>
    <w:rsid w:val="00053FD5"/>
    <w:rsid w:val="00054D99"/>
    <w:rsid w:val="00055266"/>
    <w:rsid w:val="00055C3C"/>
    <w:rsid w:val="00055D5E"/>
    <w:rsid w:val="00056327"/>
    <w:rsid w:val="00056CAC"/>
    <w:rsid w:val="00056D5A"/>
    <w:rsid w:val="00057FB4"/>
    <w:rsid w:val="000602F8"/>
    <w:rsid w:val="0006045A"/>
    <w:rsid w:val="000608FC"/>
    <w:rsid w:val="00060C24"/>
    <w:rsid w:val="00060F5C"/>
    <w:rsid w:val="00060FA2"/>
    <w:rsid w:val="00062289"/>
    <w:rsid w:val="00062473"/>
    <w:rsid w:val="000624C7"/>
    <w:rsid w:val="00062F8E"/>
    <w:rsid w:val="00063AFF"/>
    <w:rsid w:val="0006456F"/>
    <w:rsid w:val="000645E0"/>
    <w:rsid w:val="000648EC"/>
    <w:rsid w:val="00064BAA"/>
    <w:rsid w:val="00064D04"/>
    <w:rsid w:val="00064DE0"/>
    <w:rsid w:val="000651AC"/>
    <w:rsid w:val="000657CB"/>
    <w:rsid w:val="00065AC3"/>
    <w:rsid w:val="00065D0C"/>
    <w:rsid w:val="00065D6A"/>
    <w:rsid w:val="00066735"/>
    <w:rsid w:val="000672FD"/>
    <w:rsid w:val="0006731A"/>
    <w:rsid w:val="00067400"/>
    <w:rsid w:val="00067702"/>
    <w:rsid w:val="0006793D"/>
    <w:rsid w:val="00067BDA"/>
    <w:rsid w:val="000707EA"/>
    <w:rsid w:val="0007112A"/>
    <w:rsid w:val="000716BA"/>
    <w:rsid w:val="00071ACD"/>
    <w:rsid w:val="00071C7F"/>
    <w:rsid w:val="00071EF7"/>
    <w:rsid w:val="00072F44"/>
    <w:rsid w:val="00072FCF"/>
    <w:rsid w:val="000736E3"/>
    <w:rsid w:val="00073C05"/>
    <w:rsid w:val="000741B1"/>
    <w:rsid w:val="00074405"/>
    <w:rsid w:val="000745D4"/>
    <w:rsid w:val="00074A4A"/>
    <w:rsid w:val="00075E72"/>
    <w:rsid w:val="00076407"/>
    <w:rsid w:val="00076730"/>
    <w:rsid w:val="00076D82"/>
    <w:rsid w:val="00077343"/>
    <w:rsid w:val="0007775A"/>
    <w:rsid w:val="000777CE"/>
    <w:rsid w:val="00077E79"/>
    <w:rsid w:val="000806CA"/>
    <w:rsid w:val="0008094A"/>
    <w:rsid w:val="00080991"/>
    <w:rsid w:val="00080ABC"/>
    <w:rsid w:val="00081845"/>
    <w:rsid w:val="00081A64"/>
    <w:rsid w:val="00082DF4"/>
    <w:rsid w:val="0008327D"/>
    <w:rsid w:val="00083516"/>
    <w:rsid w:val="0008354B"/>
    <w:rsid w:val="00084083"/>
    <w:rsid w:val="000844B9"/>
    <w:rsid w:val="00084AAE"/>
    <w:rsid w:val="0008527A"/>
    <w:rsid w:val="00085728"/>
    <w:rsid w:val="00085851"/>
    <w:rsid w:val="0008603E"/>
    <w:rsid w:val="00086DB0"/>
    <w:rsid w:val="0008760D"/>
    <w:rsid w:val="00090769"/>
    <w:rsid w:val="00090B81"/>
    <w:rsid w:val="00090FB7"/>
    <w:rsid w:val="000911B8"/>
    <w:rsid w:val="00091856"/>
    <w:rsid w:val="00091C17"/>
    <w:rsid w:val="00091D4C"/>
    <w:rsid w:val="00091E14"/>
    <w:rsid w:val="000923C5"/>
    <w:rsid w:val="000928AF"/>
    <w:rsid w:val="000928C1"/>
    <w:rsid w:val="00092C45"/>
    <w:rsid w:val="00093104"/>
    <w:rsid w:val="00093418"/>
    <w:rsid w:val="00095038"/>
    <w:rsid w:val="00095595"/>
    <w:rsid w:val="00095710"/>
    <w:rsid w:val="00097103"/>
    <w:rsid w:val="00097499"/>
    <w:rsid w:val="00097735"/>
    <w:rsid w:val="000978DB"/>
    <w:rsid w:val="00097BE1"/>
    <w:rsid w:val="000A0628"/>
    <w:rsid w:val="000A0734"/>
    <w:rsid w:val="000A09AA"/>
    <w:rsid w:val="000A0F76"/>
    <w:rsid w:val="000A1199"/>
    <w:rsid w:val="000A1C1F"/>
    <w:rsid w:val="000A1D64"/>
    <w:rsid w:val="000A1E8C"/>
    <w:rsid w:val="000A1F66"/>
    <w:rsid w:val="000A29E7"/>
    <w:rsid w:val="000A311F"/>
    <w:rsid w:val="000A3554"/>
    <w:rsid w:val="000A3973"/>
    <w:rsid w:val="000A46EF"/>
    <w:rsid w:val="000A4E11"/>
    <w:rsid w:val="000A53B8"/>
    <w:rsid w:val="000A5734"/>
    <w:rsid w:val="000A6932"/>
    <w:rsid w:val="000A6D22"/>
    <w:rsid w:val="000A7120"/>
    <w:rsid w:val="000A76BD"/>
    <w:rsid w:val="000A7AE4"/>
    <w:rsid w:val="000A7BC7"/>
    <w:rsid w:val="000B030D"/>
    <w:rsid w:val="000B0432"/>
    <w:rsid w:val="000B0481"/>
    <w:rsid w:val="000B16E8"/>
    <w:rsid w:val="000B1A95"/>
    <w:rsid w:val="000B1D50"/>
    <w:rsid w:val="000B1E32"/>
    <w:rsid w:val="000B1F44"/>
    <w:rsid w:val="000B1FFE"/>
    <w:rsid w:val="000B2062"/>
    <w:rsid w:val="000B20CF"/>
    <w:rsid w:val="000B23BD"/>
    <w:rsid w:val="000B2D79"/>
    <w:rsid w:val="000B351B"/>
    <w:rsid w:val="000B3744"/>
    <w:rsid w:val="000B3AF0"/>
    <w:rsid w:val="000B43C8"/>
    <w:rsid w:val="000B4872"/>
    <w:rsid w:val="000B4A67"/>
    <w:rsid w:val="000B5917"/>
    <w:rsid w:val="000B5E2E"/>
    <w:rsid w:val="000B62E2"/>
    <w:rsid w:val="000B6DEA"/>
    <w:rsid w:val="000B7048"/>
    <w:rsid w:val="000B72DC"/>
    <w:rsid w:val="000B73B1"/>
    <w:rsid w:val="000B76E3"/>
    <w:rsid w:val="000B7E53"/>
    <w:rsid w:val="000B7F48"/>
    <w:rsid w:val="000C02DA"/>
    <w:rsid w:val="000C097F"/>
    <w:rsid w:val="000C0E23"/>
    <w:rsid w:val="000C2403"/>
    <w:rsid w:val="000C2414"/>
    <w:rsid w:val="000C2BD2"/>
    <w:rsid w:val="000C2F92"/>
    <w:rsid w:val="000C346C"/>
    <w:rsid w:val="000C3BE9"/>
    <w:rsid w:val="000C3C56"/>
    <w:rsid w:val="000C3E5A"/>
    <w:rsid w:val="000C4B44"/>
    <w:rsid w:val="000C4F3D"/>
    <w:rsid w:val="000C544D"/>
    <w:rsid w:val="000C5497"/>
    <w:rsid w:val="000C580B"/>
    <w:rsid w:val="000C598B"/>
    <w:rsid w:val="000C6465"/>
    <w:rsid w:val="000C70FC"/>
    <w:rsid w:val="000C7D5C"/>
    <w:rsid w:val="000D0269"/>
    <w:rsid w:val="000D034A"/>
    <w:rsid w:val="000D0372"/>
    <w:rsid w:val="000D0A82"/>
    <w:rsid w:val="000D0BEB"/>
    <w:rsid w:val="000D0CD3"/>
    <w:rsid w:val="000D15B1"/>
    <w:rsid w:val="000D185E"/>
    <w:rsid w:val="000D1B74"/>
    <w:rsid w:val="000D1F7B"/>
    <w:rsid w:val="000D2372"/>
    <w:rsid w:val="000D30F6"/>
    <w:rsid w:val="000D337A"/>
    <w:rsid w:val="000D3710"/>
    <w:rsid w:val="000D3A13"/>
    <w:rsid w:val="000D47FE"/>
    <w:rsid w:val="000D4B50"/>
    <w:rsid w:val="000D5303"/>
    <w:rsid w:val="000D58EA"/>
    <w:rsid w:val="000D5CE6"/>
    <w:rsid w:val="000D6096"/>
    <w:rsid w:val="000D6343"/>
    <w:rsid w:val="000D6559"/>
    <w:rsid w:val="000D6EDB"/>
    <w:rsid w:val="000E0601"/>
    <w:rsid w:val="000E0F5E"/>
    <w:rsid w:val="000E193A"/>
    <w:rsid w:val="000E1BE7"/>
    <w:rsid w:val="000E1E1B"/>
    <w:rsid w:val="000E224E"/>
    <w:rsid w:val="000E2A71"/>
    <w:rsid w:val="000E30F0"/>
    <w:rsid w:val="000E3272"/>
    <w:rsid w:val="000E3ADE"/>
    <w:rsid w:val="000E420D"/>
    <w:rsid w:val="000E424B"/>
    <w:rsid w:val="000E4A05"/>
    <w:rsid w:val="000E4DA8"/>
    <w:rsid w:val="000E5849"/>
    <w:rsid w:val="000E59D9"/>
    <w:rsid w:val="000E5E40"/>
    <w:rsid w:val="000E6D91"/>
    <w:rsid w:val="000E7386"/>
    <w:rsid w:val="000F06FE"/>
    <w:rsid w:val="000F1449"/>
    <w:rsid w:val="000F16BC"/>
    <w:rsid w:val="000F1C1B"/>
    <w:rsid w:val="000F2849"/>
    <w:rsid w:val="000F3616"/>
    <w:rsid w:val="000F3DC6"/>
    <w:rsid w:val="000F3F66"/>
    <w:rsid w:val="000F508C"/>
    <w:rsid w:val="000F5278"/>
    <w:rsid w:val="000F55B1"/>
    <w:rsid w:val="000F6150"/>
    <w:rsid w:val="000F625E"/>
    <w:rsid w:val="000F670F"/>
    <w:rsid w:val="000F672E"/>
    <w:rsid w:val="000F6BD3"/>
    <w:rsid w:val="000F78FF"/>
    <w:rsid w:val="00100130"/>
    <w:rsid w:val="00100A3F"/>
    <w:rsid w:val="00101518"/>
    <w:rsid w:val="0010157B"/>
    <w:rsid w:val="0010158B"/>
    <w:rsid w:val="001016FE"/>
    <w:rsid w:val="00101E31"/>
    <w:rsid w:val="0010208F"/>
    <w:rsid w:val="0010212F"/>
    <w:rsid w:val="00102326"/>
    <w:rsid w:val="00102722"/>
    <w:rsid w:val="00102B48"/>
    <w:rsid w:val="00102BCB"/>
    <w:rsid w:val="00103524"/>
    <w:rsid w:val="0010361D"/>
    <w:rsid w:val="00103770"/>
    <w:rsid w:val="001050E3"/>
    <w:rsid w:val="00106022"/>
    <w:rsid w:val="001063E9"/>
    <w:rsid w:val="00106BFC"/>
    <w:rsid w:val="00106D5C"/>
    <w:rsid w:val="00110ADB"/>
    <w:rsid w:val="00110B82"/>
    <w:rsid w:val="00111C87"/>
    <w:rsid w:val="0011204C"/>
    <w:rsid w:val="00112191"/>
    <w:rsid w:val="00112289"/>
    <w:rsid w:val="00112656"/>
    <w:rsid w:val="0011331B"/>
    <w:rsid w:val="00113982"/>
    <w:rsid w:val="00113CC2"/>
    <w:rsid w:val="001149A8"/>
    <w:rsid w:val="00114EAF"/>
    <w:rsid w:val="00114EBB"/>
    <w:rsid w:val="0011510C"/>
    <w:rsid w:val="00115184"/>
    <w:rsid w:val="0011566A"/>
    <w:rsid w:val="00115DBB"/>
    <w:rsid w:val="00116ACA"/>
    <w:rsid w:val="00116B14"/>
    <w:rsid w:val="00116B41"/>
    <w:rsid w:val="00116D2B"/>
    <w:rsid w:val="00116E3C"/>
    <w:rsid w:val="00116E40"/>
    <w:rsid w:val="001170F3"/>
    <w:rsid w:val="001176C3"/>
    <w:rsid w:val="00117B5A"/>
    <w:rsid w:val="00117FA1"/>
    <w:rsid w:val="0012060B"/>
    <w:rsid w:val="0012063D"/>
    <w:rsid w:val="00120D9B"/>
    <w:rsid w:val="00120FB2"/>
    <w:rsid w:val="00121593"/>
    <w:rsid w:val="001218D7"/>
    <w:rsid w:val="00121916"/>
    <w:rsid w:val="00121EEB"/>
    <w:rsid w:val="00122171"/>
    <w:rsid w:val="0012227A"/>
    <w:rsid w:val="001223FE"/>
    <w:rsid w:val="0012362E"/>
    <w:rsid w:val="00123D81"/>
    <w:rsid w:val="0012475A"/>
    <w:rsid w:val="00124E95"/>
    <w:rsid w:val="00125B03"/>
    <w:rsid w:val="00125DF7"/>
    <w:rsid w:val="00125E6D"/>
    <w:rsid w:val="00126870"/>
    <w:rsid w:val="00126B21"/>
    <w:rsid w:val="00126CA2"/>
    <w:rsid w:val="00126D2B"/>
    <w:rsid w:val="00126E76"/>
    <w:rsid w:val="00126FA6"/>
    <w:rsid w:val="00127009"/>
    <w:rsid w:val="001302FB"/>
    <w:rsid w:val="00130482"/>
    <w:rsid w:val="00130B28"/>
    <w:rsid w:val="001321CC"/>
    <w:rsid w:val="001322D9"/>
    <w:rsid w:val="00132565"/>
    <w:rsid w:val="00132610"/>
    <w:rsid w:val="00132B39"/>
    <w:rsid w:val="00132FC2"/>
    <w:rsid w:val="00133B3B"/>
    <w:rsid w:val="00133F0D"/>
    <w:rsid w:val="00134239"/>
    <w:rsid w:val="001342D4"/>
    <w:rsid w:val="00135A17"/>
    <w:rsid w:val="00135BC0"/>
    <w:rsid w:val="001364C7"/>
    <w:rsid w:val="00136609"/>
    <w:rsid w:val="00136634"/>
    <w:rsid w:val="00136C69"/>
    <w:rsid w:val="00137C93"/>
    <w:rsid w:val="00140054"/>
    <w:rsid w:val="0014038C"/>
    <w:rsid w:val="00140509"/>
    <w:rsid w:val="001411C8"/>
    <w:rsid w:val="001412E4"/>
    <w:rsid w:val="0014130C"/>
    <w:rsid w:val="001414B2"/>
    <w:rsid w:val="0014158E"/>
    <w:rsid w:val="001416AA"/>
    <w:rsid w:val="001416D8"/>
    <w:rsid w:val="0014315B"/>
    <w:rsid w:val="001440CF"/>
    <w:rsid w:val="00144237"/>
    <w:rsid w:val="00144A29"/>
    <w:rsid w:val="001452A0"/>
    <w:rsid w:val="00146AD9"/>
    <w:rsid w:val="00146CD2"/>
    <w:rsid w:val="00147003"/>
    <w:rsid w:val="001472F5"/>
    <w:rsid w:val="00147418"/>
    <w:rsid w:val="00147611"/>
    <w:rsid w:val="00150A10"/>
    <w:rsid w:val="00150EF8"/>
    <w:rsid w:val="001514E1"/>
    <w:rsid w:val="001514F2"/>
    <w:rsid w:val="001518D3"/>
    <w:rsid w:val="00151997"/>
    <w:rsid w:val="00151B3A"/>
    <w:rsid w:val="00151C42"/>
    <w:rsid w:val="00151CC4"/>
    <w:rsid w:val="00151D5A"/>
    <w:rsid w:val="00152065"/>
    <w:rsid w:val="00152162"/>
    <w:rsid w:val="00152406"/>
    <w:rsid w:val="00153788"/>
    <w:rsid w:val="00153FD6"/>
    <w:rsid w:val="00154434"/>
    <w:rsid w:val="0015494F"/>
    <w:rsid w:val="00154BF4"/>
    <w:rsid w:val="00154EDE"/>
    <w:rsid w:val="00155145"/>
    <w:rsid w:val="00155948"/>
    <w:rsid w:val="00155CCE"/>
    <w:rsid w:val="001565E7"/>
    <w:rsid w:val="0015750C"/>
    <w:rsid w:val="00157727"/>
    <w:rsid w:val="00157DD0"/>
    <w:rsid w:val="0016064B"/>
    <w:rsid w:val="001609CF"/>
    <w:rsid w:val="0016130C"/>
    <w:rsid w:val="00161EB2"/>
    <w:rsid w:val="00162725"/>
    <w:rsid w:val="00162ADA"/>
    <w:rsid w:val="00162BCE"/>
    <w:rsid w:val="0016406C"/>
    <w:rsid w:val="0016592A"/>
    <w:rsid w:val="00166194"/>
    <w:rsid w:val="00166710"/>
    <w:rsid w:val="00166D0E"/>
    <w:rsid w:val="00167060"/>
    <w:rsid w:val="001674A5"/>
    <w:rsid w:val="001674EF"/>
    <w:rsid w:val="00170A98"/>
    <w:rsid w:val="001713A4"/>
    <w:rsid w:val="00171C3E"/>
    <w:rsid w:val="001729B9"/>
    <w:rsid w:val="00173220"/>
    <w:rsid w:val="0017358F"/>
    <w:rsid w:val="001747BA"/>
    <w:rsid w:val="00174968"/>
    <w:rsid w:val="00174CDA"/>
    <w:rsid w:val="00174EFE"/>
    <w:rsid w:val="00174F8C"/>
    <w:rsid w:val="00175948"/>
    <w:rsid w:val="00175F7E"/>
    <w:rsid w:val="001763D6"/>
    <w:rsid w:val="001774EF"/>
    <w:rsid w:val="0017760E"/>
    <w:rsid w:val="00177B74"/>
    <w:rsid w:val="00177D67"/>
    <w:rsid w:val="001801CE"/>
    <w:rsid w:val="00180332"/>
    <w:rsid w:val="001806D8"/>
    <w:rsid w:val="001808B7"/>
    <w:rsid w:val="001811CA"/>
    <w:rsid w:val="001813B1"/>
    <w:rsid w:val="00181637"/>
    <w:rsid w:val="0018225C"/>
    <w:rsid w:val="00182276"/>
    <w:rsid w:val="001822AD"/>
    <w:rsid w:val="00182346"/>
    <w:rsid w:val="0018293D"/>
    <w:rsid w:val="00182B04"/>
    <w:rsid w:val="00182F5D"/>
    <w:rsid w:val="00184B69"/>
    <w:rsid w:val="0018535A"/>
    <w:rsid w:val="001854A9"/>
    <w:rsid w:val="0018597E"/>
    <w:rsid w:val="001862D5"/>
    <w:rsid w:val="00186BC3"/>
    <w:rsid w:val="00186EEF"/>
    <w:rsid w:val="00186F92"/>
    <w:rsid w:val="001874A6"/>
    <w:rsid w:val="001877BC"/>
    <w:rsid w:val="0019070C"/>
    <w:rsid w:val="0019074F"/>
    <w:rsid w:val="00190C8B"/>
    <w:rsid w:val="0019130E"/>
    <w:rsid w:val="00192015"/>
    <w:rsid w:val="00192F1E"/>
    <w:rsid w:val="00193438"/>
    <w:rsid w:val="001936BB"/>
    <w:rsid w:val="00193ADD"/>
    <w:rsid w:val="001943C3"/>
    <w:rsid w:val="00195453"/>
    <w:rsid w:val="001954FE"/>
    <w:rsid w:val="00196050"/>
    <w:rsid w:val="0019653C"/>
    <w:rsid w:val="0019660A"/>
    <w:rsid w:val="00196F7A"/>
    <w:rsid w:val="00196F9E"/>
    <w:rsid w:val="00197D49"/>
    <w:rsid w:val="001A07C5"/>
    <w:rsid w:val="001A0DE6"/>
    <w:rsid w:val="001A11AB"/>
    <w:rsid w:val="001A140D"/>
    <w:rsid w:val="001A2503"/>
    <w:rsid w:val="001A2BDA"/>
    <w:rsid w:val="001A3B17"/>
    <w:rsid w:val="001A3C98"/>
    <w:rsid w:val="001A3CBE"/>
    <w:rsid w:val="001A468E"/>
    <w:rsid w:val="001A4C99"/>
    <w:rsid w:val="001A4EDF"/>
    <w:rsid w:val="001A5097"/>
    <w:rsid w:val="001A540E"/>
    <w:rsid w:val="001A5A5C"/>
    <w:rsid w:val="001A675C"/>
    <w:rsid w:val="001A6C27"/>
    <w:rsid w:val="001A7467"/>
    <w:rsid w:val="001A7776"/>
    <w:rsid w:val="001A7D9C"/>
    <w:rsid w:val="001A7F0F"/>
    <w:rsid w:val="001B0696"/>
    <w:rsid w:val="001B0A95"/>
    <w:rsid w:val="001B1D32"/>
    <w:rsid w:val="001B2A0E"/>
    <w:rsid w:val="001B2B41"/>
    <w:rsid w:val="001B30BC"/>
    <w:rsid w:val="001B352E"/>
    <w:rsid w:val="001B36C5"/>
    <w:rsid w:val="001B3F1A"/>
    <w:rsid w:val="001B4215"/>
    <w:rsid w:val="001B4BEC"/>
    <w:rsid w:val="001B54F9"/>
    <w:rsid w:val="001B5958"/>
    <w:rsid w:val="001B5BB6"/>
    <w:rsid w:val="001B5CEF"/>
    <w:rsid w:val="001B5E44"/>
    <w:rsid w:val="001B6176"/>
    <w:rsid w:val="001B79B7"/>
    <w:rsid w:val="001B7B47"/>
    <w:rsid w:val="001C09EE"/>
    <w:rsid w:val="001C1213"/>
    <w:rsid w:val="001C1DD7"/>
    <w:rsid w:val="001C1EF4"/>
    <w:rsid w:val="001C1FAB"/>
    <w:rsid w:val="001C20BB"/>
    <w:rsid w:val="001C2882"/>
    <w:rsid w:val="001C33B7"/>
    <w:rsid w:val="001C3448"/>
    <w:rsid w:val="001C3A0D"/>
    <w:rsid w:val="001C3C58"/>
    <w:rsid w:val="001C41E0"/>
    <w:rsid w:val="001C41E2"/>
    <w:rsid w:val="001C43E0"/>
    <w:rsid w:val="001C4801"/>
    <w:rsid w:val="001C5046"/>
    <w:rsid w:val="001C5733"/>
    <w:rsid w:val="001C6C6F"/>
    <w:rsid w:val="001C6CF2"/>
    <w:rsid w:val="001C7197"/>
    <w:rsid w:val="001C7442"/>
    <w:rsid w:val="001D02CF"/>
    <w:rsid w:val="001D0CC2"/>
    <w:rsid w:val="001D13B2"/>
    <w:rsid w:val="001D17FA"/>
    <w:rsid w:val="001D1E99"/>
    <w:rsid w:val="001D1F28"/>
    <w:rsid w:val="001D28EF"/>
    <w:rsid w:val="001D2F25"/>
    <w:rsid w:val="001D3294"/>
    <w:rsid w:val="001D3FE0"/>
    <w:rsid w:val="001D4B21"/>
    <w:rsid w:val="001D5300"/>
    <w:rsid w:val="001D6AC3"/>
    <w:rsid w:val="001E0987"/>
    <w:rsid w:val="001E1D74"/>
    <w:rsid w:val="001E1E34"/>
    <w:rsid w:val="001E2283"/>
    <w:rsid w:val="001E289F"/>
    <w:rsid w:val="001E293B"/>
    <w:rsid w:val="001E308E"/>
    <w:rsid w:val="001E322C"/>
    <w:rsid w:val="001E3BA7"/>
    <w:rsid w:val="001E43A4"/>
    <w:rsid w:val="001E4A2D"/>
    <w:rsid w:val="001E4CD4"/>
    <w:rsid w:val="001E4E11"/>
    <w:rsid w:val="001E5374"/>
    <w:rsid w:val="001E5A82"/>
    <w:rsid w:val="001E63ED"/>
    <w:rsid w:val="001E678E"/>
    <w:rsid w:val="001E68E5"/>
    <w:rsid w:val="001E6D57"/>
    <w:rsid w:val="001E6E38"/>
    <w:rsid w:val="001E7168"/>
    <w:rsid w:val="001E790C"/>
    <w:rsid w:val="001F181F"/>
    <w:rsid w:val="001F1F05"/>
    <w:rsid w:val="001F2A11"/>
    <w:rsid w:val="001F2B8E"/>
    <w:rsid w:val="001F385C"/>
    <w:rsid w:val="001F3D31"/>
    <w:rsid w:val="001F45F6"/>
    <w:rsid w:val="001F51B2"/>
    <w:rsid w:val="001F55E1"/>
    <w:rsid w:val="001F56C4"/>
    <w:rsid w:val="001F5C2A"/>
    <w:rsid w:val="001F5D56"/>
    <w:rsid w:val="001F6486"/>
    <w:rsid w:val="001F6777"/>
    <w:rsid w:val="001F6AB1"/>
    <w:rsid w:val="001F6D5B"/>
    <w:rsid w:val="001F7487"/>
    <w:rsid w:val="0020035C"/>
    <w:rsid w:val="00200519"/>
    <w:rsid w:val="00200A32"/>
    <w:rsid w:val="00200A6E"/>
    <w:rsid w:val="00200AF1"/>
    <w:rsid w:val="00200D28"/>
    <w:rsid w:val="00200F3B"/>
    <w:rsid w:val="00201E42"/>
    <w:rsid w:val="00202002"/>
    <w:rsid w:val="00202FA1"/>
    <w:rsid w:val="0020346F"/>
    <w:rsid w:val="00203CB3"/>
    <w:rsid w:val="0020451E"/>
    <w:rsid w:val="00204729"/>
    <w:rsid w:val="002049AA"/>
    <w:rsid w:val="0020591D"/>
    <w:rsid w:val="0020648F"/>
    <w:rsid w:val="002076CA"/>
    <w:rsid w:val="002101BE"/>
    <w:rsid w:val="002101D8"/>
    <w:rsid w:val="002102D8"/>
    <w:rsid w:val="002105B9"/>
    <w:rsid w:val="00210E97"/>
    <w:rsid w:val="00211735"/>
    <w:rsid w:val="00211A5F"/>
    <w:rsid w:val="00211FBA"/>
    <w:rsid w:val="002133F7"/>
    <w:rsid w:val="0021356B"/>
    <w:rsid w:val="0021376A"/>
    <w:rsid w:val="002140CD"/>
    <w:rsid w:val="002141F8"/>
    <w:rsid w:val="00214218"/>
    <w:rsid w:val="0021532E"/>
    <w:rsid w:val="00215C9D"/>
    <w:rsid w:val="00215FAB"/>
    <w:rsid w:val="00217662"/>
    <w:rsid w:val="00217749"/>
    <w:rsid w:val="00217BE0"/>
    <w:rsid w:val="00217E49"/>
    <w:rsid w:val="00217F23"/>
    <w:rsid w:val="002205B2"/>
    <w:rsid w:val="00220D92"/>
    <w:rsid w:val="00222265"/>
    <w:rsid w:val="002223A8"/>
    <w:rsid w:val="0022258C"/>
    <w:rsid w:val="00222927"/>
    <w:rsid w:val="002229BA"/>
    <w:rsid w:val="00222F22"/>
    <w:rsid w:val="00223447"/>
    <w:rsid w:val="00223719"/>
    <w:rsid w:val="00224D19"/>
    <w:rsid w:val="0022559F"/>
    <w:rsid w:val="00225EB2"/>
    <w:rsid w:val="00226895"/>
    <w:rsid w:val="00227229"/>
    <w:rsid w:val="00227315"/>
    <w:rsid w:val="00227444"/>
    <w:rsid w:val="0023043B"/>
    <w:rsid w:val="0023152C"/>
    <w:rsid w:val="00231B0E"/>
    <w:rsid w:val="002320C4"/>
    <w:rsid w:val="00232660"/>
    <w:rsid w:val="00233921"/>
    <w:rsid w:val="002339E4"/>
    <w:rsid w:val="00233A67"/>
    <w:rsid w:val="00233BF6"/>
    <w:rsid w:val="00234752"/>
    <w:rsid w:val="00234778"/>
    <w:rsid w:val="00234D9E"/>
    <w:rsid w:val="00235724"/>
    <w:rsid w:val="00235759"/>
    <w:rsid w:val="00235EE1"/>
    <w:rsid w:val="00236524"/>
    <w:rsid w:val="0023662D"/>
    <w:rsid w:val="00236686"/>
    <w:rsid w:val="002366F8"/>
    <w:rsid w:val="00237127"/>
    <w:rsid w:val="002371CC"/>
    <w:rsid w:val="002375E8"/>
    <w:rsid w:val="00237AF7"/>
    <w:rsid w:val="0024031F"/>
    <w:rsid w:val="00240501"/>
    <w:rsid w:val="0024060B"/>
    <w:rsid w:val="00241130"/>
    <w:rsid w:val="0024185B"/>
    <w:rsid w:val="0024208C"/>
    <w:rsid w:val="00242BD0"/>
    <w:rsid w:val="00245C92"/>
    <w:rsid w:val="00246CF2"/>
    <w:rsid w:val="00246EE5"/>
    <w:rsid w:val="00246F0D"/>
    <w:rsid w:val="0024748D"/>
    <w:rsid w:val="00250161"/>
    <w:rsid w:val="00250BD7"/>
    <w:rsid w:val="00250FFC"/>
    <w:rsid w:val="00251649"/>
    <w:rsid w:val="00251D13"/>
    <w:rsid w:val="0025240D"/>
    <w:rsid w:val="002529E9"/>
    <w:rsid w:val="00252F42"/>
    <w:rsid w:val="002539C1"/>
    <w:rsid w:val="00253D52"/>
    <w:rsid w:val="002542DC"/>
    <w:rsid w:val="00254B8F"/>
    <w:rsid w:val="00254B93"/>
    <w:rsid w:val="00255306"/>
    <w:rsid w:val="00255717"/>
    <w:rsid w:val="002558BF"/>
    <w:rsid w:val="00255988"/>
    <w:rsid w:val="002562C5"/>
    <w:rsid w:val="00256850"/>
    <w:rsid w:val="002568EA"/>
    <w:rsid w:val="00256BB3"/>
    <w:rsid w:val="00257550"/>
    <w:rsid w:val="00257673"/>
    <w:rsid w:val="00257844"/>
    <w:rsid w:val="00257D27"/>
    <w:rsid w:val="00260371"/>
    <w:rsid w:val="00260979"/>
    <w:rsid w:val="00260AAA"/>
    <w:rsid w:val="00260BB6"/>
    <w:rsid w:val="00260C02"/>
    <w:rsid w:val="00260E18"/>
    <w:rsid w:val="002610F4"/>
    <w:rsid w:val="002612CF"/>
    <w:rsid w:val="00261EFE"/>
    <w:rsid w:val="00261F2A"/>
    <w:rsid w:val="00262570"/>
    <w:rsid w:val="00263428"/>
    <w:rsid w:val="00264417"/>
    <w:rsid w:val="00264867"/>
    <w:rsid w:val="002658C9"/>
    <w:rsid w:val="00265CB0"/>
    <w:rsid w:val="002663C6"/>
    <w:rsid w:val="00266432"/>
    <w:rsid w:val="00267552"/>
    <w:rsid w:val="00267788"/>
    <w:rsid w:val="00267BCF"/>
    <w:rsid w:val="00270352"/>
    <w:rsid w:val="002713ED"/>
    <w:rsid w:val="00271430"/>
    <w:rsid w:val="002720F2"/>
    <w:rsid w:val="00272544"/>
    <w:rsid w:val="00272B9A"/>
    <w:rsid w:val="00274746"/>
    <w:rsid w:val="00274839"/>
    <w:rsid w:val="00274DA5"/>
    <w:rsid w:val="00274E78"/>
    <w:rsid w:val="00275010"/>
    <w:rsid w:val="00275B84"/>
    <w:rsid w:val="00275CC4"/>
    <w:rsid w:val="002763CC"/>
    <w:rsid w:val="00276BB7"/>
    <w:rsid w:val="002800F0"/>
    <w:rsid w:val="00280363"/>
    <w:rsid w:val="002810BE"/>
    <w:rsid w:val="002811EE"/>
    <w:rsid w:val="00281C1E"/>
    <w:rsid w:val="00281EFB"/>
    <w:rsid w:val="00281F43"/>
    <w:rsid w:val="00282402"/>
    <w:rsid w:val="00282E58"/>
    <w:rsid w:val="002830DC"/>
    <w:rsid w:val="00283371"/>
    <w:rsid w:val="002834E4"/>
    <w:rsid w:val="00283AF9"/>
    <w:rsid w:val="00283E55"/>
    <w:rsid w:val="00283EB6"/>
    <w:rsid w:val="00284F6D"/>
    <w:rsid w:val="002863E7"/>
    <w:rsid w:val="002876FA"/>
    <w:rsid w:val="00287B4E"/>
    <w:rsid w:val="002906AC"/>
    <w:rsid w:val="00290AB1"/>
    <w:rsid w:val="00290D70"/>
    <w:rsid w:val="00290E37"/>
    <w:rsid w:val="00291079"/>
    <w:rsid w:val="002925E1"/>
    <w:rsid w:val="00292950"/>
    <w:rsid w:val="002935DC"/>
    <w:rsid w:val="002949EA"/>
    <w:rsid w:val="00294B2B"/>
    <w:rsid w:val="00294C35"/>
    <w:rsid w:val="00294E1B"/>
    <w:rsid w:val="002952FD"/>
    <w:rsid w:val="002955FB"/>
    <w:rsid w:val="00295859"/>
    <w:rsid w:val="00295ED6"/>
    <w:rsid w:val="002962D8"/>
    <w:rsid w:val="002962E7"/>
    <w:rsid w:val="0029632B"/>
    <w:rsid w:val="00296370"/>
    <w:rsid w:val="00297083"/>
    <w:rsid w:val="00297D28"/>
    <w:rsid w:val="002A010E"/>
    <w:rsid w:val="002A0522"/>
    <w:rsid w:val="002A09EB"/>
    <w:rsid w:val="002A0BD7"/>
    <w:rsid w:val="002A0F28"/>
    <w:rsid w:val="002A141B"/>
    <w:rsid w:val="002A17DA"/>
    <w:rsid w:val="002A242E"/>
    <w:rsid w:val="002A2466"/>
    <w:rsid w:val="002A26B8"/>
    <w:rsid w:val="002A27BB"/>
    <w:rsid w:val="002A3AAE"/>
    <w:rsid w:val="002A4063"/>
    <w:rsid w:val="002A4178"/>
    <w:rsid w:val="002A4614"/>
    <w:rsid w:val="002A49F6"/>
    <w:rsid w:val="002A4A3A"/>
    <w:rsid w:val="002A4AD4"/>
    <w:rsid w:val="002A5260"/>
    <w:rsid w:val="002A5D8B"/>
    <w:rsid w:val="002A65A1"/>
    <w:rsid w:val="002A69DF"/>
    <w:rsid w:val="002A72AE"/>
    <w:rsid w:val="002A78A3"/>
    <w:rsid w:val="002A7A01"/>
    <w:rsid w:val="002B0203"/>
    <w:rsid w:val="002B0DB6"/>
    <w:rsid w:val="002B13CF"/>
    <w:rsid w:val="002B1DAF"/>
    <w:rsid w:val="002B20B1"/>
    <w:rsid w:val="002B2AB3"/>
    <w:rsid w:val="002B2DF5"/>
    <w:rsid w:val="002B2E37"/>
    <w:rsid w:val="002B36A7"/>
    <w:rsid w:val="002B4955"/>
    <w:rsid w:val="002B52AC"/>
    <w:rsid w:val="002B5642"/>
    <w:rsid w:val="002B5A3F"/>
    <w:rsid w:val="002B5D36"/>
    <w:rsid w:val="002B5DF3"/>
    <w:rsid w:val="002B5EB6"/>
    <w:rsid w:val="002B6081"/>
    <w:rsid w:val="002B6280"/>
    <w:rsid w:val="002B6743"/>
    <w:rsid w:val="002B6760"/>
    <w:rsid w:val="002B6DC1"/>
    <w:rsid w:val="002B6DF1"/>
    <w:rsid w:val="002B7250"/>
    <w:rsid w:val="002B74A1"/>
    <w:rsid w:val="002B79A3"/>
    <w:rsid w:val="002C0DB0"/>
    <w:rsid w:val="002C1229"/>
    <w:rsid w:val="002C17CF"/>
    <w:rsid w:val="002C1B36"/>
    <w:rsid w:val="002C32A6"/>
    <w:rsid w:val="002C3344"/>
    <w:rsid w:val="002C35A6"/>
    <w:rsid w:val="002C4BA0"/>
    <w:rsid w:val="002C4C03"/>
    <w:rsid w:val="002C53FF"/>
    <w:rsid w:val="002C57CA"/>
    <w:rsid w:val="002C5DD7"/>
    <w:rsid w:val="002C5F86"/>
    <w:rsid w:val="002C6087"/>
    <w:rsid w:val="002C67BE"/>
    <w:rsid w:val="002D03B4"/>
    <w:rsid w:val="002D03C0"/>
    <w:rsid w:val="002D0494"/>
    <w:rsid w:val="002D04C9"/>
    <w:rsid w:val="002D077F"/>
    <w:rsid w:val="002D1B43"/>
    <w:rsid w:val="002D2561"/>
    <w:rsid w:val="002D2933"/>
    <w:rsid w:val="002D2F68"/>
    <w:rsid w:val="002D42DC"/>
    <w:rsid w:val="002D4512"/>
    <w:rsid w:val="002D4AA4"/>
    <w:rsid w:val="002D4D29"/>
    <w:rsid w:val="002D4D54"/>
    <w:rsid w:val="002D526B"/>
    <w:rsid w:val="002D5A5B"/>
    <w:rsid w:val="002D5B5B"/>
    <w:rsid w:val="002D5C88"/>
    <w:rsid w:val="002D650B"/>
    <w:rsid w:val="002D6572"/>
    <w:rsid w:val="002D68B7"/>
    <w:rsid w:val="002D704D"/>
    <w:rsid w:val="002D7085"/>
    <w:rsid w:val="002D7AC2"/>
    <w:rsid w:val="002D7F5D"/>
    <w:rsid w:val="002D7F72"/>
    <w:rsid w:val="002E0605"/>
    <w:rsid w:val="002E0693"/>
    <w:rsid w:val="002E07A0"/>
    <w:rsid w:val="002E07F1"/>
    <w:rsid w:val="002E10EC"/>
    <w:rsid w:val="002E1878"/>
    <w:rsid w:val="002E26FC"/>
    <w:rsid w:val="002E2B65"/>
    <w:rsid w:val="002E2D84"/>
    <w:rsid w:val="002E32ED"/>
    <w:rsid w:val="002E36BF"/>
    <w:rsid w:val="002E3881"/>
    <w:rsid w:val="002E3D91"/>
    <w:rsid w:val="002E3DCF"/>
    <w:rsid w:val="002E49A1"/>
    <w:rsid w:val="002E4F66"/>
    <w:rsid w:val="002E57C1"/>
    <w:rsid w:val="002E6EFA"/>
    <w:rsid w:val="002E7687"/>
    <w:rsid w:val="002E77B0"/>
    <w:rsid w:val="002F07B5"/>
    <w:rsid w:val="002F0838"/>
    <w:rsid w:val="002F0B95"/>
    <w:rsid w:val="002F0C1E"/>
    <w:rsid w:val="002F120A"/>
    <w:rsid w:val="002F14CB"/>
    <w:rsid w:val="002F1BE7"/>
    <w:rsid w:val="002F1F17"/>
    <w:rsid w:val="002F2454"/>
    <w:rsid w:val="002F2944"/>
    <w:rsid w:val="002F2E0F"/>
    <w:rsid w:val="002F2F06"/>
    <w:rsid w:val="002F3ABC"/>
    <w:rsid w:val="002F44AC"/>
    <w:rsid w:val="002F4687"/>
    <w:rsid w:val="002F4779"/>
    <w:rsid w:val="002F4C6F"/>
    <w:rsid w:val="002F5784"/>
    <w:rsid w:val="002F5954"/>
    <w:rsid w:val="002F59B0"/>
    <w:rsid w:val="002F5B96"/>
    <w:rsid w:val="002F5EE1"/>
    <w:rsid w:val="002F725D"/>
    <w:rsid w:val="002F74B7"/>
    <w:rsid w:val="002F7781"/>
    <w:rsid w:val="002F7F55"/>
    <w:rsid w:val="00301D60"/>
    <w:rsid w:val="00301E7A"/>
    <w:rsid w:val="0030269C"/>
    <w:rsid w:val="00303496"/>
    <w:rsid w:val="0030460C"/>
    <w:rsid w:val="00304920"/>
    <w:rsid w:val="003049AC"/>
    <w:rsid w:val="00304DA0"/>
    <w:rsid w:val="003051B2"/>
    <w:rsid w:val="00305754"/>
    <w:rsid w:val="0030609A"/>
    <w:rsid w:val="0030646C"/>
    <w:rsid w:val="00306D06"/>
    <w:rsid w:val="00307908"/>
    <w:rsid w:val="00307A90"/>
    <w:rsid w:val="00307BC2"/>
    <w:rsid w:val="00310876"/>
    <w:rsid w:val="003109BA"/>
    <w:rsid w:val="00310BB2"/>
    <w:rsid w:val="00310C7D"/>
    <w:rsid w:val="00310D12"/>
    <w:rsid w:val="003111AD"/>
    <w:rsid w:val="0031120A"/>
    <w:rsid w:val="00311414"/>
    <w:rsid w:val="00311D29"/>
    <w:rsid w:val="00312242"/>
    <w:rsid w:val="0031242D"/>
    <w:rsid w:val="003128DB"/>
    <w:rsid w:val="00313ABB"/>
    <w:rsid w:val="003142A6"/>
    <w:rsid w:val="003143AF"/>
    <w:rsid w:val="00314530"/>
    <w:rsid w:val="00314F7E"/>
    <w:rsid w:val="00315758"/>
    <w:rsid w:val="003159B1"/>
    <w:rsid w:val="0031633E"/>
    <w:rsid w:val="00316656"/>
    <w:rsid w:val="00316B74"/>
    <w:rsid w:val="003171F9"/>
    <w:rsid w:val="0032078D"/>
    <w:rsid w:val="00320DCC"/>
    <w:rsid w:val="0032116D"/>
    <w:rsid w:val="003214E9"/>
    <w:rsid w:val="00322558"/>
    <w:rsid w:val="00323226"/>
    <w:rsid w:val="0032365D"/>
    <w:rsid w:val="00323880"/>
    <w:rsid w:val="00323D79"/>
    <w:rsid w:val="0032415A"/>
    <w:rsid w:val="00324A01"/>
    <w:rsid w:val="00324BF3"/>
    <w:rsid w:val="00325817"/>
    <w:rsid w:val="00326281"/>
    <w:rsid w:val="0032674B"/>
    <w:rsid w:val="00326A63"/>
    <w:rsid w:val="003275B1"/>
    <w:rsid w:val="003276E7"/>
    <w:rsid w:val="00327FCE"/>
    <w:rsid w:val="00330181"/>
    <w:rsid w:val="0033087F"/>
    <w:rsid w:val="00330972"/>
    <w:rsid w:val="00330DA0"/>
    <w:rsid w:val="00331594"/>
    <w:rsid w:val="0033317A"/>
    <w:rsid w:val="0033350D"/>
    <w:rsid w:val="00333909"/>
    <w:rsid w:val="00333A8E"/>
    <w:rsid w:val="00334428"/>
    <w:rsid w:val="00334681"/>
    <w:rsid w:val="003350B7"/>
    <w:rsid w:val="0033541F"/>
    <w:rsid w:val="00335B12"/>
    <w:rsid w:val="0033626F"/>
    <w:rsid w:val="003367E6"/>
    <w:rsid w:val="003372BE"/>
    <w:rsid w:val="00337940"/>
    <w:rsid w:val="00337A55"/>
    <w:rsid w:val="00337A71"/>
    <w:rsid w:val="00337C1A"/>
    <w:rsid w:val="00340079"/>
    <w:rsid w:val="003401E9"/>
    <w:rsid w:val="00340827"/>
    <w:rsid w:val="00341207"/>
    <w:rsid w:val="0034153A"/>
    <w:rsid w:val="003419EC"/>
    <w:rsid w:val="00342789"/>
    <w:rsid w:val="003429FB"/>
    <w:rsid w:val="00342BAF"/>
    <w:rsid w:val="003431A3"/>
    <w:rsid w:val="003448EE"/>
    <w:rsid w:val="00344994"/>
    <w:rsid w:val="00344E13"/>
    <w:rsid w:val="00344F25"/>
    <w:rsid w:val="00345652"/>
    <w:rsid w:val="003456C3"/>
    <w:rsid w:val="0034589D"/>
    <w:rsid w:val="003458DC"/>
    <w:rsid w:val="00346743"/>
    <w:rsid w:val="00346BD4"/>
    <w:rsid w:val="003470BE"/>
    <w:rsid w:val="00347CA3"/>
    <w:rsid w:val="00347D20"/>
    <w:rsid w:val="00350084"/>
    <w:rsid w:val="003506B9"/>
    <w:rsid w:val="003509DE"/>
    <w:rsid w:val="003514DD"/>
    <w:rsid w:val="00352E85"/>
    <w:rsid w:val="0035345B"/>
    <w:rsid w:val="00353BBA"/>
    <w:rsid w:val="00353BF6"/>
    <w:rsid w:val="00354711"/>
    <w:rsid w:val="00354E8F"/>
    <w:rsid w:val="003552A1"/>
    <w:rsid w:val="003559DC"/>
    <w:rsid w:val="00355BAA"/>
    <w:rsid w:val="00355F17"/>
    <w:rsid w:val="003565D7"/>
    <w:rsid w:val="0035668E"/>
    <w:rsid w:val="003568D4"/>
    <w:rsid w:val="00356F65"/>
    <w:rsid w:val="00357502"/>
    <w:rsid w:val="003578F5"/>
    <w:rsid w:val="00357E0F"/>
    <w:rsid w:val="00360AA7"/>
    <w:rsid w:val="00360DAB"/>
    <w:rsid w:val="0036141C"/>
    <w:rsid w:val="003614FE"/>
    <w:rsid w:val="003618D5"/>
    <w:rsid w:val="00361EAE"/>
    <w:rsid w:val="00362114"/>
    <w:rsid w:val="003624D1"/>
    <w:rsid w:val="00362B90"/>
    <w:rsid w:val="0036334B"/>
    <w:rsid w:val="00363685"/>
    <w:rsid w:val="00363D9C"/>
    <w:rsid w:val="0036452C"/>
    <w:rsid w:val="00364561"/>
    <w:rsid w:val="003659A5"/>
    <w:rsid w:val="00366D81"/>
    <w:rsid w:val="00366F27"/>
    <w:rsid w:val="00367362"/>
    <w:rsid w:val="0036754E"/>
    <w:rsid w:val="00367BA0"/>
    <w:rsid w:val="00367F85"/>
    <w:rsid w:val="00370601"/>
    <w:rsid w:val="00370C2A"/>
    <w:rsid w:val="00371089"/>
    <w:rsid w:val="003722A0"/>
    <w:rsid w:val="0037230D"/>
    <w:rsid w:val="00372426"/>
    <w:rsid w:val="003726B2"/>
    <w:rsid w:val="00372750"/>
    <w:rsid w:val="00372BC8"/>
    <w:rsid w:val="00373111"/>
    <w:rsid w:val="003733DA"/>
    <w:rsid w:val="00373423"/>
    <w:rsid w:val="003735FA"/>
    <w:rsid w:val="00373720"/>
    <w:rsid w:val="00374C61"/>
    <w:rsid w:val="0037572C"/>
    <w:rsid w:val="00375B54"/>
    <w:rsid w:val="00375C45"/>
    <w:rsid w:val="00375CD1"/>
    <w:rsid w:val="00375D2A"/>
    <w:rsid w:val="00375F91"/>
    <w:rsid w:val="00375FE8"/>
    <w:rsid w:val="003769D9"/>
    <w:rsid w:val="00376B6D"/>
    <w:rsid w:val="00376D26"/>
    <w:rsid w:val="00377282"/>
    <w:rsid w:val="00377502"/>
    <w:rsid w:val="0037759A"/>
    <w:rsid w:val="003779B3"/>
    <w:rsid w:val="00377BAF"/>
    <w:rsid w:val="00377DC0"/>
    <w:rsid w:val="0038074E"/>
    <w:rsid w:val="003812F6"/>
    <w:rsid w:val="00381756"/>
    <w:rsid w:val="00382582"/>
    <w:rsid w:val="00383915"/>
    <w:rsid w:val="00383D33"/>
    <w:rsid w:val="003842F1"/>
    <w:rsid w:val="00384470"/>
    <w:rsid w:val="003851E6"/>
    <w:rsid w:val="00385729"/>
    <w:rsid w:val="00386067"/>
    <w:rsid w:val="00386166"/>
    <w:rsid w:val="00386328"/>
    <w:rsid w:val="003869D8"/>
    <w:rsid w:val="003879B8"/>
    <w:rsid w:val="00387FF5"/>
    <w:rsid w:val="0039127E"/>
    <w:rsid w:val="00391447"/>
    <w:rsid w:val="003915A7"/>
    <w:rsid w:val="0039164F"/>
    <w:rsid w:val="00391759"/>
    <w:rsid w:val="00392188"/>
    <w:rsid w:val="0039230D"/>
    <w:rsid w:val="003925CB"/>
    <w:rsid w:val="00395512"/>
    <w:rsid w:val="0039563C"/>
    <w:rsid w:val="00395806"/>
    <w:rsid w:val="00395C73"/>
    <w:rsid w:val="00397977"/>
    <w:rsid w:val="003A00F7"/>
    <w:rsid w:val="003A0702"/>
    <w:rsid w:val="003A0F4B"/>
    <w:rsid w:val="003A1B25"/>
    <w:rsid w:val="003A227E"/>
    <w:rsid w:val="003A27EC"/>
    <w:rsid w:val="003A2DB9"/>
    <w:rsid w:val="003A336B"/>
    <w:rsid w:val="003A3CE7"/>
    <w:rsid w:val="003A3E53"/>
    <w:rsid w:val="003A4432"/>
    <w:rsid w:val="003A503D"/>
    <w:rsid w:val="003A55A2"/>
    <w:rsid w:val="003A5968"/>
    <w:rsid w:val="003A6D95"/>
    <w:rsid w:val="003A6E3C"/>
    <w:rsid w:val="003A713B"/>
    <w:rsid w:val="003B00FF"/>
    <w:rsid w:val="003B05C1"/>
    <w:rsid w:val="003B0B3A"/>
    <w:rsid w:val="003B0CBD"/>
    <w:rsid w:val="003B1838"/>
    <w:rsid w:val="003B19DE"/>
    <w:rsid w:val="003B1ED4"/>
    <w:rsid w:val="003B1EE4"/>
    <w:rsid w:val="003B2FC2"/>
    <w:rsid w:val="003B2FF2"/>
    <w:rsid w:val="003B366C"/>
    <w:rsid w:val="003B41A8"/>
    <w:rsid w:val="003B46E4"/>
    <w:rsid w:val="003B4CB0"/>
    <w:rsid w:val="003B626B"/>
    <w:rsid w:val="003B6426"/>
    <w:rsid w:val="003B64F3"/>
    <w:rsid w:val="003B6A9A"/>
    <w:rsid w:val="003B6F1F"/>
    <w:rsid w:val="003B766A"/>
    <w:rsid w:val="003B766F"/>
    <w:rsid w:val="003B76A4"/>
    <w:rsid w:val="003B7714"/>
    <w:rsid w:val="003B78C2"/>
    <w:rsid w:val="003C024B"/>
    <w:rsid w:val="003C06EE"/>
    <w:rsid w:val="003C0794"/>
    <w:rsid w:val="003C0A38"/>
    <w:rsid w:val="003C0C88"/>
    <w:rsid w:val="003C178B"/>
    <w:rsid w:val="003C26B1"/>
    <w:rsid w:val="003C2871"/>
    <w:rsid w:val="003C3126"/>
    <w:rsid w:val="003C3468"/>
    <w:rsid w:val="003C3678"/>
    <w:rsid w:val="003C3ECC"/>
    <w:rsid w:val="003C3F9F"/>
    <w:rsid w:val="003C406F"/>
    <w:rsid w:val="003C446F"/>
    <w:rsid w:val="003C4BE5"/>
    <w:rsid w:val="003C4C18"/>
    <w:rsid w:val="003C527E"/>
    <w:rsid w:val="003C58CF"/>
    <w:rsid w:val="003C6454"/>
    <w:rsid w:val="003C6C44"/>
    <w:rsid w:val="003C7D64"/>
    <w:rsid w:val="003D184E"/>
    <w:rsid w:val="003D200D"/>
    <w:rsid w:val="003D2813"/>
    <w:rsid w:val="003D2A23"/>
    <w:rsid w:val="003D2DE0"/>
    <w:rsid w:val="003D2EEC"/>
    <w:rsid w:val="003D2FA2"/>
    <w:rsid w:val="003D3028"/>
    <w:rsid w:val="003D3721"/>
    <w:rsid w:val="003D3789"/>
    <w:rsid w:val="003D3ED9"/>
    <w:rsid w:val="003D4435"/>
    <w:rsid w:val="003D50DF"/>
    <w:rsid w:val="003D528E"/>
    <w:rsid w:val="003D579F"/>
    <w:rsid w:val="003D60AF"/>
    <w:rsid w:val="003D63F8"/>
    <w:rsid w:val="003D6526"/>
    <w:rsid w:val="003D6B70"/>
    <w:rsid w:val="003D75C5"/>
    <w:rsid w:val="003E0DA5"/>
    <w:rsid w:val="003E1786"/>
    <w:rsid w:val="003E184C"/>
    <w:rsid w:val="003E1D1C"/>
    <w:rsid w:val="003E1D63"/>
    <w:rsid w:val="003E29E6"/>
    <w:rsid w:val="003E3016"/>
    <w:rsid w:val="003E371D"/>
    <w:rsid w:val="003E3C96"/>
    <w:rsid w:val="003E4B8A"/>
    <w:rsid w:val="003E4D40"/>
    <w:rsid w:val="003E5DB0"/>
    <w:rsid w:val="003E5E36"/>
    <w:rsid w:val="003E6393"/>
    <w:rsid w:val="003E656A"/>
    <w:rsid w:val="003E69B3"/>
    <w:rsid w:val="003E6CCF"/>
    <w:rsid w:val="003E6D67"/>
    <w:rsid w:val="003E6E64"/>
    <w:rsid w:val="003F08F0"/>
    <w:rsid w:val="003F1409"/>
    <w:rsid w:val="003F16C8"/>
    <w:rsid w:val="003F1944"/>
    <w:rsid w:val="003F1B4B"/>
    <w:rsid w:val="003F1C47"/>
    <w:rsid w:val="003F1F05"/>
    <w:rsid w:val="003F1FDD"/>
    <w:rsid w:val="003F2A91"/>
    <w:rsid w:val="003F2C3D"/>
    <w:rsid w:val="003F2E1E"/>
    <w:rsid w:val="003F49F5"/>
    <w:rsid w:val="003F50B3"/>
    <w:rsid w:val="003F5435"/>
    <w:rsid w:val="003F555C"/>
    <w:rsid w:val="003F627A"/>
    <w:rsid w:val="003F630B"/>
    <w:rsid w:val="003F651E"/>
    <w:rsid w:val="003F7C93"/>
    <w:rsid w:val="0040013D"/>
    <w:rsid w:val="00400516"/>
    <w:rsid w:val="00400904"/>
    <w:rsid w:val="00400AA4"/>
    <w:rsid w:val="00401942"/>
    <w:rsid w:val="004025AE"/>
    <w:rsid w:val="00402D64"/>
    <w:rsid w:val="0040311B"/>
    <w:rsid w:val="00403333"/>
    <w:rsid w:val="0040364F"/>
    <w:rsid w:val="00404C33"/>
    <w:rsid w:val="004055C2"/>
    <w:rsid w:val="00405C92"/>
    <w:rsid w:val="0040659E"/>
    <w:rsid w:val="00406B3E"/>
    <w:rsid w:val="00407D2F"/>
    <w:rsid w:val="00407DA8"/>
    <w:rsid w:val="00407FD8"/>
    <w:rsid w:val="00410A4E"/>
    <w:rsid w:val="00410FA3"/>
    <w:rsid w:val="00411801"/>
    <w:rsid w:val="00411C29"/>
    <w:rsid w:val="00411E27"/>
    <w:rsid w:val="00412EDE"/>
    <w:rsid w:val="00414027"/>
    <w:rsid w:val="0041409D"/>
    <w:rsid w:val="004140B5"/>
    <w:rsid w:val="0041426C"/>
    <w:rsid w:val="00414371"/>
    <w:rsid w:val="00414627"/>
    <w:rsid w:val="0041556B"/>
    <w:rsid w:val="00415AB6"/>
    <w:rsid w:val="00415BA6"/>
    <w:rsid w:val="00415BDD"/>
    <w:rsid w:val="00416B8C"/>
    <w:rsid w:val="00417038"/>
    <w:rsid w:val="00417BFD"/>
    <w:rsid w:val="00420031"/>
    <w:rsid w:val="004212FA"/>
    <w:rsid w:val="00421856"/>
    <w:rsid w:val="0042186A"/>
    <w:rsid w:val="00421BE0"/>
    <w:rsid w:val="0042267E"/>
    <w:rsid w:val="004229E6"/>
    <w:rsid w:val="00423FC0"/>
    <w:rsid w:val="00424589"/>
    <w:rsid w:val="00426409"/>
    <w:rsid w:val="0042733F"/>
    <w:rsid w:val="00427A68"/>
    <w:rsid w:val="00427D4E"/>
    <w:rsid w:val="00427FEB"/>
    <w:rsid w:val="004303FA"/>
    <w:rsid w:val="004314E7"/>
    <w:rsid w:val="00431AA3"/>
    <w:rsid w:val="00432028"/>
    <w:rsid w:val="004322A1"/>
    <w:rsid w:val="00432944"/>
    <w:rsid w:val="00432B6A"/>
    <w:rsid w:val="00432CDB"/>
    <w:rsid w:val="0043335D"/>
    <w:rsid w:val="0043367C"/>
    <w:rsid w:val="0043394E"/>
    <w:rsid w:val="00434039"/>
    <w:rsid w:val="004340AA"/>
    <w:rsid w:val="0043515F"/>
    <w:rsid w:val="00435F01"/>
    <w:rsid w:val="00436764"/>
    <w:rsid w:val="00436E3D"/>
    <w:rsid w:val="00437080"/>
    <w:rsid w:val="00437505"/>
    <w:rsid w:val="00440C12"/>
    <w:rsid w:val="00440C36"/>
    <w:rsid w:val="004416B2"/>
    <w:rsid w:val="00441730"/>
    <w:rsid w:val="00441906"/>
    <w:rsid w:val="00441B9A"/>
    <w:rsid w:val="00441F90"/>
    <w:rsid w:val="004425DC"/>
    <w:rsid w:val="00443158"/>
    <w:rsid w:val="00443308"/>
    <w:rsid w:val="004439EF"/>
    <w:rsid w:val="00443AD1"/>
    <w:rsid w:val="00443B5F"/>
    <w:rsid w:val="00444724"/>
    <w:rsid w:val="00444898"/>
    <w:rsid w:val="00444B3F"/>
    <w:rsid w:val="00444E85"/>
    <w:rsid w:val="00445105"/>
    <w:rsid w:val="004454A9"/>
    <w:rsid w:val="00445D91"/>
    <w:rsid w:val="00445E2E"/>
    <w:rsid w:val="004466BF"/>
    <w:rsid w:val="00446724"/>
    <w:rsid w:val="00446FF6"/>
    <w:rsid w:val="0044710A"/>
    <w:rsid w:val="00447416"/>
    <w:rsid w:val="004478DA"/>
    <w:rsid w:val="00447933"/>
    <w:rsid w:val="00447DBA"/>
    <w:rsid w:val="00450D83"/>
    <w:rsid w:val="00451109"/>
    <w:rsid w:val="00451333"/>
    <w:rsid w:val="00451473"/>
    <w:rsid w:val="00452B11"/>
    <w:rsid w:val="0045305D"/>
    <w:rsid w:val="004531DD"/>
    <w:rsid w:val="00453DD2"/>
    <w:rsid w:val="00454586"/>
    <w:rsid w:val="004549FF"/>
    <w:rsid w:val="00454C4A"/>
    <w:rsid w:val="00454D74"/>
    <w:rsid w:val="00455B25"/>
    <w:rsid w:val="004561FC"/>
    <w:rsid w:val="004567B3"/>
    <w:rsid w:val="004569F4"/>
    <w:rsid w:val="00456F56"/>
    <w:rsid w:val="0045738A"/>
    <w:rsid w:val="00457877"/>
    <w:rsid w:val="00457B63"/>
    <w:rsid w:val="00457DD3"/>
    <w:rsid w:val="00457FBD"/>
    <w:rsid w:val="004601F0"/>
    <w:rsid w:val="0046038A"/>
    <w:rsid w:val="0046049C"/>
    <w:rsid w:val="00460811"/>
    <w:rsid w:val="00460D28"/>
    <w:rsid w:val="00461177"/>
    <w:rsid w:val="0046195B"/>
    <w:rsid w:val="00461D08"/>
    <w:rsid w:val="00461D3C"/>
    <w:rsid w:val="00461D4B"/>
    <w:rsid w:val="00462538"/>
    <w:rsid w:val="00462642"/>
    <w:rsid w:val="004627F4"/>
    <w:rsid w:val="0046291E"/>
    <w:rsid w:val="00463328"/>
    <w:rsid w:val="004633EC"/>
    <w:rsid w:val="004633F2"/>
    <w:rsid w:val="00463454"/>
    <w:rsid w:val="004635C5"/>
    <w:rsid w:val="004636C3"/>
    <w:rsid w:val="0046446D"/>
    <w:rsid w:val="0046484F"/>
    <w:rsid w:val="00464CD3"/>
    <w:rsid w:val="00464E91"/>
    <w:rsid w:val="0046569A"/>
    <w:rsid w:val="0046680C"/>
    <w:rsid w:val="00466935"/>
    <w:rsid w:val="00467452"/>
    <w:rsid w:val="004677DA"/>
    <w:rsid w:val="00467DBB"/>
    <w:rsid w:val="0047046A"/>
    <w:rsid w:val="00470AD3"/>
    <w:rsid w:val="00470B36"/>
    <w:rsid w:val="00470D72"/>
    <w:rsid w:val="00471540"/>
    <w:rsid w:val="0047173A"/>
    <w:rsid w:val="0047218E"/>
    <w:rsid w:val="004723DA"/>
    <w:rsid w:val="004725CA"/>
    <w:rsid w:val="004731C6"/>
    <w:rsid w:val="00473C6B"/>
    <w:rsid w:val="00473F18"/>
    <w:rsid w:val="00474315"/>
    <w:rsid w:val="00474613"/>
    <w:rsid w:val="00474A45"/>
    <w:rsid w:val="00474CAE"/>
    <w:rsid w:val="004751EE"/>
    <w:rsid w:val="004751F5"/>
    <w:rsid w:val="00475486"/>
    <w:rsid w:val="004757DF"/>
    <w:rsid w:val="004759BD"/>
    <w:rsid w:val="00476635"/>
    <w:rsid w:val="00476973"/>
    <w:rsid w:val="00476C44"/>
    <w:rsid w:val="00476FA5"/>
    <w:rsid w:val="00477623"/>
    <w:rsid w:val="0047777A"/>
    <w:rsid w:val="0048067F"/>
    <w:rsid w:val="00480BA3"/>
    <w:rsid w:val="00482145"/>
    <w:rsid w:val="004824A0"/>
    <w:rsid w:val="00482C21"/>
    <w:rsid w:val="00482DF2"/>
    <w:rsid w:val="0048361C"/>
    <w:rsid w:val="00483B85"/>
    <w:rsid w:val="0048419E"/>
    <w:rsid w:val="00484B91"/>
    <w:rsid w:val="00485308"/>
    <w:rsid w:val="004854F8"/>
    <w:rsid w:val="00485A6E"/>
    <w:rsid w:val="00486EAD"/>
    <w:rsid w:val="004870EA"/>
    <w:rsid w:val="00487755"/>
    <w:rsid w:val="004904CE"/>
    <w:rsid w:val="00490516"/>
    <w:rsid w:val="0049082A"/>
    <w:rsid w:val="00490DCF"/>
    <w:rsid w:val="00490F00"/>
    <w:rsid w:val="00490FD0"/>
    <w:rsid w:val="00491383"/>
    <w:rsid w:val="00491B43"/>
    <w:rsid w:val="004923B8"/>
    <w:rsid w:val="0049268A"/>
    <w:rsid w:val="0049299B"/>
    <w:rsid w:val="004929C2"/>
    <w:rsid w:val="00492C49"/>
    <w:rsid w:val="00492C54"/>
    <w:rsid w:val="0049348C"/>
    <w:rsid w:val="00493BF8"/>
    <w:rsid w:val="00493DE5"/>
    <w:rsid w:val="00494090"/>
    <w:rsid w:val="00494789"/>
    <w:rsid w:val="004948AA"/>
    <w:rsid w:val="00494AE3"/>
    <w:rsid w:val="0049505C"/>
    <w:rsid w:val="004952EE"/>
    <w:rsid w:val="00495585"/>
    <w:rsid w:val="00495962"/>
    <w:rsid w:val="00496285"/>
    <w:rsid w:val="0049694C"/>
    <w:rsid w:val="00497229"/>
    <w:rsid w:val="00497D60"/>
    <w:rsid w:val="00497E14"/>
    <w:rsid w:val="004A02DD"/>
    <w:rsid w:val="004A038B"/>
    <w:rsid w:val="004A054E"/>
    <w:rsid w:val="004A0A1E"/>
    <w:rsid w:val="004A0B2D"/>
    <w:rsid w:val="004A14C1"/>
    <w:rsid w:val="004A1BAA"/>
    <w:rsid w:val="004A2247"/>
    <w:rsid w:val="004A257F"/>
    <w:rsid w:val="004A3091"/>
    <w:rsid w:val="004A393D"/>
    <w:rsid w:val="004A3BE0"/>
    <w:rsid w:val="004A4023"/>
    <w:rsid w:val="004A4094"/>
    <w:rsid w:val="004A4345"/>
    <w:rsid w:val="004A439E"/>
    <w:rsid w:val="004A4E24"/>
    <w:rsid w:val="004A4ED4"/>
    <w:rsid w:val="004A5C17"/>
    <w:rsid w:val="004A5D38"/>
    <w:rsid w:val="004A632F"/>
    <w:rsid w:val="004A6F4B"/>
    <w:rsid w:val="004A7824"/>
    <w:rsid w:val="004A7ABF"/>
    <w:rsid w:val="004B016D"/>
    <w:rsid w:val="004B24ED"/>
    <w:rsid w:val="004B2741"/>
    <w:rsid w:val="004B3271"/>
    <w:rsid w:val="004B344B"/>
    <w:rsid w:val="004B387A"/>
    <w:rsid w:val="004B38D4"/>
    <w:rsid w:val="004B4003"/>
    <w:rsid w:val="004B4DD0"/>
    <w:rsid w:val="004B4FDA"/>
    <w:rsid w:val="004B5397"/>
    <w:rsid w:val="004B5B23"/>
    <w:rsid w:val="004B674E"/>
    <w:rsid w:val="004B6B20"/>
    <w:rsid w:val="004B6D38"/>
    <w:rsid w:val="004B7E38"/>
    <w:rsid w:val="004C0C0B"/>
    <w:rsid w:val="004C0F62"/>
    <w:rsid w:val="004C1616"/>
    <w:rsid w:val="004C22CE"/>
    <w:rsid w:val="004C26A2"/>
    <w:rsid w:val="004C29A2"/>
    <w:rsid w:val="004C2F1E"/>
    <w:rsid w:val="004C37A2"/>
    <w:rsid w:val="004C407D"/>
    <w:rsid w:val="004C46FA"/>
    <w:rsid w:val="004C48E4"/>
    <w:rsid w:val="004C4F91"/>
    <w:rsid w:val="004C586F"/>
    <w:rsid w:val="004C5D56"/>
    <w:rsid w:val="004C5F0D"/>
    <w:rsid w:val="004C60BD"/>
    <w:rsid w:val="004C6273"/>
    <w:rsid w:val="004C6C09"/>
    <w:rsid w:val="004C6EA3"/>
    <w:rsid w:val="004C71A0"/>
    <w:rsid w:val="004C7250"/>
    <w:rsid w:val="004C7421"/>
    <w:rsid w:val="004D00C6"/>
    <w:rsid w:val="004D0402"/>
    <w:rsid w:val="004D08AA"/>
    <w:rsid w:val="004D161C"/>
    <w:rsid w:val="004D16D2"/>
    <w:rsid w:val="004D1CE4"/>
    <w:rsid w:val="004D2268"/>
    <w:rsid w:val="004D26D7"/>
    <w:rsid w:val="004D2993"/>
    <w:rsid w:val="004D2BC5"/>
    <w:rsid w:val="004D33C5"/>
    <w:rsid w:val="004D374F"/>
    <w:rsid w:val="004D4BBD"/>
    <w:rsid w:val="004D4D62"/>
    <w:rsid w:val="004D5208"/>
    <w:rsid w:val="004D547C"/>
    <w:rsid w:val="004D5BB0"/>
    <w:rsid w:val="004D5DA3"/>
    <w:rsid w:val="004D672E"/>
    <w:rsid w:val="004D6C19"/>
    <w:rsid w:val="004D6F14"/>
    <w:rsid w:val="004D6F6C"/>
    <w:rsid w:val="004D7106"/>
    <w:rsid w:val="004D78AC"/>
    <w:rsid w:val="004D7DAC"/>
    <w:rsid w:val="004E01F2"/>
    <w:rsid w:val="004E063D"/>
    <w:rsid w:val="004E11B1"/>
    <w:rsid w:val="004E1B56"/>
    <w:rsid w:val="004E1C67"/>
    <w:rsid w:val="004E2451"/>
    <w:rsid w:val="004E26B9"/>
    <w:rsid w:val="004E27D3"/>
    <w:rsid w:val="004E2FC3"/>
    <w:rsid w:val="004E4746"/>
    <w:rsid w:val="004E4A70"/>
    <w:rsid w:val="004E4FC0"/>
    <w:rsid w:val="004E558C"/>
    <w:rsid w:val="004E5B39"/>
    <w:rsid w:val="004E5FD5"/>
    <w:rsid w:val="004E6537"/>
    <w:rsid w:val="004E688B"/>
    <w:rsid w:val="004E6917"/>
    <w:rsid w:val="004E6971"/>
    <w:rsid w:val="004E7839"/>
    <w:rsid w:val="004E7EFF"/>
    <w:rsid w:val="004F0966"/>
    <w:rsid w:val="004F0D29"/>
    <w:rsid w:val="004F14D7"/>
    <w:rsid w:val="004F17F6"/>
    <w:rsid w:val="004F180C"/>
    <w:rsid w:val="004F1A69"/>
    <w:rsid w:val="004F234D"/>
    <w:rsid w:val="004F2627"/>
    <w:rsid w:val="004F2952"/>
    <w:rsid w:val="004F2A09"/>
    <w:rsid w:val="004F2B87"/>
    <w:rsid w:val="004F2EF1"/>
    <w:rsid w:val="004F3F80"/>
    <w:rsid w:val="004F45D7"/>
    <w:rsid w:val="004F4EC5"/>
    <w:rsid w:val="004F4FAA"/>
    <w:rsid w:val="004F55A6"/>
    <w:rsid w:val="004F5A69"/>
    <w:rsid w:val="004F64CF"/>
    <w:rsid w:val="004F66AC"/>
    <w:rsid w:val="004F69F9"/>
    <w:rsid w:val="004F6E88"/>
    <w:rsid w:val="004F70A5"/>
    <w:rsid w:val="004F7529"/>
    <w:rsid w:val="004F7759"/>
    <w:rsid w:val="004F783E"/>
    <w:rsid w:val="004F7F59"/>
    <w:rsid w:val="005010FC"/>
    <w:rsid w:val="005019A2"/>
    <w:rsid w:val="00501D65"/>
    <w:rsid w:val="00502193"/>
    <w:rsid w:val="005024B2"/>
    <w:rsid w:val="005025BE"/>
    <w:rsid w:val="0050271E"/>
    <w:rsid w:val="00502A22"/>
    <w:rsid w:val="00502C8E"/>
    <w:rsid w:val="005032FE"/>
    <w:rsid w:val="0050398D"/>
    <w:rsid w:val="00503D28"/>
    <w:rsid w:val="00503FEC"/>
    <w:rsid w:val="005051BA"/>
    <w:rsid w:val="00505438"/>
    <w:rsid w:val="005054EE"/>
    <w:rsid w:val="005059F6"/>
    <w:rsid w:val="00505E0B"/>
    <w:rsid w:val="005061E5"/>
    <w:rsid w:val="005062F5"/>
    <w:rsid w:val="00507778"/>
    <w:rsid w:val="005078DB"/>
    <w:rsid w:val="00507E86"/>
    <w:rsid w:val="00510058"/>
    <w:rsid w:val="005100F0"/>
    <w:rsid w:val="00510635"/>
    <w:rsid w:val="0051099C"/>
    <w:rsid w:val="00510BE1"/>
    <w:rsid w:val="005116C2"/>
    <w:rsid w:val="00512D4D"/>
    <w:rsid w:val="00512DA3"/>
    <w:rsid w:val="00512E0F"/>
    <w:rsid w:val="0051377F"/>
    <w:rsid w:val="0051405B"/>
    <w:rsid w:val="00515103"/>
    <w:rsid w:val="0051511C"/>
    <w:rsid w:val="00515186"/>
    <w:rsid w:val="00515965"/>
    <w:rsid w:val="00515ACE"/>
    <w:rsid w:val="00515BFA"/>
    <w:rsid w:val="00515E2B"/>
    <w:rsid w:val="00515F72"/>
    <w:rsid w:val="00516769"/>
    <w:rsid w:val="00516B86"/>
    <w:rsid w:val="00516D9A"/>
    <w:rsid w:val="00517017"/>
    <w:rsid w:val="00517046"/>
    <w:rsid w:val="0051705B"/>
    <w:rsid w:val="00520E04"/>
    <w:rsid w:val="00521A01"/>
    <w:rsid w:val="00521E5F"/>
    <w:rsid w:val="00522AEA"/>
    <w:rsid w:val="00522B23"/>
    <w:rsid w:val="005231FB"/>
    <w:rsid w:val="005237DD"/>
    <w:rsid w:val="00523A96"/>
    <w:rsid w:val="005240FC"/>
    <w:rsid w:val="005243B5"/>
    <w:rsid w:val="00525931"/>
    <w:rsid w:val="0052641F"/>
    <w:rsid w:val="00526833"/>
    <w:rsid w:val="00527148"/>
    <w:rsid w:val="005273F9"/>
    <w:rsid w:val="00527902"/>
    <w:rsid w:val="00530860"/>
    <w:rsid w:val="00530CC3"/>
    <w:rsid w:val="00531008"/>
    <w:rsid w:val="005315F2"/>
    <w:rsid w:val="005316D6"/>
    <w:rsid w:val="00531CC2"/>
    <w:rsid w:val="00532578"/>
    <w:rsid w:val="005327A5"/>
    <w:rsid w:val="00532E54"/>
    <w:rsid w:val="005334E5"/>
    <w:rsid w:val="00533830"/>
    <w:rsid w:val="0053481A"/>
    <w:rsid w:val="00534B86"/>
    <w:rsid w:val="00534E4D"/>
    <w:rsid w:val="00535032"/>
    <w:rsid w:val="0053552C"/>
    <w:rsid w:val="00535674"/>
    <w:rsid w:val="005356A7"/>
    <w:rsid w:val="0053570F"/>
    <w:rsid w:val="0053578B"/>
    <w:rsid w:val="00535840"/>
    <w:rsid w:val="00536299"/>
    <w:rsid w:val="005362D5"/>
    <w:rsid w:val="00536424"/>
    <w:rsid w:val="00536BCA"/>
    <w:rsid w:val="00536D80"/>
    <w:rsid w:val="00536EAD"/>
    <w:rsid w:val="00536EF4"/>
    <w:rsid w:val="005376FB"/>
    <w:rsid w:val="005407E9"/>
    <w:rsid w:val="00541924"/>
    <w:rsid w:val="005419D3"/>
    <w:rsid w:val="0054206C"/>
    <w:rsid w:val="005421F1"/>
    <w:rsid w:val="005429DA"/>
    <w:rsid w:val="00542DCA"/>
    <w:rsid w:val="00543661"/>
    <w:rsid w:val="0054374B"/>
    <w:rsid w:val="0054379A"/>
    <w:rsid w:val="0054406D"/>
    <w:rsid w:val="0054453D"/>
    <w:rsid w:val="00544D8B"/>
    <w:rsid w:val="00544DA3"/>
    <w:rsid w:val="00544DA9"/>
    <w:rsid w:val="00545161"/>
    <w:rsid w:val="0054519A"/>
    <w:rsid w:val="005458A4"/>
    <w:rsid w:val="00545AAC"/>
    <w:rsid w:val="00545C33"/>
    <w:rsid w:val="00546204"/>
    <w:rsid w:val="005474F3"/>
    <w:rsid w:val="00550A1A"/>
    <w:rsid w:val="00550FE9"/>
    <w:rsid w:val="00551984"/>
    <w:rsid w:val="00552731"/>
    <w:rsid w:val="00552895"/>
    <w:rsid w:val="005537E4"/>
    <w:rsid w:val="00553ECB"/>
    <w:rsid w:val="005542ED"/>
    <w:rsid w:val="005544AF"/>
    <w:rsid w:val="005544DB"/>
    <w:rsid w:val="00554ECA"/>
    <w:rsid w:val="0055510A"/>
    <w:rsid w:val="005556D4"/>
    <w:rsid w:val="00556DC7"/>
    <w:rsid w:val="00557FF9"/>
    <w:rsid w:val="0056168B"/>
    <w:rsid w:val="00561AE1"/>
    <w:rsid w:val="00562873"/>
    <w:rsid w:val="005628D3"/>
    <w:rsid w:val="00562CB4"/>
    <w:rsid w:val="005634CC"/>
    <w:rsid w:val="005640B1"/>
    <w:rsid w:val="0056421F"/>
    <w:rsid w:val="00564347"/>
    <w:rsid w:val="00564C18"/>
    <w:rsid w:val="0056546D"/>
    <w:rsid w:val="005656B2"/>
    <w:rsid w:val="00565ECB"/>
    <w:rsid w:val="005669CC"/>
    <w:rsid w:val="0056710E"/>
    <w:rsid w:val="0056718C"/>
    <w:rsid w:val="005674D9"/>
    <w:rsid w:val="00567567"/>
    <w:rsid w:val="00570AF1"/>
    <w:rsid w:val="0057102A"/>
    <w:rsid w:val="00571F16"/>
    <w:rsid w:val="00573247"/>
    <w:rsid w:val="00573768"/>
    <w:rsid w:val="00573DFB"/>
    <w:rsid w:val="00573E34"/>
    <w:rsid w:val="00573F50"/>
    <w:rsid w:val="0057406B"/>
    <w:rsid w:val="0057440D"/>
    <w:rsid w:val="00574F8D"/>
    <w:rsid w:val="005752B6"/>
    <w:rsid w:val="00575BD3"/>
    <w:rsid w:val="00575C5A"/>
    <w:rsid w:val="00576314"/>
    <w:rsid w:val="005774A6"/>
    <w:rsid w:val="00577906"/>
    <w:rsid w:val="00577A13"/>
    <w:rsid w:val="00577EA0"/>
    <w:rsid w:val="005804CE"/>
    <w:rsid w:val="00580B86"/>
    <w:rsid w:val="00580C3A"/>
    <w:rsid w:val="00581CAF"/>
    <w:rsid w:val="00582021"/>
    <w:rsid w:val="00582FD9"/>
    <w:rsid w:val="00583774"/>
    <w:rsid w:val="00583805"/>
    <w:rsid w:val="0058392F"/>
    <w:rsid w:val="00583C1F"/>
    <w:rsid w:val="00584D07"/>
    <w:rsid w:val="00584E45"/>
    <w:rsid w:val="005856DA"/>
    <w:rsid w:val="00585AB5"/>
    <w:rsid w:val="00585DC5"/>
    <w:rsid w:val="00586C48"/>
    <w:rsid w:val="00586EA9"/>
    <w:rsid w:val="00590567"/>
    <w:rsid w:val="00590E6E"/>
    <w:rsid w:val="00591241"/>
    <w:rsid w:val="00591415"/>
    <w:rsid w:val="00591C0D"/>
    <w:rsid w:val="00592494"/>
    <w:rsid w:val="005928E8"/>
    <w:rsid w:val="00592DB2"/>
    <w:rsid w:val="00592DEC"/>
    <w:rsid w:val="005937A5"/>
    <w:rsid w:val="00593B77"/>
    <w:rsid w:val="00593C12"/>
    <w:rsid w:val="00594508"/>
    <w:rsid w:val="00594BBD"/>
    <w:rsid w:val="00594C09"/>
    <w:rsid w:val="005955A0"/>
    <w:rsid w:val="00595CF9"/>
    <w:rsid w:val="00595ED0"/>
    <w:rsid w:val="00595F5D"/>
    <w:rsid w:val="0059635F"/>
    <w:rsid w:val="00596847"/>
    <w:rsid w:val="00596B29"/>
    <w:rsid w:val="005973A3"/>
    <w:rsid w:val="00597612"/>
    <w:rsid w:val="005A0452"/>
    <w:rsid w:val="005A07FE"/>
    <w:rsid w:val="005A0AC2"/>
    <w:rsid w:val="005A0BAE"/>
    <w:rsid w:val="005A13D7"/>
    <w:rsid w:val="005A251C"/>
    <w:rsid w:val="005A29EC"/>
    <w:rsid w:val="005A2CA8"/>
    <w:rsid w:val="005A3193"/>
    <w:rsid w:val="005A505C"/>
    <w:rsid w:val="005A5223"/>
    <w:rsid w:val="005A5DD6"/>
    <w:rsid w:val="005A5FF7"/>
    <w:rsid w:val="005A606F"/>
    <w:rsid w:val="005A626F"/>
    <w:rsid w:val="005A6808"/>
    <w:rsid w:val="005A6A59"/>
    <w:rsid w:val="005A6B84"/>
    <w:rsid w:val="005A76BA"/>
    <w:rsid w:val="005A77B6"/>
    <w:rsid w:val="005A7B1E"/>
    <w:rsid w:val="005A7CB6"/>
    <w:rsid w:val="005B020B"/>
    <w:rsid w:val="005B035D"/>
    <w:rsid w:val="005B16E7"/>
    <w:rsid w:val="005B1A88"/>
    <w:rsid w:val="005B2156"/>
    <w:rsid w:val="005B288A"/>
    <w:rsid w:val="005B2EF8"/>
    <w:rsid w:val="005B2F42"/>
    <w:rsid w:val="005B3ACC"/>
    <w:rsid w:val="005B3C3B"/>
    <w:rsid w:val="005B3DC2"/>
    <w:rsid w:val="005B4427"/>
    <w:rsid w:val="005B47E5"/>
    <w:rsid w:val="005B4F6F"/>
    <w:rsid w:val="005B5242"/>
    <w:rsid w:val="005B5541"/>
    <w:rsid w:val="005B5B86"/>
    <w:rsid w:val="005B6FF4"/>
    <w:rsid w:val="005B7586"/>
    <w:rsid w:val="005B7A46"/>
    <w:rsid w:val="005B7EB0"/>
    <w:rsid w:val="005C06D7"/>
    <w:rsid w:val="005C0AE6"/>
    <w:rsid w:val="005C0F84"/>
    <w:rsid w:val="005C103B"/>
    <w:rsid w:val="005C11BD"/>
    <w:rsid w:val="005C22D2"/>
    <w:rsid w:val="005C22DD"/>
    <w:rsid w:val="005C242B"/>
    <w:rsid w:val="005C2B2A"/>
    <w:rsid w:val="005C2D3D"/>
    <w:rsid w:val="005C35F1"/>
    <w:rsid w:val="005C3D63"/>
    <w:rsid w:val="005C4118"/>
    <w:rsid w:val="005C4BF4"/>
    <w:rsid w:val="005C4D0E"/>
    <w:rsid w:val="005C5213"/>
    <w:rsid w:val="005C53E0"/>
    <w:rsid w:val="005C5D76"/>
    <w:rsid w:val="005C6659"/>
    <w:rsid w:val="005C6811"/>
    <w:rsid w:val="005C6CA4"/>
    <w:rsid w:val="005C6F57"/>
    <w:rsid w:val="005C7111"/>
    <w:rsid w:val="005D160C"/>
    <w:rsid w:val="005D1743"/>
    <w:rsid w:val="005D2927"/>
    <w:rsid w:val="005D2B87"/>
    <w:rsid w:val="005D2D65"/>
    <w:rsid w:val="005D30C3"/>
    <w:rsid w:val="005D38CB"/>
    <w:rsid w:val="005D444F"/>
    <w:rsid w:val="005D4DA1"/>
    <w:rsid w:val="005D5E43"/>
    <w:rsid w:val="005D6032"/>
    <w:rsid w:val="005D6088"/>
    <w:rsid w:val="005D6152"/>
    <w:rsid w:val="005D6C35"/>
    <w:rsid w:val="005D6E20"/>
    <w:rsid w:val="005D786B"/>
    <w:rsid w:val="005E150C"/>
    <w:rsid w:val="005E1629"/>
    <w:rsid w:val="005E1B42"/>
    <w:rsid w:val="005E1F35"/>
    <w:rsid w:val="005E22B0"/>
    <w:rsid w:val="005E29F4"/>
    <w:rsid w:val="005E2AC7"/>
    <w:rsid w:val="005E2F8C"/>
    <w:rsid w:val="005E3015"/>
    <w:rsid w:val="005E424F"/>
    <w:rsid w:val="005E4757"/>
    <w:rsid w:val="005E47DE"/>
    <w:rsid w:val="005E4A68"/>
    <w:rsid w:val="005E4F69"/>
    <w:rsid w:val="005E4F8E"/>
    <w:rsid w:val="005E5408"/>
    <w:rsid w:val="005E5530"/>
    <w:rsid w:val="005E5684"/>
    <w:rsid w:val="005E689C"/>
    <w:rsid w:val="005E6A55"/>
    <w:rsid w:val="005E6C4E"/>
    <w:rsid w:val="005E736B"/>
    <w:rsid w:val="005F022B"/>
    <w:rsid w:val="005F0FAA"/>
    <w:rsid w:val="005F17EA"/>
    <w:rsid w:val="005F1CB5"/>
    <w:rsid w:val="005F1EC3"/>
    <w:rsid w:val="005F1F9C"/>
    <w:rsid w:val="005F21DD"/>
    <w:rsid w:val="005F231A"/>
    <w:rsid w:val="005F26E9"/>
    <w:rsid w:val="005F27EE"/>
    <w:rsid w:val="005F2B5F"/>
    <w:rsid w:val="005F2ECA"/>
    <w:rsid w:val="005F305A"/>
    <w:rsid w:val="005F4482"/>
    <w:rsid w:val="005F5DAD"/>
    <w:rsid w:val="005F5E1C"/>
    <w:rsid w:val="005F6913"/>
    <w:rsid w:val="005F6B1E"/>
    <w:rsid w:val="005F6B92"/>
    <w:rsid w:val="005F6E13"/>
    <w:rsid w:val="005F79A1"/>
    <w:rsid w:val="00602034"/>
    <w:rsid w:val="006024E9"/>
    <w:rsid w:val="006027F8"/>
    <w:rsid w:val="00602C19"/>
    <w:rsid w:val="006033EE"/>
    <w:rsid w:val="006034E3"/>
    <w:rsid w:val="006037B6"/>
    <w:rsid w:val="00603C3D"/>
    <w:rsid w:val="00603DF3"/>
    <w:rsid w:val="00603E09"/>
    <w:rsid w:val="0060427B"/>
    <w:rsid w:val="0060529E"/>
    <w:rsid w:val="0060536C"/>
    <w:rsid w:val="0060542B"/>
    <w:rsid w:val="006054E8"/>
    <w:rsid w:val="006063DF"/>
    <w:rsid w:val="006063FA"/>
    <w:rsid w:val="00606926"/>
    <w:rsid w:val="00606A94"/>
    <w:rsid w:val="006075E7"/>
    <w:rsid w:val="00607FDA"/>
    <w:rsid w:val="00610089"/>
    <w:rsid w:val="006102B6"/>
    <w:rsid w:val="00610C40"/>
    <w:rsid w:val="006113B9"/>
    <w:rsid w:val="00611810"/>
    <w:rsid w:val="00611FB2"/>
    <w:rsid w:val="00612770"/>
    <w:rsid w:val="00612FDC"/>
    <w:rsid w:val="0061424E"/>
    <w:rsid w:val="006144A4"/>
    <w:rsid w:val="00614962"/>
    <w:rsid w:val="00614E20"/>
    <w:rsid w:val="00615865"/>
    <w:rsid w:val="00615886"/>
    <w:rsid w:val="00615E9E"/>
    <w:rsid w:val="00616681"/>
    <w:rsid w:val="00616DCF"/>
    <w:rsid w:val="006176DF"/>
    <w:rsid w:val="00620280"/>
    <w:rsid w:val="00620E0D"/>
    <w:rsid w:val="00621003"/>
    <w:rsid w:val="0062190C"/>
    <w:rsid w:val="00621E0F"/>
    <w:rsid w:val="00622EC1"/>
    <w:rsid w:val="006237E0"/>
    <w:rsid w:val="00623E94"/>
    <w:rsid w:val="006245A5"/>
    <w:rsid w:val="006249A7"/>
    <w:rsid w:val="00624C8A"/>
    <w:rsid w:val="006250DF"/>
    <w:rsid w:val="006250F3"/>
    <w:rsid w:val="006258B7"/>
    <w:rsid w:val="00625CF7"/>
    <w:rsid w:val="00625CFE"/>
    <w:rsid w:val="00625FC8"/>
    <w:rsid w:val="00626735"/>
    <w:rsid w:val="00626C96"/>
    <w:rsid w:val="00626FD7"/>
    <w:rsid w:val="006270FF"/>
    <w:rsid w:val="0062713C"/>
    <w:rsid w:val="006272DA"/>
    <w:rsid w:val="00627832"/>
    <w:rsid w:val="00627D8A"/>
    <w:rsid w:val="00630149"/>
    <w:rsid w:val="0063092F"/>
    <w:rsid w:val="006309FA"/>
    <w:rsid w:val="00631D53"/>
    <w:rsid w:val="0063221D"/>
    <w:rsid w:val="00633F16"/>
    <w:rsid w:val="006342AB"/>
    <w:rsid w:val="00634837"/>
    <w:rsid w:val="006349CF"/>
    <w:rsid w:val="00635377"/>
    <w:rsid w:val="00635512"/>
    <w:rsid w:val="00635BBB"/>
    <w:rsid w:val="00640A1A"/>
    <w:rsid w:val="00640DCE"/>
    <w:rsid w:val="00641B5A"/>
    <w:rsid w:val="00641C63"/>
    <w:rsid w:val="00641F66"/>
    <w:rsid w:val="006426E2"/>
    <w:rsid w:val="0064313B"/>
    <w:rsid w:val="00643AE0"/>
    <w:rsid w:val="00646022"/>
    <w:rsid w:val="006462B9"/>
    <w:rsid w:val="00646A6F"/>
    <w:rsid w:val="00646F43"/>
    <w:rsid w:val="006502FE"/>
    <w:rsid w:val="00650820"/>
    <w:rsid w:val="0065098E"/>
    <w:rsid w:val="0065197A"/>
    <w:rsid w:val="0065262E"/>
    <w:rsid w:val="0065313D"/>
    <w:rsid w:val="00654198"/>
    <w:rsid w:val="00654399"/>
    <w:rsid w:val="00654FD6"/>
    <w:rsid w:val="00655013"/>
    <w:rsid w:val="00655095"/>
    <w:rsid w:val="006550AD"/>
    <w:rsid w:val="00655CFA"/>
    <w:rsid w:val="00656412"/>
    <w:rsid w:val="00656E6E"/>
    <w:rsid w:val="0065797F"/>
    <w:rsid w:val="006606B7"/>
    <w:rsid w:val="00660E91"/>
    <w:rsid w:val="006610D8"/>
    <w:rsid w:val="0066182A"/>
    <w:rsid w:val="0066203D"/>
    <w:rsid w:val="0066260F"/>
    <w:rsid w:val="006642AA"/>
    <w:rsid w:val="00664392"/>
    <w:rsid w:val="00664CAB"/>
    <w:rsid w:val="00664E19"/>
    <w:rsid w:val="006652E2"/>
    <w:rsid w:val="00665E6F"/>
    <w:rsid w:val="00665F00"/>
    <w:rsid w:val="006661CF"/>
    <w:rsid w:val="0066674A"/>
    <w:rsid w:val="00666CEC"/>
    <w:rsid w:val="00666E33"/>
    <w:rsid w:val="00667004"/>
    <w:rsid w:val="0066789E"/>
    <w:rsid w:val="00667C1D"/>
    <w:rsid w:val="00667D2B"/>
    <w:rsid w:val="0067017C"/>
    <w:rsid w:val="00670A30"/>
    <w:rsid w:val="00670A68"/>
    <w:rsid w:val="00670DC8"/>
    <w:rsid w:val="00671E04"/>
    <w:rsid w:val="006730FB"/>
    <w:rsid w:val="006732F7"/>
    <w:rsid w:val="0067368A"/>
    <w:rsid w:val="00673885"/>
    <w:rsid w:val="006741C0"/>
    <w:rsid w:val="006749B3"/>
    <w:rsid w:val="00674CF5"/>
    <w:rsid w:val="0067577D"/>
    <w:rsid w:val="00675A9C"/>
    <w:rsid w:val="00675DC4"/>
    <w:rsid w:val="00675E17"/>
    <w:rsid w:val="0067609D"/>
    <w:rsid w:val="006768D5"/>
    <w:rsid w:val="00676922"/>
    <w:rsid w:val="00676DA7"/>
    <w:rsid w:val="0067755A"/>
    <w:rsid w:val="006777A1"/>
    <w:rsid w:val="00677B52"/>
    <w:rsid w:val="00677BE3"/>
    <w:rsid w:val="00677C81"/>
    <w:rsid w:val="006809AF"/>
    <w:rsid w:val="00680C16"/>
    <w:rsid w:val="00681FC6"/>
    <w:rsid w:val="00682824"/>
    <w:rsid w:val="00683027"/>
    <w:rsid w:val="0068305C"/>
    <w:rsid w:val="00683260"/>
    <w:rsid w:val="006835E5"/>
    <w:rsid w:val="00683642"/>
    <w:rsid w:val="00683F20"/>
    <w:rsid w:val="0068400E"/>
    <w:rsid w:val="00684078"/>
    <w:rsid w:val="00684313"/>
    <w:rsid w:val="0068442A"/>
    <w:rsid w:val="00684573"/>
    <w:rsid w:val="006847DF"/>
    <w:rsid w:val="00685558"/>
    <w:rsid w:val="00685684"/>
    <w:rsid w:val="00686767"/>
    <w:rsid w:val="00686CD9"/>
    <w:rsid w:val="006870C8"/>
    <w:rsid w:val="006875BD"/>
    <w:rsid w:val="00687728"/>
    <w:rsid w:val="006878BD"/>
    <w:rsid w:val="00687F05"/>
    <w:rsid w:val="00691BE4"/>
    <w:rsid w:val="00692785"/>
    <w:rsid w:val="00692844"/>
    <w:rsid w:val="00693418"/>
    <w:rsid w:val="00693702"/>
    <w:rsid w:val="00693A56"/>
    <w:rsid w:val="00693ADA"/>
    <w:rsid w:val="006944B7"/>
    <w:rsid w:val="00696ABE"/>
    <w:rsid w:val="00696B62"/>
    <w:rsid w:val="00696FF7"/>
    <w:rsid w:val="006970F4"/>
    <w:rsid w:val="0069731D"/>
    <w:rsid w:val="00697DEB"/>
    <w:rsid w:val="006A0651"/>
    <w:rsid w:val="006A0B56"/>
    <w:rsid w:val="006A14E4"/>
    <w:rsid w:val="006A161D"/>
    <w:rsid w:val="006A265A"/>
    <w:rsid w:val="006A298C"/>
    <w:rsid w:val="006A2A20"/>
    <w:rsid w:val="006A2C91"/>
    <w:rsid w:val="006A36B2"/>
    <w:rsid w:val="006A4465"/>
    <w:rsid w:val="006A487E"/>
    <w:rsid w:val="006A48C6"/>
    <w:rsid w:val="006A4CF7"/>
    <w:rsid w:val="006A5590"/>
    <w:rsid w:val="006A6B73"/>
    <w:rsid w:val="006A727F"/>
    <w:rsid w:val="006A754C"/>
    <w:rsid w:val="006B00E7"/>
    <w:rsid w:val="006B02E5"/>
    <w:rsid w:val="006B07F7"/>
    <w:rsid w:val="006B0A1A"/>
    <w:rsid w:val="006B11AC"/>
    <w:rsid w:val="006B13DC"/>
    <w:rsid w:val="006B15C3"/>
    <w:rsid w:val="006B17A3"/>
    <w:rsid w:val="006B1E74"/>
    <w:rsid w:val="006B2779"/>
    <w:rsid w:val="006B359A"/>
    <w:rsid w:val="006B35A1"/>
    <w:rsid w:val="006B369C"/>
    <w:rsid w:val="006B3B36"/>
    <w:rsid w:val="006B3E22"/>
    <w:rsid w:val="006B3E9E"/>
    <w:rsid w:val="006B62E1"/>
    <w:rsid w:val="006B6315"/>
    <w:rsid w:val="006B6B2B"/>
    <w:rsid w:val="006B72AE"/>
    <w:rsid w:val="006B7E97"/>
    <w:rsid w:val="006C0DFF"/>
    <w:rsid w:val="006C0FD8"/>
    <w:rsid w:val="006C2037"/>
    <w:rsid w:val="006C263D"/>
    <w:rsid w:val="006C287F"/>
    <w:rsid w:val="006C3056"/>
    <w:rsid w:val="006C3554"/>
    <w:rsid w:val="006C392D"/>
    <w:rsid w:val="006C448A"/>
    <w:rsid w:val="006C47C0"/>
    <w:rsid w:val="006C493A"/>
    <w:rsid w:val="006C54E8"/>
    <w:rsid w:val="006C58E1"/>
    <w:rsid w:val="006C58E8"/>
    <w:rsid w:val="006C652F"/>
    <w:rsid w:val="006C6A00"/>
    <w:rsid w:val="006C6BA9"/>
    <w:rsid w:val="006C6D6F"/>
    <w:rsid w:val="006C6E9C"/>
    <w:rsid w:val="006C7791"/>
    <w:rsid w:val="006C781A"/>
    <w:rsid w:val="006C7DDA"/>
    <w:rsid w:val="006D165E"/>
    <w:rsid w:val="006D2ADE"/>
    <w:rsid w:val="006D2B8B"/>
    <w:rsid w:val="006D2D44"/>
    <w:rsid w:val="006D2D90"/>
    <w:rsid w:val="006D2DA1"/>
    <w:rsid w:val="006D2E85"/>
    <w:rsid w:val="006D2EDA"/>
    <w:rsid w:val="006D324F"/>
    <w:rsid w:val="006D37C8"/>
    <w:rsid w:val="006D3BBF"/>
    <w:rsid w:val="006D4A7E"/>
    <w:rsid w:val="006D5155"/>
    <w:rsid w:val="006D521E"/>
    <w:rsid w:val="006D55E2"/>
    <w:rsid w:val="006D57C5"/>
    <w:rsid w:val="006D6929"/>
    <w:rsid w:val="006D6C97"/>
    <w:rsid w:val="006D6D75"/>
    <w:rsid w:val="006D6FDB"/>
    <w:rsid w:val="006D792C"/>
    <w:rsid w:val="006E008C"/>
    <w:rsid w:val="006E00E9"/>
    <w:rsid w:val="006E0284"/>
    <w:rsid w:val="006E049A"/>
    <w:rsid w:val="006E0705"/>
    <w:rsid w:val="006E095D"/>
    <w:rsid w:val="006E10DC"/>
    <w:rsid w:val="006E11F5"/>
    <w:rsid w:val="006E1840"/>
    <w:rsid w:val="006E1CCB"/>
    <w:rsid w:val="006E22A5"/>
    <w:rsid w:val="006E2FF4"/>
    <w:rsid w:val="006E325D"/>
    <w:rsid w:val="006E3982"/>
    <w:rsid w:val="006E39E7"/>
    <w:rsid w:val="006E3EE4"/>
    <w:rsid w:val="006E497C"/>
    <w:rsid w:val="006E49C8"/>
    <w:rsid w:val="006E5357"/>
    <w:rsid w:val="006E5410"/>
    <w:rsid w:val="006E54F0"/>
    <w:rsid w:val="006E5FB0"/>
    <w:rsid w:val="006E686F"/>
    <w:rsid w:val="006E6A06"/>
    <w:rsid w:val="006E6B63"/>
    <w:rsid w:val="006E6CE7"/>
    <w:rsid w:val="006E707F"/>
    <w:rsid w:val="006E7DEC"/>
    <w:rsid w:val="006F1081"/>
    <w:rsid w:val="006F15C5"/>
    <w:rsid w:val="006F16C3"/>
    <w:rsid w:val="006F269E"/>
    <w:rsid w:val="006F32CA"/>
    <w:rsid w:val="006F32E8"/>
    <w:rsid w:val="006F3840"/>
    <w:rsid w:val="006F3C30"/>
    <w:rsid w:val="006F3D92"/>
    <w:rsid w:val="006F4810"/>
    <w:rsid w:val="006F49C6"/>
    <w:rsid w:val="006F4BB0"/>
    <w:rsid w:val="006F55F8"/>
    <w:rsid w:val="006F5E3A"/>
    <w:rsid w:val="006F655B"/>
    <w:rsid w:val="006F67BB"/>
    <w:rsid w:val="006F70B9"/>
    <w:rsid w:val="006F71DA"/>
    <w:rsid w:val="006F7791"/>
    <w:rsid w:val="007004E7"/>
    <w:rsid w:val="00700699"/>
    <w:rsid w:val="0070085D"/>
    <w:rsid w:val="0070182E"/>
    <w:rsid w:val="00702B1A"/>
    <w:rsid w:val="00703455"/>
    <w:rsid w:val="0070373E"/>
    <w:rsid w:val="00703C4C"/>
    <w:rsid w:val="00703FA9"/>
    <w:rsid w:val="0070407A"/>
    <w:rsid w:val="007041DD"/>
    <w:rsid w:val="00704DD6"/>
    <w:rsid w:val="007051E7"/>
    <w:rsid w:val="00705333"/>
    <w:rsid w:val="007057B3"/>
    <w:rsid w:val="007067C2"/>
    <w:rsid w:val="007068E6"/>
    <w:rsid w:val="00706C7D"/>
    <w:rsid w:val="0070745C"/>
    <w:rsid w:val="007077DD"/>
    <w:rsid w:val="007079EF"/>
    <w:rsid w:val="00707F7A"/>
    <w:rsid w:val="0071096E"/>
    <w:rsid w:val="00710FC1"/>
    <w:rsid w:val="00711560"/>
    <w:rsid w:val="007115CC"/>
    <w:rsid w:val="00711614"/>
    <w:rsid w:val="0071186E"/>
    <w:rsid w:val="0071237D"/>
    <w:rsid w:val="0071252A"/>
    <w:rsid w:val="00712A6C"/>
    <w:rsid w:val="0071375B"/>
    <w:rsid w:val="007139A9"/>
    <w:rsid w:val="00713B38"/>
    <w:rsid w:val="00713DE9"/>
    <w:rsid w:val="007148A9"/>
    <w:rsid w:val="00714D61"/>
    <w:rsid w:val="00715335"/>
    <w:rsid w:val="00715EBD"/>
    <w:rsid w:val="007161BE"/>
    <w:rsid w:val="007162A3"/>
    <w:rsid w:val="007201DD"/>
    <w:rsid w:val="007207E0"/>
    <w:rsid w:val="00720DFC"/>
    <w:rsid w:val="00720E6C"/>
    <w:rsid w:val="00721131"/>
    <w:rsid w:val="00721B08"/>
    <w:rsid w:val="00721E5B"/>
    <w:rsid w:val="00722534"/>
    <w:rsid w:val="00722D29"/>
    <w:rsid w:val="00722E54"/>
    <w:rsid w:val="00722FC2"/>
    <w:rsid w:val="0072327A"/>
    <w:rsid w:val="0072336C"/>
    <w:rsid w:val="00723381"/>
    <w:rsid w:val="007237CA"/>
    <w:rsid w:val="00723CF3"/>
    <w:rsid w:val="00723D00"/>
    <w:rsid w:val="00724727"/>
    <w:rsid w:val="00724C21"/>
    <w:rsid w:val="00724DDD"/>
    <w:rsid w:val="00724E58"/>
    <w:rsid w:val="00724EEA"/>
    <w:rsid w:val="00725A5E"/>
    <w:rsid w:val="00725E72"/>
    <w:rsid w:val="007266E2"/>
    <w:rsid w:val="00726BB0"/>
    <w:rsid w:val="00726D3C"/>
    <w:rsid w:val="00726F7E"/>
    <w:rsid w:val="00727591"/>
    <w:rsid w:val="00727E3F"/>
    <w:rsid w:val="00730301"/>
    <w:rsid w:val="007308C6"/>
    <w:rsid w:val="0073095C"/>
    <w:rsid w:val="00731059"/>
    <w:rsid w:val="007311E5"/>
    <w:rsid w:val="00731ABA"/>
    <w:rsid w:val="00731FAA"/>
    <w:rsid w:val="00732E1C"/>
    <w:rsid w:val="00733864"/>
    <w:rsid w:val="00733DDF"/>
    <w:rsid w:val="00734876"/>
    <w:rsid w:val="00734FE3"/>
    <w:rsid w:val="00735216"/>
    <w:rsid w:val="00735414"/>
    <w:rsid w:val="00735419"/>
    <w:rsid w:val="007354F6"/>
    <w:rsid w:val="00735A25"/>
    <w:rsid w:val="00735B0E"/>
    <w:rsid w:val="00736999"/>
    <w:rsid w:val="00736D5A"/>
    <w:rsid w:val="00737228"/>
    <w:rsid w:val="0073794E"/>
    <w:rsid w:val="00737995"/>
    <w:rsid w:val="00737B78"/>
    <w:rsid w:val="00737DCB"/>
    <w:rsid w:val="0074020E"/>
    <w:rsid w:val="00740918"/>
    <w:rsid w:val="007412BE"/>
    <w:rsid w:val="00741482"/>
    <w:rsid w:val="0074222F"/>
    <w:rsid w:val="0074253B"/>
    <w:rsid w:val="00743672"/>
    <w:rsid w:val="00743A52"/>
    <w:rsid w:val="00743A9B"/>
    <w:rsid w:val="00743FA2"/>
    <w:rsid w:val="00743FEE"/>
    <w:rsid w:val="0074539F"/>
    <w:rsid w:val="007455BF"/>
    <w:rsid w:val="00745610"/>
    <w:rsid w:val="0074579F"/>
    <w:rsid w:val="00745AC9"/>
    <w:rsid w:val="00745BFA"/>
    <w:rsid w:val="00745CFC"/>
    <w:rsid w:val="007460F9"/>
    <w:rsid w:val="0074656D"/>
    <w:rsid w:val="00746C5E"/>
    <w:rsid w:val="00747518"/>
    <w:rsid w:val="007475D6"/>
    <w:rsid w:val="0074760C"/>
    <w:rsid w:val="00750095"/>
    <w:rsid w:val="007503C2"/>
    <w:rsid w:val="007504A7"/>
    <w:rsid w:val="0075068B"/>
    <w:rsid w:val="00751150"/>
    <w:rsid w:val="007515C4"/>
    <w:rsid w:val="00751AA3"/>
    <w:rsid w:val="00752216"/>
    <w:rsid w:val="00752FD9"/>
    <w:rsid w:val="00753003"/>
    <w:rsid w:val="00753225"/>
    <w:rsid w:val="007539FD"/>
    <w:rsid w:val="00753AA5"/>
    <w:rsid w:val="00754620"/>
    <w:rsid w:val="00754F3A"/>
    <w:rsid w:val="007550C2"/>
    <w:rsid w:val="007553D2"/>
    <w:rsid w:val="00756146"/>
    <w:rsid w:val="0075637A"/>
    <w:rsid w:val="00756434"/>
    <w:rsid w:val="007565FD"/>
    <w:rsid w:val="00756921"/>
    <w:rsid w:val="00756A0E"/>
    <w:rsid w:val="00756D62"/>
    <w:rsid w:val="0076026D"/>
    <w:rsid w:val="0076099D"/>
    <w:rsid w:val="007609DA"/>
    <w:rsid w:val="00760F86"/>
    <w:rsid w:val="0076167B"/>
    <w:rsid w:val="00761915"/>
    <w:rsid w:val="00761AC4"/>
    <w:rsid w:val="00761AF2"/>
    <w:rsid w:val="0076246A"/>
    <w:rsid w:val="0076253F"/>
    <w:rsid w:val="00762BB1"/>
    <w:rsid w:val="00762ECB"/>
    <w:rsid w:val="00763536"/>
    <w:rsid w:val="00763A5C"/>
    <w:rsid w:val="00763A6F"/>
    <w:rsid w:val="00763A78"/>
    <w:rsid w:val="00763FDB"/>
    <w:rsid w:val="00764284"/>
    <w:rsid w:val="0076457A"/>
    <w:rsid w:val="00764717"/>
    <w:rsid w:val="007658FD"/>
    <w:rsid w:val="00766776"/>
    <w:rsid w:val="007669C5"/>
    <w:rsid w:val="00766F0D"/>
    <w:rsid w:val="0077050C"/>
    <w:rsid w:val="0077074A"/>
    <w:rsid w:val="00770857"/>
    <w:rsid w:val="00770C12"/>
    <w:rsid w:val="00771AE9"/>
    <w:rsid w:val="00771C08"/>
    <w:rsid w:val="0077286A"/>
    <w:rsid w:val="00772FC2"/>
    <w:rsid w:val="00773113"/>
    <w:rsid w:val="00773DD5"/>
    <w:rsid w:val="007751C5"/>
    <w:rsid w:val="007767F0"/>
    <w:rsid w:val="00776AF7"/>
    <w:rsid w:val="007775B2"/>
    <w:rsid w:val="00777760"/>
    <w:rsid w:val="00777DA5"/>
    <w:rsid w:val="007801A1"/>
    <w:rsid w:val="007803D8"/>
    <w:rsid w:val="007803EB"/>
    <w:rsid w:val="00780C6F"/>
    <w:rsid w:val="00780CC1"/>
    <w:rsid w:val="007813DE"/>
    <w:rsid w:val="0078170D"/>
    <w:rsid w:val="00781FE2"/>
    <w:rsid w:val="00782C59"/>
    <w:rsid w:val="0078364E"/>
    <w:rsid w:val="00783900"/>
    <w:rsid w:val="00784146"/>
    <w:rsid w:val="007849DE"/>
    <w:rsid w:val="00784AE7"/>
    <w:rsid w:val="00784C71"/>
    <w:rsid w:val="00785693"/>
    <w:rsid w:val="00785942"/>
    <w:rsid w:val="00785C99"/>
    <w:rsid w:val="00785ECE"/>
    <w:rsid w:val="00786113"/>
    <w:rsid w:val="007865E1"/>
    <w:rsid w:val="00787226"/>
    <w:rsid w:val="00787550"/>
    <w:rsid w:val="00787E37"/>
    <w:rsid w:val="00790470"/>
    <w:rsid w:val="00790834"/>
    <w:rsid w:val="00791127"/>
    <w:rsid w:val="007916FB"/>
    <w:rsid w:val="00791B5E"/>
    <w:rsid w:val="007920FD"/>
    <w:rsid w:val="00792225"/>
    <w:rsid w:val="007927E6"/>
    <w:rsid w:val="007936D7"/>
    <w:rsid w:val="00793DED"/>
    <w:rsid w:val="007945D0"/>
    <w:rsid w:val="00794F44"/>
    <w:rsid w:val="00795340"/>
    <w:rsid w:val="007960E6"/>
    <w:rsid w:val="00796502"/>
    <w:rsid w:val="00797581"/>
    <w:rsid w:val="0079789B"/>
    <w:rsid w:val="00797CC1"/>
    <w:rsid w:val="00797F81"/>
    <w:rsid w:val="007A07DA"/>
    <w:rsid w:val="007A0857"/>
    <w:rsid w:val="007A0A57"/>
    <w:rsid w:val="007A0AB0"/>
    <w:rsid w:val="007A1A51"/>
    <w:rsid w:val="007A1A7D"/>
    <w:rsid w:val="007A1B67"/>
    <w:rsid w:val="007A1B7B"/>
    <w:rsid w:val="007A1D87"/>
    <w:rsid w:val="007A20EE"/>
    <w:rsid w:val="007A24C0"/>
    <w:rsid w:val="007A30D5"/>
    <w:rsid w:val="007A3CEA"/>
    <w:rsid w:val="007A40F8"/>
    <w:rsid w:val="007A4131"/>
    <w:rsid w:val="007A4183"/>
    <w:rsid w:val="007A47A7"/>
    <w:rsid w:val="007A5514"/>
    <w:rsid w:val="007A55D0"/>
    <w:rsid w:val="007A6286"/>
    <w:rsid w:val="007A63CA"/>
    <w:rsid w:val="007A65E3"/>
    <w:rsid w:val="007A6CE4"/>
    <w:rsid w:val="007A6F9E"/>
    <w:rsid w:val="007A78B6"/>
    <w:rsid w:val="007A78D4"/>
    <w:rsid w:val="007A7CFE"/>
    <w:rsid w:val="007B0194"/>
    <w:rsid w:val="007B02CF"/>
    <w:rsid w:val="007B092C"/>
    <w:rsid w:val="007B0CC1"/>
    <w:rsid w:val="007B14FF"/>
    <w:rsid w:val="007B1B29"/>
    <w:rsid w:val="007B1B9F"/>
    <w:rsid w:val="007B1EBC"/>
    <w:rsid w:val="007B3B40"/>
    <w:rsid w:val="007B3D42"/>
    <w:rsid w:val="007B49D3"/>
    <w:rsid w:val="007B4CD6"/>
    <w:rsid w:val="007B5406"/>
    <w:rsid w:val="007B5BD9"/>
    <w:rsid w:val="007B5CBE"/>
    <w:rsid w:val="007B5F7E"/>
    <w:rsid w:val="007B6310"/>
    <w:rsid w:val="007B63DE"/>
    <w:rsid w:val="007B68A0"/>
    <w:rsid w:val="007B6935"/>
    <w:rsid w:val="007B6AB2"/>
    <w:rsid w:val="007B6ACC"/>
    <w:rsid w:val="007B6CBB"/>
    <w:rsid w:val="007B6D8F"/>
    <w:rsid w:val="007B6EFB"/>
    <w:rsid w:val="007B6FC6"/>
    <w:rsid w:val="007C04CD"/>
    <w:rsid w:val="007C0F4A"/>
    <w:rsid w:val="007C1570"/>
    <w:rsid w:val="007C15CA"/>
    <w:rsid w:val="007C1A4A"/>
    <w:rsid w:val="007C1E88"/>
    <w:rsid w:val="007C1F4B"/>
    <w:rsid w:val="007C202A"/>
    <w:rsid w:val="007C21BB"/>
    <w:rsid w:val="007C2B34"/>
    <w:rsid w:val="007C2F4B"/>
    <w:rsid w:val="007C31A9"/>
    <w:rsid w:val="007C32AE"/>
    <w:rsid w:val="007C3727"/>
    <w:rsid w:val="007C38A9"/>
    <w:rsid w:val="007C5080"/>
    <w:rsid w:val="007C56C8"/>
    <w:rsid w:val="007C5A41"/>
    <w:rsid w:val="007C5AFE"/>
    <w:rsid w:val="007C648E"/>
    <w:rsid w:val="007D08A6"/>
    <w:rsid w:val="007D1093"/>
    <w:rsid w:val="007D1A6E"/>
    <w:rsid w:val="007D23BD"/>
    <w:rsid w:val="007D27FD"/>
    <w:rsid w:val="007D2C93"/>
    <w:rsid w:val="007D2D09"/>
    <w:rsid w:val="007D2E75"/>
    <w:rsid w:val="007D3044"/>
    <w:rsid w:val="007D34BB"/>
    <w:rsid w:val="007D3ABE"/>
    <w:rsid w:val="007D3BC3"/>
    <w:rsid w:val="007D3F9B"/>
    <w:rsid w:val="007D3FB8"/>
    <w:rsid w:val="007D41B7"/>
    <w:rsid w:val="007D4F90"/>
    <w:rsid w:val="007D5352"/>
    <w:rsid w:val="007D547A"/>
    <w:rsid w:val="007D55D0"/>
    <w:rsid w:val="007D593F"/>
    <w:rsid w:val="007D5A3D"/>
    <w:rsid w:val="007D6394"/>
    <w:rsid w:val="007D644F"/>
    <w:rsid w:val="007D6A03"/>
    <w:rsid w:val="007D718C"/>
    <w:rsid w:val="007E005D"/>
    <w:rsid w:val="007E09F3"/>
    <w:rsid w:val="007E0E65"/>
    <w:rsid w:val="007E0F98"/>
    <w:rsid w:val="007E1199"/>
    <w:rsid w:val="007E13A4"/>
    <w:rsid w:val="007E1694"/>
    <w:rsid w:val="007E2314"/>
    <w:rsid w:val="007E26DA"/>
    <w:rsid w:val="007E2C31"/>
    <w:rsid w:val="007E2D13"/>
    <w:rsid w:val="007E30C8"/>
    <w:rsid w:val="007E36FC"/>
    <w:rsid w:val="007E37EA"/>
    <w:rsid w:val="007E3EE7"/>
    <w:rsid w:val="007E440F"/>
    <w:rsid w:val="007E443F"/>
    <w:rsid w:val="007E4ABE"/>
    <w:rsid w:val="007E5018"/>
    <w:rsid w:val="007E5219"/>
    <w:rsid w:val="007E564E"/>
    <w:rsid w:val="007E5BC8"/>
    <w:rsid w:val="007E62DC"/>
    <w:rsid w:val="007E6967"/>
    <w:rsid w:val="007E6F5A"/>
    <w:rsid w:val="007E73A8"/>
    <w:rsid w:val="007E794B"/>
    <w:rsid w:val="007E7997"/>
    <w:rsid w:val="007E7B90"/>
    <w:rsid w:val="007E7C0C"/>
    <w:rsid w:val="007E7F81"/>
    <w:rsid w:val="007F01D7"/>
    <w:rsid w:val="007F041D"/>
    <w:rsid w:val="007F069C"/>
    <w:rsid w:val="007F1054"/>
    <w:rsid w:val="007F1C46"/>
    <w:rsid w:val="007F217F"/>
    <w:rsid w:val="007F2A1D"/>
    <w:rsid w:val="007F316E"/>
    <w:rsid w:val="007F3188"/>
    <w:rsid w:val="007F32D5"/>
    <w:rsid w:val="007F33DA"/>
    <w:rsid w:val="007F3406"/>
    <w:rsid w:val="007F3B0E"/>
    <w:rsid w:val="007F42B2"/>
    <w:rsid w:val="007F4447"/>
    <w:rsid w:val="007F4633"/>
    <w:rsid w:val="007F4792"/>
    <w:rsid w:val="007F4C93"/>
    <w:rsid w:val="007F4D5C"/>
    <w:rsid w:val="007F4D7C"/>
    <w:rsid w:val="007F556C"/>
    <w:rsid w:val="007F7B78"/>
    <w:rsid w:val="007F7D54"/>
    <w:rsid w:val="007F7DEA"/>
    <w:rsid w:val="00800268"/>
    <w:rsid w:val="00800581"/>
    <w:rsid w:val="00800B80"/>
    <w:rsid w:val="0080121F"/>
    <w:rsid w:val="008014A0"/>
    <w:rsid w:val="00801EA3"/>
    <w:rsid w:val="00801FED"/>
    <w:rsid w:val="008024C9"/>
    <w:rsid w:val="00802A97"/>
    <w:rsid w:val="00802B24"/>
    <w:rsid w:val="00802C7A"/>
    <w:rsid w:val="0080301C"/>
    <w:rsid w:val="008036DD"/>
    <w:rsid w:val="0080483D"/>
    <w:rsid w:val="008049A4"/>
    <w:rsid w:val="00805F8E"/>
    <w:rsid w:val="00806181"/>
    <w:rsid w:val="00806275"/>
    <w:rsid w:val="0080670D"/>
    <w:rsid w:val="00806A4A"/>
    <w:rsid w:val="00806CCE"/>
    <w:rsid w:val="00806E3D"/>
    <w:rsid w:val="0080758E"/>
    <w:rsid w:val="0080799F"/>
    <w:rsid w:val="00807BDC"/>
    <w:rsid w:val="00810259"/>
    <w:rsid w:val="00810F37"/>
    <w:rsid w:val="008116AD"/>
    <w:rsid w:val="00811971"/>
    <w:rsid w:val="00811EF2"/>
    <w:rsid w:val="0081290D"/>
    <w:rsid w:val="00812DD9"/>
    <w:rsid w:val="0081303C"/>
    <w:rsid w:val="00814336"/>
    <w:rsid w:val="00814EE6"/>
    <w:rsid w:val="00815465"/>
    <w:rsid w:val="00815828"/>
    <w:rsid w:val="00815A6C"/>
    <w:rsid w:val="00817AB8"/>
    <w:rsid w:val="008200F3"/>
    <w:rsid w:val="008202BA"/>
    <w:rsid w:val="008206F7"/>
    <w:rsid w:val="0082074A"/>
    <w:rsid w:val="00820C4C"/>
    <w:rsid w:val="00820F08"/>
    <w:rsid w:val="00821537"/>
    <w:rsid w:val="00821CF2"/>
    <w:rsid w:val="008228CB"/>
    <w:rsid w:val="0082351D"/>
    <w:rsid w:val="00823884"/>
    <w:rsid w:val="00823B8A"/>
    <w:rsid w:val="00823CBE"/>
    <w:rsid w:val="0082470B"/>
    <w:rsid w:val="00824BB3"/>
    <w:rsid w:val="008253EB"/>
    <w:rsid w:val="008254F0"/>
    <w:rsid w:val="0082597F"/>
    <w:rsid w:val="00825FA9"/>
    <w:rsid w:val="0082699C"/>
    <w:rsid w:val="00826B02"/>
    <w:rsid w:val="00826CC4"/>
    <w:rsid w:val="00826D2D"/>
    <w:rsid w:val="00826DE7"/>
    <w:rsid w:val="008276D7"/>
    <w:rsid w:val="00827B74"/>
    <w:rsid w:val="00827F84"/>
    <w:rsid w:val="00830169"/>
    <w:rsid w:val="00830233"/>
    <w:rsid w:val="00830332"/>
    <w:rsid w:val="00830519"/>
    <w:rsid w:val="00830A13"/>
    <w:rsid w:val="00832BD8"/>
    <w:rsid w:val="008334C8"/>
    <w:rsid w:val="008342EA"/>
    <w:rsid w:val="008356E6"/>
    <w:rsid w:val="008363E5"/>
    <w:rsid w:val="0083654A"/>
    <w:rsid w:val="00836831"/>
    <w:rsid w:val="008376FA"/>
    <w:rsid w:val="0084028F"/>
    <w:rsid w:val="008403C8"/>
    <w:rsid w:val="00840634"/>
    <w:rsid w:val="00840B18"/>
    <w:rsid w:val="008410C1"/>
    <w:rsid w:val="008415CD"/>
    <w:rsid w:val="008418DA"/>
    <w:rsid w:val="00841EB2"/>
    <w:rsid w:val="00842008"/>
    <w:rsid w:val="008424DD"/>
    <w:rsid w:val="00842936"/>
    <w:rsid w:val="00842A29"/>
    <w:rsid w:val="00842E62"/>
    <w:rsid w:val="00843114"/>
    <w:rsid w:val="0084415E"/>
    <w:rsid w:val="008446E6"/>
    <w:rsid w:val="00844AC8"/>
    <w:rsid w:val="00844C0B"/>
    <w:rsid w:val="00845A9A"/>
    <w:rsid w:val="00845AF5"/>
    <w:rsid w:val="00845F94"/>
    <w:rsid w:val="00846F83"/>
    <w:rsid w:val="00846FA6"/>
    <w:rsid w:val="008470C6"/>
    <w:rsid w:val="00850012"/>
    <w:rsid w:val="00850056"/>
    <w:rsid w:val="00850151"/>
    <w:rsid w:val="0085041A"/>
    <w:rsid w:val="0085119E"/>
    <w:rsid w:val="008523FF"/>
    <w:rsid w:val="00852A2E"/>
    <w:rsid w:val="00853707"/>
    <w:rsid w:val="00853A15"/>
    <w:rsid w:val="00854370"/>
    <w:rsid w:val="00854A72"/>
    <w:rsid w:val="00854C4E"/>
    <w:rsid w:val="00854FDF"/>
    <w:rsid w:val="008552D3"/>
    <w:rsid w:val="008560FF"/>
    <w:rsid w:val="00857E33"/>
    <w:rsid w:val="008617F8"/>
    <w:rsid w:val="008618AC"/>
    <w:rsid w:val="00861AFD"/>
    <w:rsid w:val="008620A1"/>
    <w:rsid w:val="008622E9"/>
    <w:rsid w:val="0086238C"/>
    <w:rsid w:val="008628E8"/>
    <w:rsid w:val="008629E1"/>
    <w:rsid w:val="008632BB"/>
    <w:rsid w:val="00863951"/>
    <w:rsid w:val="00863D38"/>
    <w:rsid w:val="00863D60"/>
    <w:rsid w:val="00864FF1"/>
    <w:rsid w:val="008651B8"/>
    <w:rsid w:val="00865222"/>
    <w:rsid w:val="008658D7"/>
    <w:rsid w:val="00865D92"/>
    <w:rsid w:val="00865EC8"/>
    <w:rsid w:val="00866463"/>
    <w:rsid w:val="008667AD"/>
    <w:rsid w:val="00867248"/>
    <w:rsid w:val="00867310"/>
    <w:rsid w:val="008705CD"/>
    <w:rsid w:val="00870931"/>
    <w:rsid w:val="00870F09"/>
    <w:rsid w:val="0087187C"/>
    <w:rsid w:val="008729D5"/>
    <w:rsid w:val="008729D8"/>
    <w:rsid w:val="00872D0F"/>
    <w:rsid w:val="00872FFC"/>
    <w:rsid w:val="00873017"/>
    <w:rsid w:val="0087354E"/>
    <w:rsid w:val="00874146"/>
    <w:rsid w:val="00874A44"/>
    <w:rsid w:val="00875D27"/>
    <w:rsid w:val="008764D7"/>
    <w:rsid w:val="00876708"/>
    <w:rsid w:val="0087673D"/>
    <w:rsid w:val="00876ACC"/>
    <w:rsid w:val="00876ECD"/>
    <w:rsid w:val="00876FEC"/>
    <w:rsid w:val="0087720D"/>
    <w:rsid w:val="00877C17"/>
    <w:rsid w:val="00877EA7"/>
    <w:rsid w:val="00880317"/>
    <w:rsid w:val="00880332"/>
    <w:rsid w:val="00880678"/>
    <w:rsid w:val="008806FA"/>
    <w:rsid w:val="00880F47"/>
    <w:rsid w:val="00881134"/>
    <w:rsid w:val="00881921"/>
    <w:rsid w:val="00881B6F"/>
    <w:rsid w:val="008820C5"/>
    <w:rsid w:val="0088282D"/>
    <w:rsid w:val="00882E17"/>
    <w:rsid w:val="0088335B"/>
    <w:rsid w:val="0088341E"/>
    <w:rsid w:val="008838D4"/>
    <w:rsid w:val="00883B2E"/>
    <w:rsid w:val="0088408E"/>
    <w:rsid w:val="00884935"/>
    <w:rsid w:val="00884F29"/>
    <w:rsid w:val="0088504F"/>
    <w:rsid w:val="0088506F"/>
    <w:rsid w:val="00885977"/>
    <w:rsid w:val="008859AD"/>
    <w:rsid w:val="00885AFB"/>
    <w:rsid w:val="00885B11"/>
    <w:rsid w:val="00886179"/>
    <w:rsid w:val="00886A7E"/>
    <w:rsid w:val="00886AF5"/>
    <w:rsid w:val="00886E1C"/>
    <w:rsid w:val="00887200"/>
    <w:rsid w:val="008873D3"/>
    <w:rsid w:val="008873F5"/>
    <w:rsid w:val="00887808"/>
    <w:rsid w:val="00887C77"/>
    <w:rsid w:val="00887D8B"/>
    <w:rsid w:val="008901CF"/>
    <w:rsid w:val="00890292"/>
    <w:rsid w:val="00890EA6"/>
    <w:rsid w:val="008910F8"/>
    <w:rsid w:val="0089177A"/>
    <w:rsid w:val="00891D40"/>
    <w:rsid w:val="00892DF1"/>
    <w:rsid w:val="00893001"/>
    <w:rsid w:val="00893201"/>
    <w:rsid w:val="008939C1"/>
    <w:rsid w:val="00894991"/>
    <w:rsid w:val="00894B67"/>
    <w:rsid w:val="00894C18"/>
    <w:rsid w:val="00894D50"/>
    <w:rsid w:val="00895129"/>
    <w:rsid w:val="00895376"/>
    <w:rsid w:val="008959C9"/>
    <w:rsid w:val="00895B2D"/>
    <w:rsid w:val="00895DBB"/>
    <w:rsid w:val="00895EF4"/>
    <w:rsid w:val="00896906"/>
    <w:rsid w:val="00897136"/>
    <w:rsid w:val="00897189"/>
    <w:rsid w:val="008977FC"/>
    <w:rsid w:val="008A0845"/>
    <w:rsid w:val="008A09A9"/>
    <w:rsid w:val="008A108E"/>
    <w:rsid w:val="008A128A"/>
    <w:rsid w:val="008A23D5"/>
    <w:rsid w:val="008A2904"/>
    <w:rsid w:val="008A31C9"/>
    <w:rsid w:val="008A33AB"/>
    <w:rsid w:val="008A3652"/>
    <w:rsid w:val="008A367B"/>
    <w:rsid w:val="008A3746"/>
    <w:rsid w:val="008A471F"/>
    <w:rsid w:val="008A47CF"/>
    <w:rsid w:val="008A4CA4"/>
    <w:rsid w:val="008A4FA5"/>
    <w:rsid w:val="008A5089"/>
    <w:rsid w:val="008A521B"/>
    <w:rsid w:val="008A5E0C"/>
    <w:rsid w:val="008A5E43"/>
    <w:rsid w:val="008A5F84"/>
    <w:rsid w:val="008A606C"/>
    <w:rsid w:val="008A646B"/>
    <w:rsid w:val="008A652E"/>
    <w:rsid w:val="008A6C22"/>
    <w:rsid w:val="008A6DC5"/>
    <w:rsid w:val="008A73C0"/>
    <w:rsid w:val="008A7AD2"/>
    <w:rsid w:val="008A7E15"/>
    <w:rsid w:val="008A7FE8"/>
    <w:rsid w:val="008B12C7"/>
    <w:rsid w:val="008B1301"/>
    <w:rsid w:val="008B1586"/>
    <w:rsid w:val="008B2164"/>
    <w:rsid w:val="008B2974"/>
    <w:rsid w:val="008B2D57"/>
    <w:rsid w:val="008B301A"/>
    <w:rsid w:val="008B390D"/>
    <w:rsid w:val="008B3B8E"/>
    <w:rsid w:val="008B3F54"/>
    <w:rsid w:val="008B4675"/>
    <w:rsid w:val="008B4A53"/>
    <w:rsid w:val="008B4C76"/>
    <w:rsid w:val="008B4DA2"/>
    <w:rsid w:val="008B5563"/>
    <w:rsid w:val="008B55AF"/>
    <w:rsid w:val="008B5768"/>
    <w:rsid w:val="008B5835"/>
    <w:rsid w:val="008B5D97"/>
    <w:rsid w:val="008B602C"/>
    <w:rsid w:val="008B66F3"/>
    <w:rsid w:val="008B6E35"/>
    <w:rsid w:val="008B7CE5"/>
    <w:rsid w:val="008B7DCE"/>
    <w:rsid w:val="008C02B9"/>
    <w:rsid w:val="008C04E8"/>
    <w:rsid w:val="008C1121"/>
    <w:rsid w:val="008C11E3"/>
    <w:rsid w:val="008C14B7"/>
    <w:rsid w:val="008C1592"/>
    <w:rsid w:val="008C1795"/>
    <w:rsid w:val="008C1D44"/>
    <w:rsid w:val="008C1DE3"/>
    <w:rsid w:val="008C1EE7"/>
    <w:rsid w:val="008C29B1"/>
    <w:rsid w:val="008C30AF"/>
    <w:rsid w:val="008C30E2"/>
    <w:rsid w:val="008C3935"/>
    <w:rsid w:val="008C42C1"/>
    <w:rsid w:val="008C49DB"/>
    <w:rsid w:val="008C49E0"/>
    <w:rsid w:val="008C4A2C"/>
    <w:rsid w:val="008C4E45"/>
    <w:rsid w:val="008C5567"/>
    <w:rsid w:val="008C55D7"/>
    <w:rsid w:val="008C59D3"/>
    <w:rsid w:val="008C694E"/>
    <w:rsid w:val="008C6ACE"/>
    <w:rsid w:val="008C71C5"/>
    <w:rsid w:val="008C737D"/>
    <w:rsid w:val="008C7389"/>
    <w:rsid w:val="008D0426"/>
    <w:rsid w:val="008D043B"/>
    <w:rsid w:val="008D065B"/>
    <w:rsid w:val="008D183C"/>
    <w:rsid w:val="008D1CD7"/>
    <w:rsid w:val="008D1D56"/>
    <w:rsid w:val="008D2398"/>
    <w:rsid w:val="008D393B"/>
    <w:rsid w:val="008D3BD8"/>
    <w:rsid w:val="008D3E47"/>
    <w:rsid w:val="008D44AC"/>
    <w:rsid w:val="008D46C8"/>
    <w:rsid w:val="008D47F1"/>
    <w:rsid w:val="008D4A51"/>
    <w:rsid w:val="008D4AD4"/>
    <w:rsid w:val="008D5D23"/>
    <w:rsid w:val="008D5DC6"/>
    <w:rsid w:val="008D5E52"/>
    <w:rsid w:val="008D5F51"/>
    <w:rsid w:val="008D666D"/>
    <w:rsid w:val="008D6712"/>
    <w:rsid w:val="008D6830"/>
    <w:rsid w:val="008D68B3"/>
    <w:rsid w:val="008D696B"/>
    <w:rsid w:val="008D6A90"/>
    <w:rsid w:val="008D703A"/>
    <w:rsid w:val="008D7162"/>
    <w:rsid w:val="008D726E"/>
    <w:rsid w:val="008E020B"/>
    <w:rsid w:val="008E061A"/>
    <w:rsid w:val="008E08A2"/>
    <w:rsid w:val="008E1566"/>
    <w:rsid w:val="008E165B"/>
    <w:rsid w:val="008E1CAE"/>
    <w:rsid w:val="008E26D9"/>
    <w:rsid w:val="008E2755"/>
    <w:rsid w:val="008E2AFB"/>
    <w:rsid w:val="008E3844"/>
    <w:rsid w:val="008E38D9"/>
    <w:rsid w:val="008E3F9D"/>
    <w:rsid w:val="008E42C8"/>
    <w:rsid w:val="008E4381"/>
    <w:rsid w:val="008E4608"/>
    <w:rsid w:val="008E4688"/>
    <w:rsid w:val="008E4C12"/>
    <w:rsid w:val="008E4F88"/>
    <w:rsid w:val="008E565F"/>
    <w:rsid w:val="008E6205"/>
    <w:rsid w:val="008E62A9"/>
    <w:rsid w:val="008E66AB"/>
    <w:rsid w:val="008E6887"/>
    <w:rsid w:val="008E6A8F"/>
    <w:rsid w:val="008E7081"/>
    <w:rsid w:val="008E72E0"/>
    <w:rsid w:val="008E76B3"/>
    <w:rsid w:val="008E7A97"/>
    <w:rsid w:val="008E7E81"/>
    <w:rsid w:val="008F0A43"/>
    <w:rsid w:val="008F0D0A"/>
    <w:rsid w:val="008F0E01"/>
    <w:rsid w:val="008F28C2"/>
    <w:rsid w:val="008F2B10"/>
    <w:rsid w:val="008F307E"/>
    <w:rsid w:val="008F4134"/>
    <w:rsid w:val="008F41BC"/>
    <w:rsid w:val="008F4250"/>
    <w:rsid w:val="008F51C9"/>
    <w:rsid w:val="008F53C1"/>
    <w:rsid w:val="008F53E4"/>
    <w:rsid w:val="008F6121"/>
    <w:rsid w:val="008F70AD"/>
    <w:rsid w:val="008F764A"/>
    <w:rsid w:val="008F76FB"/>
    <w:rsid w:val="008F7CE6"/>
    <w:rsid w:val="009003BD"/>
    <w:rsid w:val="00900C0E"/>
    <w:rsid w:val="00901647"/>
    <w:rsid w:val="00901E5A"/>
    <w:rsid w:val="009022B7"/>
    <w:rsid w:val="0090255C"/>
    <w:rsid w:val="009033EC"/>
    <w:rsid w:val="00903E86"/>
    <w:rsid w:val="00904100"/>
    <w:rsid w:val="00904ECC"/>
    <w:rsid w:val="00904F35"/>
    <w:rsid w:val="00905246"/>
    <w:rsid w:val="00905E4B"/>
    <w:rsid w:val="00906485"/>
    <w:rsid w:val="00906804"/>
    <w:rsid w:val="00906C95"/>
    <w:rsid w:val="00906D17"/>
    <w:rsid w:val="00906F01"/>
    <w:rsid w:val="009070DE"/>
    <w:rsid w:val="009076D1"/>
    <w:rsid w:val="00907905"/>
    <w:rsid w:val="00907918"/>
    <w:rsid w:val="00907DEC"/>
    <w:rsid w:val="0091034B"/>
    <w:rsid w:val="0091043E"/>
    <w:rsid w:val="009106CB"/>
    <w:rsid w:val="00911F7E"/>
    <w:rsid w:val="00912B9F"/>
    <w:rsid w:val="00913A54"/>
    <w:rsid w:val="00914320"/>
    <w:rsid w:val="009144C8"/>
    <w:rsid w:val="009149EC"/>
    <w:rsid w:val="00914B99"/>
    <w:rsid w:val="00914FB0"/>
    <w:rsid w:val="00915AF8"/>
    <w:rsid w:val="009165B1"/>
    <w:rsid w:val="00916777"/>
    <w:rsid w:val="00917550"/>
    <w:rsid w:val="00917C58"/>
    <w:rsid w:val="00917D69"/>
    <w:rsid w:val="0092076D"/>
    <w:rsid w:val="009208A2"/>
    <w:rsid w:val="009213E6"/>
    <w:rsid w:val="00921613"/>
    <w:rsid w:val="00921760"/>
    <w:rsid w:val="00921AD2"/>
    <w:rsid w:val="00921D35"/>
    <w:rsid w:val="009220BF"/>
    <w:rsid w:val="00922824"/>
    <w:rsid w:val="00922B21"/>
    <w:rsid w:val="00922D47"/>
    <w:rsid w:val="00922FB9"/>
    <w:rsid w:val="009232CE"/>
    <w:rsid w:val="009232EB"/>
    <w:rsid w:val="00923C05"/>
    <w:rsid w:val="00923D60"/>
    <w:rsid w:val="00923FEC"/>
    <w:rsid w:val="00924004"/>
    <w:rsid w:val="0092429A"/>
    <w:rsid w:val="00924F4D"/>
    <w:rsid w:val="00926154"/>
    <w:rsid w:val="0092733E"/>
    <w:rsid w:val="00927927"/>
    <w:rsid w:val="00927B36"/>
    <w:rsid w:val="00927DC2"/>
    <w:rsid w:val="00930983"/>
    <w:rsid w:val="00930AD0"/>
    <w:rsid w:val="00930EC7"/>
    <w:rsid w:val="0093100D"/>
    <w:rsid w:val="0093219C"/>
    <w:rsid w:val="0093254E"/>
    <w:rsid w:val="009333C5"/>
    <w:rsid w:val="00933742"/>
    <w:rsid w:val="009341C9"/>
    <w:rsid w:val="00934201"/>
    <w:rsid w:val="00935186"/>
    <w:rsid w:val="00936331"/>
    <w:rsid w:val="0093718A"/>
    <w:rsid w:val="00937C53"/>
    <w:rsid w:val="00937E74"/>
    <w:rsid w:val="00937F60"/>
    <w:rsid w:val="00940A8F"/>
    <w:rsid w:val="00940BFD"/>
    <w:rsid w:val="0094116D"/>
    <w:rsid w:val="00941657"/>
    <w:rsid w:val="00941FDB"/>
    <w:rsid w:val="009421A7"/>
    <w:rsid w:val="0094286A"/>
    <w:rsid w:val="0094294D"/>
    <w:rsid w:val="00943145"/>
    <w:rsid w:val="00943EC2"/>
    <w:rsid w:val="0094419B"/>
    <w:rsid w:val="00944BD9"/>
    <w:rsid w:val="00944D68"/>
    <w:rsid w:val="00944FA2"/>
    <w:rsid w:val="0094540B"/>
    <w:rsid w:val="00945767"/>
    <w:rsid w:val="00947257"/>
    <w:rsid w:val="009472BC"/>
    <w:rsid w:val="00947476"/>
    <w:rsid w:val="0095004B"/>
    <w:rsid w:val="0095067A"/>
    <w:rsid w:val="00950BAB"/>
    <w:rsid w:val="0095107D"/>
    <w:rsid w:val="00951F29"/>
    <w:rsid w:val="00951FF3"/>
    <w:rsid w:val="009520F6"/>
    <w:rsid w:val="00952840"/>
    <w:rsid w:val="0095292D"/>
    <w:rsid w:val="00953DD6"/>
    <w:rsid w:val="0095425A"/>
    <w:rsid w:val="00955079"/>
    <w:rsid w:val="00955765"/>
    <w:rsid w:val="00955892"/>
    <w:rsid w:val="00955B5B"/>
    <w:rsid w:val="00955C55"/>
    <w:rsid w:val="0095624A"/>
    <w:rsid w:val="009572D1"/>
    <w:rsid w:val="00957896"/>
    <w:rsid w:val="009578CA"/>
    <w:rsid w:val="00957C97"/>
    <w:rsid w:val="009600C6"/>
    <w:rsid w:val="009600EA"/>
    <w:rsid w:val="009608C2"/>
    <w:rsid w:val="009612F4"/>
    <w:rsid w:val="009617C4"/>
    <w:rsid w:val="0096212D"/>
    <w:rsid w:val="00962B6B"/>
    <w:rsid w:val="00962FCA"/>
    <w:rsid w:val="009630B7"/>
    <w:rsid w:val="0096318D"/>
    <w:rsid w:val="0096358A"/>
    <w:rsid w:val="009643F0"/>
    <w:rsid w:val="0096490E"/>
    <w:rsid w:val="00964DD7"/>
    <w:rsid w:val="009664B1"/>
    <w:rsid w:val="0096741E"/>
    <w:rsid w:val="00967A57"/>
    <w:rsid w:val="00967D1C"/>
    <w:rsid w:val="00967D26"/>
    <w:rsid w:val="009704F6"/>
    <w:rsid w:val="00970B94"/>
    <w:rsid w:val="00971B1B"/>
    <w:rsid w:val="00971D0F"/>
    <w:rsid w:val="00971F2B"/>
    <w:rsid w:val="00972228"/>
    <w:rsid w:val="00972744"/>
    <w:rsid w:val="00973996"/>
    <w:rsid w:val="00973B5D"/>
    <w:rsid w:val="009741D0"/>
    <w:rsid w:val="00974630"/>
    <w:rsid w:val="00974821"/>
    <w:rsid w:val="00974B0C"/>
    <w:rsid w:val="00975B64"/>
    <w:rsid w:val="00975D16"/>
    <w:rsid w:val="009761CC"/>
    <w:rsid w:val="009761DA"/>
    <w:rsid w:val="00976574"/>
    <w:rsid w:val="00976BA0"/>
    <w:rsid w:val="00977CB1"/>
    <w:rsid w:val="00977E56"/>
    <w:rsid w:val="009802AA"/>
    <w:rsid w:val="00980D0D"/>
    <w:rsid w:val="009812DF"/>
    <w:rsid w:val="00981FF6"/>
    <w:rsid w:val="00982052"/>
    <w:rsid w:val="00982C44"/>
    <w:rsid w:val="009845CF"/>
    <w:rsid w:val="009853B1"/>
    <w:rsid w:val="00985EC0"/>
    <w:rsid w:val="009861EB"/>
    <w:rsid w:val="009864B8"/>
    <w:rsid w:val="00986D99"/>
    <w:rsid w:val="00986FF8"/>
    <w:rsid w:val="00987016"/>
    <w:rsid w:val="00987069"/>
    <w:rsid w:val="00987479"/>
    <w:rsid w:val="0098759C"/>
    <w:rsid w:val="00987E34"/>
    <w:rsid w:val="00990084"/>
    <w:rsid w:val="009903EF"/>
    <w:rsid w:val="00990DF9"/>
    <w:rsid w:val="00991F17"/>
    <w:rsid w:val="009923FB"/>
    <w:rsid w:val="009928D8"/>
    <w:rsid w:val="00992E4C"/>
    <w:rsid w:val="0099362D"/>
    <w:rsid w:val="00993A47"/>
    <w:rsid w:val="009948A3"/>
    <w:rsid w:val="00994A84"/>
    <w:rsid w:val="00995086"/>
    <w:rsid w:val="0099535A"/>
    <w:rsid w:val="00995A37"/>
    <w:rsid w:val="00995F6D"/>
    <w:rsid w:val="00996FD6"/>
    <w:rsid w:val="0099730B"/>
    <w:rsid w:val="009977C3"/>
    <w:rsid w:val="009A07ED"/>
    <w:rsid w:val="009A08FF"/>
    <w:rsid w:val="009A0980"/>
    <w:rsid w:val="009A0B6A"/>
    <w:rsid w:val="009A0E3F"/>
    <w:rsid w:val="009A2603"/>
    <w:rsid w:val="009A32A9"/>
    <w:rsid w:val="009A34EA"/>
    <w:rsid w:val="009A365B"/>
    <w:rsid w:val="009A38DB"/>
    <w:rsid w:val="009A3962"/>
    <w:rsid w:val="009A3CF4"/>
    <w:rsid w:val="009A40A5"/>
    <w:rsid w:val="009A4627"/>
    <w:rsid w:val="009A4EBE"/>
    <w:rsid w:val="009A53AC"/>
    <w:rsid w:val="009A543B"/>
    <w:rsid w:val="009A56AC"/>
    <w:rsid w:val="009A5FF7"/>
    <w:rsid w:val="009A757B"/>
    <w:rsid w:val="009B0065"/>
    <w:rsid w:val="009B0B5B"/>
    <w:rsid w:val="009B0DB8"/>
    <w:rsid w:val="009B0E29"/>
    <w:rsid w:val="009B1262"/>
    <w:rsid w:val="009B136B"/>
    <w:rsid w:val="009B18FB"/>
    <w:rsid w:val="009B1E5F"/>
    <w:rsid w:val="009B2671"/>
    <w:rsid w:val="009B3F8A"/>
    <w:rsid w:val="009B476F"/>
    <w:rsid w:val="009B56AF"/>
    <w:rsid w:val="009B5AA3"/>
    <w:rsid w:val="009B5AF3"/>
    <w:rsid w:val="009B5C9A"/>
    <w:rsid w:val="009B608B"/>
    <w:rsid w:val="009B63F2"/>
    <w:rsid w:val="009B65E5"/>
    <w:rsid w:val="009B6C56"/>
    <w:rsid w:val="009B71FD"/>
    <w:rsid w:val="009B73CF"/>
    <w:rsid w:val="009C0176"/>
    <w:rsid w:val="009C081D"/>
    <w:rsid w:val="009C0989"/>
    <w:rsid w:val="009C16FE"/>
    <w:rsid w:val="009C1949"/>
    <w:rsid w:val="009C1989"/>
    <w:rsid w:val="009C1B73"/>
    <w:rsid w:val="009C1EFC"/>
    <w:rsid w:val="009C2047"/>
    <w:rsid w:val="009C2C81"/>
    <w:rsid w:val="009C3481"/>
    <w:rsid w:val="009C3DA3"/>
    <w:rsid w:val="009C50D5"/>
    <w:rsid w:val="009C6388"/>
    <w:rsid w:val="009C644A"/>
    <w:rsid w:val="009C69E4"/>
    <w:rsid w:val="009C6B88"/>
    <w:rsid w:val="009C7779"/>
    <w:rsid w:val="009D0928"/>
    <w:rsid w:val="009D0C26"/>
    <w:rsid w:val="009D0D5D"/>
    <w:rsid w:val="009D131C"/>
    <w:rsid w:val="009D1846"/>
    <w:rsid w:val="009D2128"/>
    <w:rsid w:val="009D24E8"/>
    <w:rsid w:val="009D27C4"/>
    <w:rsid w:val="009D3958"/>
    <w:rsid w:val="009D432B"/>
    <w:rsid w:val="009D45D5"/>
    <w:rsid w:val="009D45FC"/>
    <w:rsid w:val="009D4ADC"/>
    <w:rsid w:val="009D5115"/>
    <w:rsid w:val="009D54AC"/>
    <w:rsid w:val="009D56FF"/>
    <w:rsid w:val="009D6080"/>
    <w:rsid w:val="009D6CA7"/>
    <w:rsid w:val="009D7569"/>
    <w:rsid w:val="009D7772"/>
    <w:rsid w:val="009D7816"/>
    <w:rsid w:val="009D795D"/>
    <w:rsid w:val="009E0A01"/>
    <w:rsid w:val="009E1ACD"/>
    <w:rsid w:val="009E1F1F"/>
    <w:rsid w:val="009E294C"/>
    <w:rsid w:val="009E2D54"/>
    <w:rsid w:val="009E3187"/>
    <w:rsid w:val="009E32C2"/>
    <w:rsid w:val="009E3389"/>
    <w:rsid w:val="009E3493"/>
    <w:rsid w:val="009E3A85"/>
    <w:rsid w:val="009E49D2"/>
    <w:rsid w:val="009E4DE9"/>
    <w:rsid w:val="009E560A"/>
    <w:rsid w:val="009E599A"/>
    <w:rsid w:val="009E7108"/>
    <w:rsid w:val="009E7CB6"/>
    <w:rsid w:val="009F0B1D"/>
    <w:rsid w:val="009F0D59"/>
    <w:rsid w:val="009F1014"/>
    <w:rsid w:val="009F10DC"/>
    <w:rsid w:val="009F1110"/>
    <w:rsid w:val="009F13F8"/>
    <w:rsid w:val="009F1CA5"/>
    <w:rsid w:val="009F22A6"/>
    <w:rsid w:val="009F27FA"/>
    <w:rsid w:val="009F2BE8"/>
    <w:rsid w:val="009F2D2B"/>
    <w:rsid w:val="009F3545"/>
    <w:rsid w:val="009F36A5"/>
    <w:rsid w:val="009F44A4"/>
    <w:rsid w:val="009F4ED7"/>
    <w:rsid w:val="009F500D"/>
    <w:rsid w:val="009F5B88"/>
    <w:rsid w:val="009F5EE2"/>
    <w:rsid w:val="009F6192"/>
    <w:rsid w:val="009F667D"/>
    <w:rsid w:val="009F674C"/>
    <w:rsid w:val="009F6B38"/>
    <w:rsid w:val="009F6CEF"/>
    <w:rsid w:val="009F6D51"/>
    <w:rsid w:val="009F6F95"/>
    <w:rsid w:val="009F775C"/>
    <w:rsid w:val="00A00392"/>
    <w:rsid w:val="00A00690"/>
    <w:rsid w:val="00A01CF3"/>
    <w:rsid w:val="00A01E33"/>
    <w:rsid w:val="00A01FFF"/>
    <w:rsid w:val="00A0234D"/>
    <w:rsid w:val="00A02462"/>
    <w:rsid w:val="00A025D4"/>
    <w:rsid w:val="00A02713"/>
    <w:rsid w:val="00A029A5"/>
    <w:rsid w:val="00A0351E"/>
    <w:rsid w:val="00A03604"/>
    <w:rsid w:val="00A037AE"/>
    <w:rsid w:val="00A03EC9"/>
    <w:rsid w:val="00A04278"/>
    <w:rsid w:val="00A0429F"/>
    <w:rsid w:val="00A04E44"/>
    <w:rsid w:val="00A05589"/>
    <w:rsid w:val="00A05851"/>
    <w:rsid w:val="00A06786"/>
    <w:rsid w:val="00A068DB"/>
    <w:rsid w:val="00A07515"/>
    <w:rsid w:val="00A07C54"/>
    <w:rsid w:val="00A07EA4"/>
    <w:rsid w:val="00A1037C"/>
    <w:rsid w:val="00A11C4A"/>
    <w:rsid w:val="00A127C3"/>
    <w:rsid w:val="00A129B2"/>
    <w:rsid w:val="00A13034"/>
    <w:rsid w:val="00A13CF6"/>
    <w:rsid w:val="00A13D80"/>
    <w:rsid w:val="00A14582"/>
    <w:rsid w:val="00A14DF9"/>
    <w:rsid w:val="00A16037"/>
    <w:rsid w:val="00A163A6"/>
    <w:rsid w:val="00A16A42"/>
    <w:rsid w:val="00A17260"/>
    <w:rsid w:val="00A1797B"/>
    <w:rsid w:val="00A17A2D"/>
    <w:rsid w:val="00A200AC"/>
    <w:rsid w:val="00A20638"/>
    <w:rsid w:val="00A2085E"/>
    <w:rsid w:val="00A21506"/>
    <w:rsid w:val="00A21D76"/>
    <w:rsid w:val="00A220F9"/>
    <w:rsid w:val="00A22964"/>
    <w:rsid w:val="00A22DC3"/>
    <w:rsid w:val="00A22DE1"/>
    <w:rsid w:val="00A22F15"/>
    <w:rsid w:val="00A22F5B"/>
    <w:rsid w:val="00A23115"/>
    <w:rsid w:val="00A23B6D"/>
    <w:rsid w:val="00A23E71"/>
    <w:rsid w:val="00A23E77"/>
    <w:rsid w:val="00A24C7C"/>
    <w:rsid w:val="00A25022"/>
    <w:rsid w:val="00A2567D"/>
    <w:rsid w:val="00A2577A"/>
    <w:rsid w:val="00A25C1D"/>
    <w:rsid w:val="00A270F0"/>
    <w:rsid w:val="00A27215"/>
    <w:rsid w:val="00A303DD"/>
    <w:rsid w:val="00A30598"/>
    <w:rsid w:val="00A305EF"/>
    <w:rsid w:val="00A306DD"/>
    <w:rsid w:val="00A31155"/>
    <w:rsid w:val="00A31731"/>
    <w:rsid w:val="00A317A2"/>
    <w:rsid w:val="00A32051"/>
    <w:rsid w:val="00A32310"/>
    <w:rsid w:val="00A33399"/>
    <w:rsid w:val="00A337A7"/>
    <w:rsid w:val="00A33E61"/>
    <w:rsid w:val="00A341C6"/>
    <w:rsid w:val="00A3439A"/>
    <w:rsid w:val="00A34704"/>
    <w:rsid w:val="00A3492B"/>
    <w:rsid w:val="00A34DF9"/>
    <w:rsid w:val="00A35097"/>
    <w:rsid w:val="00A353E5"/>
    <w:rsid w:val="00A3542B"/>
    <w:rsid w:val="00A355E9"/>
    <w:rsid w:val="00A3680A"/>
    <w:rsid w:val="00A36F1E"/>
    <w:rsid w:val="00A36FCE"/>
    <w:rsid w:val="00A404B9"/>
    <w:rsid w:val="00A40C9B"/>
    <w:rsid w:val="00A41327"/>
    <w:rsid w:val="00A4138C"/>
    <w:rsid w:val="00A416F7"/>
    <w:rsid w:val="00A41DB7"/>
    <w:rsid w:val="00A41DED"/>
    <w:rsid w:val="00A41E9F"/>
    <w:rsid w:val="00A4207E"/>
    <w:rsid w:val="00A429B8"/>
    <w:rsid w:val="00A42CE3"/>
    <w:rsid w:val="00A42CE5"/>
    <w:rsid w:val="00A42D8A"/>
    <w:rsid w:val="00A43168"/>
    <w:rsid w:val="00A4394F"/>
    <w:rsid w:val="00A45A82"/>
    <w:rsid w:val="00A464CB"/>
    <w:rsid w:val="00A46A5F"/>
    <w:rsid w:val="00A46F40"/>
    <w:rsid w:val="00A470D0"/>
    <w:rsid w:val="00A473B9"/>
    <w:rsid w:val="00A475E5"/>
    <w:rsid w:val="00A476EE"/>
    <w:rsid w:val="00A47AA8"/>
    <w:rsid w:val="00A50351"/>
    <w:rsid w:val="00A5097E"/>
    <w:rsid w:val="00A50D1D"/>
    <w:rsid w:val="00A518F6"/>
    <w:rsid w:val="00A5246B"/>
    <w:rsid w:val="00A52A89"/>
    <w:rsid w:val="00A52D05"/>
    <w:rsid w:val="00A52E27"/>
    <w:rsid w:val="00A52E8C"/>
    <w:rsid w:val="00A53148"/>
    <w:rsid w:val="00A552C6"/>
    <w:rsid w:val="00A55FF7"/>
    <w:rsid w:val="00A562DD"/>
    <w:rsid w:val="00A56B7F"/>
    <w:rsid w:val="00A56FEC"/>
    <w:rsid w:val="00A57823"/>
    <w:rsid w:val="00A579FB"/>
    <w:rsid w:val="00A57E59"/>
    <w:rsid w:val="00A57FB6"/>
    <w:rsid w:val="00A6018A"/>
    <w:rsid w:val="00A604DB"/>
    <w:rsid w:val="00A61377"/>
    <w:rsid w:val="00A61586"/>
    <w:rsid w:val="00A61820"/>
    <w:rsid w:val="00A61976"/>
    <w:rsid w:val="00A61CE7"/>
    <w:rsid w:val="00A6261B"/>
    <w:rsid w:val="00A62A8B"/>
    <w:rsid w:val="00A632A0"/>
    <w:rsid w:val="00A6482E"/>
    <w:rsid w:val="00A64C04"/>
    <w:rsid w:val="00A64DAA"/>
    <w:rsid w:val="00A65749"/>
    <w:rsid w:val="00A6648B"/>
    <w:rsid w:val="00A66B4C"/>
    <w:rsid w:val="00A66FA2"/>
    <w:rsid w:val="00A67067"/>
    <w:rsid w:val="00A67205"/>
    <w:rsid w:val="00A6774E"/>
    <w:rsid w:val="00A67B99"/>
    <w:rsid w:val="00A703BA"/>
    <w:rsid w:val="00A70539"/>
    <w:rsid w:val="00A70C56"/>
    <w:rsid w:val="00A714C1"/>
    <w:rsid w:val="00A71B6B"/>
    <w:rsid w:val="00A71BA0"/>
    <w:rsid w:val="00A71BE4"/>
    <w:rsid w:val="00A722F4"/>
    <w:rsid w:val="00A72552"/>
    <w:rsid w:val="00A7260D"/>
    <w:rsid w:val="00A73384"/>
    <w:rsid w:val="00A743B9"/>
    <w:rsid w:val="00A74907"/>
    <w:rsid w:val="00A74974"/>
    <w:rsid w:val="00A74A0A"/>
    <w:rsid w:val="00A75386"/>
    <w:rsid w:val="00A75756"/>
    <w:rsid w:val="00A763EA"/>
    <w:rsid w:val="00A7684A"/>
    <w:rsid w:val="00A8065D"/>
    <w:rsid w:val="00A809C6"/>
    <w:rsid w:val="00A80BA0"/>
    <w:rsid w:val="00A8147E"/>
    <w:rsid w:val="00A81F8B"/>
    <w:rsid w:val="00A8275D"/>
    <w:rsid w:val="00A82964"/>
    <w:rsid w:val="00A82B94"/>
    <w:rsid w:val="00A83173"/>
    <w:rsid w:val="00A83B22"/>
    <w:rsid w:val="00A83E39"/>
    <w:rsid w:val="00A83EB8"/>
    <w:rsid w:val="00A84DC0"/>
    <w:rsid w:val="00A850CE"/>
    <w:rsid w:val="00A858D6"/>
    <w:rsid w:val="00A86D66"/>
    <w:rsid w:val="00A86FAF"/>
    <w:rsid w:val="00A87452"/>
    <w:rsid w:val="00A87D23"/>
    <w:rsid w:val="00A90E78"/>
    <w:rsid w:val="00A92563"/>
    <w:rsid w:val="00A92709"/>
    <w:rsid w:val="00A9288E"/>
    <w:rsid w:val="00A92A23"/>
    <w:rsid w:val="00A931B2"/>
    <w:rsid w:val="00A93807"/>
    <w:rsid w:val="00A950B8"/>
    <w:rsid w:val="00A954CE"/>
    <w:rsid w:val="00A96297"/>
    <w:rsid w:val="00A96591"/>
    <w:rsid w:val="00A96D82"/>
    <w:rsid w:val="00A96F93"/>
    <w:rsid w:val="00A97340"/>
    <w:rsid w:val="00AA09BD"/>
    <w:rsid w:val="00AA0EE5"/>
    <w:rsid w:val="00AA127B"/>
    <w:rsid w:val="00AA12A6"/>
    <w:rsid w:val="00AA1A79"/>
    <w:rsid w:val="00AA1D03"/>
    <w:rsid w:val="00AA1FC1"/>
    <w:rsid w:val="00AA205A"/>
    <w:rsid w:val="00AA20BB"/>
    <w:rsid w:val="00AA2988"/>
    <w:rsid w:val="00AA29E5"/>
    <w:rsid w:val="00AA2C96"/>
    <w:rsid w:val="00AA32B2"/>
    <w:rsid w:val="00AA3B51"/>
    <w:rsid w:val="00AA45E0"/>
    <w:rsid w:val="00AA59E0"/>
    <w:rsid w:val="00AA5B47"/>
    <w:rsid w:val="00AA6381"/>
    <w:rsid w:val="00AA6489"/>
    <w:rsid w:val="00AA6BDA"/>
    <w:rsid w:val="00AA6EFB"/>
    <w:rsid w:val="00AB0165"/>
    <w:rsid w:val="00AB0385"/>
    <w:rsid w:val="00AB06FC"/>
    <w:rsid w:val="00AB0E74"/>
    <w:rsid w:val="00AB136B"/>
    <w:rsid w:val="00AB1479"/>
    <w:rsid w:val="00AB184A"/>
    <w:rsid w:val="00AB18D9"/>
    <w:rsid w:val="00AB281B"/>
    <w:rsid w:val="00AB294A"/>
    <w:rsid w:val="00AB32A3"/>
    <w:rsid w:val="00AB3757"/>
    <w:rsid w:val="00AB3B9B"/>
    <w:rsid w:val="00AB3E01"/>
    <w:rsid w:val="00AB45DB"/>
    <w:rsid w:val="00AB5771"/>
    <w:rsid w:val="00AB5A3B"/>
    <w:rsid w:val="00AB5AED"/>
    <w:rsid w:val="00AB5B54"/>
    <w:rsid w:val="00AB5D0E"/>
    <w:rsid w:val="00AB5D81"/>
    <w:rsid w:val="00AB623A"/>
    <w:rsid w:val="00AB62B5"/>
    <w:rsid w:val="00AB65C6"/>
    <w:rsid w:val="00AB67A3"/>
    <w:rsid w:val="00AB6898"/>
    <w:rsid w:val="00AB6A89"/>
    <w:rsid w:val="00AB72C9"/>
    <w:rsid w:val="00AB76EA"/>
    <w:rsid w:val="00AC13E3"/>
    <w:rsid w:val="00AC1CBB"/>
    <w:rsid w:val="00AC1D4C"/>
    <w:rsid w:val="00AC1E1E"/>
    <w:rsid w:val="00AC2169"/>
    <w:rsid w:val="00AC2625"/>
    <w:rsid w:val="00AC2CEF"/>
    <w:rsid w:val="00AC3B11"/>
    <w:rsid w:val="00AC47E2"/>
    <w:rsid w:val="00AC4871"/>
    <w:rsid w:val="00AC4902"/>
    <w:rsid w:val="00AC5614"/>
    <w:rsid w:val="00AC573A"/>
    <w:rsid w:val="00AC57FE"/>
    <w:rsid w:val="00AC5BD5"/>
    <w:rsid w:val="00AC6C5E"/>
    <w:rsid w:val="00AC6F06"/>
    <w:rsid w:val="00AC715E"/>
    <w:rsid w:val="00AC758F"/>
    <w:rsid w:val="00AC78DC"/>
    <w:rsid w:val="00AC797C"/>
    <w:rsid w:val="00AC7EE2"/>
    <w:rsid w:val="00AC7F3B"/>
    <w:rsid w:val="00AC7F54"/>
    <w:rsid w:val="00AD0FC6"/>
    <w:rsid w:val="00AD1141"/>
    <w:rsid w:val="00AD12E0"/>
    <w:rsid w:val="00AD172A"/>
    <w:rsid w:val="00AD17A7"/>
    <w:rsid w:val="00AD1CFB"/>
    <w:rsid w:val="00AD1F23"/>
    <w:rsid w:val="00AD22DE"/>
    <w:rsid w:val="00AD2E2B"/>
    <w:rsid w:val="00AD314F"/>
    <w:rsid w:val="00AD3536"/>
    <w:rsid w:val="00AD3642"/>
    <w:rsid w:val="00AD36CE"/>
    <w:rsid w:val="00AD4251"/>
    <w:rsid w:val="00AD4838"/>
    <w:rsid w:val="00AD4B14"/>
    <w:rsid w:val="00AD5078"/>
    <w:rsid w:val="00AD50A3"/>
    <w:rsid w:val="00AD52EE"/>
    <w:rsid w:val="00AD5A15"/>
    <w:rsid w:val="00AD690F"/>
    <w:rsid w:val="00AD6CC8"/>
    <w:rsid w:val="00AD6FD9"/>
    <w:rsid w:val="00AD7F51"/>
    <w:rsid w:val="00AE0544"/>
    <w:rsid w:val="00AE0801"/>
    <w:rsid w:val="00AE0C28"/>
    <w:rsid w:val="00AE1130"/>
    <w:rsid w:val="00AE21E7"/>
    <w:rsid w:val="00AE412A"/>
    <w:rsid w:val="00AE424D"/>
    <w:rsid w:val="00AE49A0"/>
    <w:rsid w:val="00AE4FB3"/>
    <w:rsid w:val="00AE525D"/>
    <w:rsid w:val="00AE55B0"/>
    <w:rsid w:val="00AE5E65"/>
    <w:rsid w:val="00AE6580"/>
    <w:rsid w:val="00AE65E8"/>
    <w:rsid w:val="00AE694D"/>
    <w:rsid w:val="00AF0BAB"/>
    <w:rsid w:val="00AF109C"/>
    <w:rsid w:val="00AF1689"/>
    <w:rsid w:val="00AF2E15"/>
    <w:rsid w:val="00AF4314"/>
    <w:rsid w:val="00AF46A2"/>
    <w:rsid w:val="00AF47AE"/>
    <w:rsid w:val="00AF4927"/>
    <w:rsid w:val="00AF4E26"/>
    <w:rsid w:val="00AF4EB7"/>
    <w:rsid w:val="00AF53FD"/>
    <w:rsid w:val="00AF5E3E"/>
    <w:rsid w:val="00AF60CF"/>
    <w:rsid w:val="00AF626D"/>
    <w:rsid w:val="00AF68F0"/>
    <w:rsid w:val="00AF6E83"/>
    <w:rsid w:val="00AF7F0A"/>
    <w:rsid w:val="00B00170"/>
    <w:rsid w:val="00B00C6A"/>
    <w:rsid w:val="00B01495"/>
    <w:rsid w:val="00B01899"/>
    <w:rsid w:val="00B02685"/>
    <w:rsid w:val="00B028E8"/>
    <w:rsid w:val="00B02B2A"/>
    <w:rsid w:val="00B02B8E"/>
    <w:rsid w:val="00B02FB7"/>
    <w:rsid w:val="00B0352D"/>
    <w:rsid w:val="00B03C5E"/>
    <w:rsid w:val="00B03D25"/>
    <w:rsid w:val="00B04ADA"/>
    <w:rsid w:val="00B04B90"/>
    <w:rsid w:val="00B04CC3"/>
    <w:rsid w:val="00B04EFB"/>
    <w:rsid w:val="00B05B7B"/>
    <w:rsid w:val="00B05D14"/>
    <w:rsid w:val="00B06405"/>
    <w:rsid w:val="00B0677C"/>
    <w:rsid w:val="00B0755F"/>
    <w:rsid w:val="00B102FD"/>
    <w:rsid w:val="00B1057B"/>
    <w:rsid w:val="00B10840"/>
    <w:rsid w:val="00B10F89"/>
    <w:rsid w:val="00B11986"/>
    <w:rsid w:val="00B11F10"/>
    <w:rsid w:val="00B128BF"/>
    <w:rsid w:val="00B12F13"/>
    <w:rsid w:val="00B13C94"/>
    <w:rsid w:val="00B13F45"/>
    <w:rsid w:val="00B140A6"/>
    <w:rsid w:val="00B140A9"/>
    <w:rsid w:val="00B14EF8"/>
    <w:rsid w:val="00B15559"/>
    <w:rsid w:val="00B157C6"/>
    <w:rsid w:val="00B15BFB"/>
    <w:rsid w:val="00B168B4"/>
    <w:rsid w:val="00B1695D"/>
    <w:rsid w:val="00B201B8"/>
    <w:rsid w:val="00B20BF1"/>
    <w:rsid w:val="00B20EC4"/>
    <w:rsid w:val="00B21A7D"/>
    <w:rsid w:val="00B22057"/>
    <w:rsid w:val="00B236D4"/>
    <w:rsid w:val="00B250AC"/>
    <w:rsid w:val="00B25156"/>
    <w:rsid w:val="00B25367"/>
    <w:rsid w:val="00B260B3"/>
    <w:rsid w:val="00B26D72"/>
    <w:rsid w:val="00B26DBA"/>
    <w:rsid w:val="00B273A1"/>
    <w:rsid w:val="00B2743A"/>
    <w:rsid w:val="00B305D0"/>
    <w:rsid w:val="00B30846"/>
    <w:rsid w:val="00B3175E"/>
    <w:rsid w:val="00B31ABF"/>
    <w:rsid w:val="00B31ACB"/>
    <w:rsid w:val="00B31F03"/>
    <w:rsid w:val="00B3265F"/>
    <w:rsid w:val="00B33742"/>
    <w:rsid w:val="00B34613"/>
    <w:rsid w:val="00B35D67"/>
    <w:rsid w:val="00B36121"/>
    <w:rsid w:val="00B3657E"/>
    <w:rsid w:val="00B36777"/>
    <w:rsid w:val="00B3680F"/>
    <w:rsid w:val="00B3686A"/>
    <w:rsid w:val="00B368B7"/>
    <w:rsid w:val="00B368D7"/>
    <w:rsid w:val="00B36CEE"/>
    <w:rsid w:val="00B36E03"/>
    <w:rsid w:val="00B37396"/>
    <w:rsid w:val="00B37591"/>
    <w:rsid w:val="00B37773"/>
    <w:rsid w:val="00B37C5B"/>
    <w:rsid w:val="00B40DC4"/>
    <w:rsid w:val="00B410C4"/>
    <w:rsid w:val="00B421C3"/>
    <w:rsid w:val="00B428A2"/>
    <w:rsid w:val="00B42A29"/>
    <w:rsid w:val="00B42E9D"/>
    <w:rsid w:val="00B44842"/>
    <w:rsid w:val="00B44B3B"/>
    <w:rsid w:val="00B45181"/>
    <w:rsid w:val="00B45D90"/>
    <w:rsid w:val="00B45E25"/>
    <w:rsid w:val="00B46471"/>
    <w:rsid w:val="00B4705F"/>
    <w:rsid w:val="00B47282"/>
    <w:rsid w:val="00B47911"/>
    <w:rsid w:val="00B47AB3"/>
    <w:rsid w:val="00B50009"/>
    <w:rsid w:val="00B500BA"/>
    <w:rsid w:val="00B500E4"/>
    <w:rsid w:val="00B50E01"/>
    <w:rsid w:val="00B50FBD"/>
    <w:rsid w:val="00B5141F"/>
    <w:rsid w:val="00B52809"/>
    <w:rsid w:val="00B52932"/>
    <w:rsid w:val="00B52E8F"/>
    <w:rsid w:val="00B53971"/>
    <w:rsid w:val="00B53B4B"/>
    <w:rsid w:val="00B53D25"/>
    <w:rsid w:val="00B53FCE"/>
    <w:rsid w:val="00B542B1"/>
    <w:rsid w:val="00B5444A"/>
    <w:rsid w:val="00B54959"/>
    <w:rsid w:val="00B55DE3"/>
    <w:rsid w:val="00B5600A"/>
    <w:rsid w:val="00B561C0"/>
    <w:rsid w:val="00B56965"/>
    <w:rsid w:val="00B56E9C"/>
    <w:rsid w:val="00B57000"/>
    <w:rsid w:val="00B57282"/>
    <w:rsid w:val="00B60529"/>
    <w:rsid w:val="00B6067F"/>
    <w:rsid w:val="00B60806"/>
    <w:rsid w:val="00B60A54"/>
    <w:rsid w:val="00B60F03"/>
    <w:rsid w:val="00B61219"/>
    <w:rsid w:val="00B61454"/>
    <w:rsid w:val="00B61FDB"/>
    <w:rsid w:val="00B62263"/>
    <w:rsid w:val="00B635CE"/>
    <w:rsid w:val="00B63DBB"/>
    <w:rsid w:val="00B641FE"/>
    <w:rsid w:val="00B6429B"/>
    <w:rsid w:val="00B6448A"/>
    <w:rsid w:val="00B651E4"/>
    <w:rsid w:val="00B65487"/>
    <w:rsid w:val="00B655B2"/>
    <w:rsid w:val="00B664FF"/>
    <w:rsid w:val="00B67C3F"/>
    <w:rsid w:val="00B705B6"/>
    <w:rsid w:val="00B70613"/>
    <w:rsid w:val="00B709ED"/>
    <w:rsid w:val="00B718AF"/>
    <w:rsid w:val="00B7214F"/>
    <w:rsid w:val="00B72857"/>
    <w:rsid w:val="00B73034"/>
    <w:rsid w:val="00B734E2"/>
    <w:rsid w:val="00B73E5A"/>
    <w:rsid w:val="00B740E3"/>
    <w:rsid w:val="00B75552"/>
    <w:rsid w:val="00B75D6C"/>
    <w:rsid w:val="00B75D9F"/>
    <w:rsid w:val="00B7602B"/>
    <w:rsid w:val="00B76030"/>
    <w:rsid w:val="00B76F58"/>
    <w:rsid w:val="00B77105"/>
    <w:rsid w:val="00B7737B"/>
    <w:rsid w:val="00B77836"/>
    <w:rsid w:val="00B8029F"/>
    <w:rsid w:val="00B805C1"/>
    <w:rsid w:val="00B807F8"/>
    <w:rsid w:val="00B80862"/>
    <w:rsid w:val="00B80CE7"/>
    <w:rsid w:val="00B818B4"/>
    <w:rsid w:val="00B81C45"/>
    <w:rsid w:val="00B82227"/>
    <w:rsid w:val="00B8238B"/>
    <w:rsid w:val="00B824ED"/>
    <w:rsid w:val="00B82654"/>
    <w:rsid w:val="00B826D3"/>
    <w:rsid w:val="00B83099"/>
    <w:rsid w:val="00B830C7"/>
    <w:rsid w:val="00B83849"/>
    <w:rsid w:val="00B83C19"/>
    <w:rsid w:val="00B83D46"/>
    <w:rsid w:val="00B83D61"/>
    <w:rsid w:val="00B84373"/>
    <w:rsid w:val="00B84679"/>
    <w:rsid w:val="00B8472E"/>
    <w:rsid w:val="00B848AA"/>
    <w:rsid w:val="00B849FA"/>
    <w:rsid w:val="00B84B6D"/>
    <w:rsid w:val="00B85337"/>
    <w:rsid w:val="00B86334"/>
    <w:rsid w:val="00B8677E"/>
    <w:rsid w:val="00B86FFF"/>
    <w:rsid w:val="00B87879"/>
    <w:rsid w:val="00B879C9"/>
    <w:rsid w:val="00B879FD"/>
    <w:rsid w:val="00B90227"/>
    <w:rsid w:val="00B90375"/>
    <w:rsid w:val="00B90515"/>
    <w:rsid w:val="00B905D8"/>
    <w:rsid w:val="00B91ED9"/>
    <w:rsid w:val="00B923B2"/>
    <w:rsid w:val="00B928C8"/>
    <w:rsid w:val="00B92C93"/>
    <w:rsid w:val="00B93031"/>
    <w:rsid w:val="00B937F7"/>
    <w:rsid w:val="00B955B0"/>
    <w:rsid w:val="00B95A14"/>
    <w:rsid w:val="00B95DAC"/>
    <w:rsid w:val="00B9646A"/>
    <w:rsid w:val="00B966CC"/>
    <w:rsid w:val="00B96A18"/>
    <w:rsid w:val="00B96DF5"/>
    <w:rsid w:val="00B97329"/>
    <w:rsid w:val="00BA0926"/>
    <w:rsid w:val="00BA0C90"/>
    <w:rsid w:val="00BA1559"/>
    <w:rsid w:val="00BA198F"/>
    <w:rsid w:val="00BA1A12"/>
    <w:rsid w:val="00BA1E3F"/>
    <w:rsid w:val="00BA200C"/>
    <w:rsid w:val="00BA214A"/>
    <w:rsid w:val="00BA2595"/>
    <w:rsid w:val="00BA44C7"/>
    <w:rsid w:val="00BA4888"/>
    <w:rsid w:val="00BA4C0B"/>
    <w:rsid w:val="00BA51A7"/>
    <w:rsid w:val="00BA5252"/>
    <w:rsid w:val="00BA55FB"/>
    <w:rsid w:val="00BA5784"/>
    <w:rsid w:val="00BA6859"/>
    <w:rsid w:val="00BA69E3"/>
    <w:rsid w:val="00BA6D73"/>
    <w:rsid w:val="00BA6F4D"/>
    <w:rsid w:val="00BA71DC"/>
    <w:rsid w:val="00BA738D"/>
    <w:rsid w:val="00BA7436"/>
    <w:rsid w:val="00BA7AFD"/>
    <w:rsid w:val="00BB0433"/>
    <w:rsid w:val="00BB068D"/>
    <w:rsid w:val="00BB0E19"/>
    <w:rsid w:val="00BB0FA2"/>
    <w:rsid w:val="00BB160B"/>
    <w:rsid w:val="00BB1DBF"/>
    <w:rsid w:val="00BB22FF"/>
    <w:rsid w:val="00BB2D50"/>
    <w:rsid w:val="00BB3390"/>
    <w:rsid w:val="00BB3B7B"/>
    <w:rsid w:val="00BB3CBF"/>
    <w:rsid w:val="00BB3D87"/>
    <w:rsid w:val="00BB3E2F"/>
    <w:rsid w:val="00BB405A"/>
    <w:rsid w:val="00BB44B9"/>
    <w:rsid w:val="00BB5812"/>
    <w:rsid w:val="00BB59EB"/>
    <w:rsid w:val="00BB5D50"/>
    <w:rsid w:val="00BB5DBB"/>
    <w:rsid w:val="00BB5E28"/>
    <w:rsid w:val="00BB5FCC"/>
    <w:rsid w:val="00BB5FF6"/>
    <w:rsid w:val="00BB60BD"/>
    <w:rsid w:val="00BB6781"/>
    <w:rsid w:val="00BB690C"/>
    <w:rsid w:val="00BB6A9A"/>
    <w:rsid w:val="00BB7514"/>
    <w:rsid w:val="00BB7D3D"/>
    <w:rsid w:val="00BB7FAA"/>
    <w:rsid w:val="00BB7FAC"/>
    <w:rsid w:val="00BC012E"/>
    <w:rsid w:val="00BC086B"/>
    <w:rsid w:val="00BC1127"/>
    <w:rsid w:val="00BC1809"/>
    <w:rsid w:val="00BC26F7"/>
    <w:rsid w:val="00BC3537"/>
    <w:rsid w:val="00BC4092"/>
    <w:rsid w:val="00BC41A4"/>
    <w:rsid w:val="00BC4442"/>
    <w:rsid w:val="00BC46B2"/>
    <w:rsid w:val="00BC56F7"/>
    <w:rsid w:val="00BC6565"/>
    <w:rsid w:val="00BC66F6"/>
    <w:rsid w:val="00BC748E"/>
    <w:rsid w:val="00BC7842"/>
    <w:rsid w:val="00BC7AEF"/>
    <w:rsid w:val="00BD05F1"/>
    <w:rsid w:val="00BD0C93"/>
    <w:rsid w:val="00BD0E29"/>
    <w:rsid w:val="00BD11AA"/>
    <w:rsid w:val="00BD16AE"/>
    <w:rsid w:val="00BD1B35"/>
    <w:rsid w:val="00BD36E6"/>
    <w:rsid w:val="00BD3F1C"/>
    <w:rsid w:val="00BD483B"/>
    <w:rsid w:val="00BD4D13"/>
    <w:rsid w:val="00BD4D23"/>
    <w:rsid w:val="00BD53D8"/>
    <w:rsid w:val="00BD5589"/>
    <w:rsid w:val="00BD585E"/>
    <w:rsid w:val="00BD59A5"/>
    <w:rsid w:val="00BD59D2"/>
    <w:rsid w:val="00BD5FA6"/>
    <w:rsid w:val="00BD6A44"/>
    <w:rsid w:val="00BD6A57"/>
    <w:rsid w:val="00BD6E46"/>
    <w:rsid w:val="00BD6F82"/>
    <w:rsid w:val="00BD7499"/>
    <w:rsid w:val="00BD7849"/>
    <w:rsid w:val="00BD7B12"/>
    <w:rsid w:val="00BE04E8"/>
    <w:rsid w:val="00BE050B"/>
    <w:rsid w:val="00BE0C29"/>
    <w:rsid w:val="00BE0E6F"/>
    <w:rsid w:val="00BE14B8"/>
    <w:rsid w:val="00BE15B7"/>
    <w:rsid w:val="00BE18EA"/>
    <w:rsid w:val="00BE1E91"/>
    <w:rsid w:val="00BE23D0"/>
    <w:rsid w:val="00BE291C"/>
    <w:rsid w:val="00BE2CE0"/>
    <w:rsid w:val="00BE2EE0"/>
    <w:rsid w:val="00BE39A7"/>
    <w:rsid w:val="00BE3DD6"/>
    <w:rsid w:val="00BE485B"/>
    <w:rsid w:val="00BE4B00"/>
    <w:rsid w:val="00BE4B34"/>
    <w:rsid w:val="00BE540D"/>
    <w:rsid w:val="00BE54B3"/>
    <w:rsid w:val="00BE56B0"/>
    <w:rsid w:val="00BE579D"/>
    <w:rsid w:val="00BE5A0A"/>
    <w:rsid w:val="00BE5C5A"/>
    <w:rsid w:val="00BE6012"/>
    <w:rsid w:val="00BE6F8A"/>
    <w:rsid w:val="00BE7052"/>
    <w:rsid w:val="00BE715E"/>
    <w:rsid w:val="00BE73BD"/>
    <w:rsid w:val="00BE7546"/>
    <w:rsid w:val="00BF03AB"/>
    <w:rsid w:val="00BF0823"/>
    <w:rsid w:val="00BF0AF2"/>
    <w:rsid w:val="00BF0EC0"/>
    <w:rsid w:val="00BF1053"/>
    <w:rsid w:val="00BF2842"/>
    <w:rsid w:val="00BF297F"/>
    <w:rsid w:val="00BF29F5"/>
    <w:rsid w:val="00BF2DEF"/>
    <w:rsid w:val="00BF361A"/>
    <w:rsid w:val="00BF3948"/>
    <w:rsid w:val="00BF3BE5"/>
    <w:rsid w:val="00BF3C86"/>
    <w:rsid w:val="00BF401B"/>
    <w:rsid w:val="00BF405D"/>
    <w:rsid w:val="00BF451D"/>
    <w:rsid w:val="00BF4557"/>
    <w:rsid w:val="00BF5769"/>
    <w:rsid w:val="00BF5D5C"/>
    <w:rsid w:val="00BF688F"/>
    <w:rsid w:val="00BF6E89"/>
    <w:rsid w:val="00BF702D"/>
    <w:rsid w:val="00BF7500"/>
    <w:rsid w:val="00C000B5"/>
    <w:rsid w:val="00C01137"/>
    <w:rsid w:val="00C0217F"/>
    <w:rsid w:val="00C02538"/>
    <w:rsid w:val="00C02A14"/>
    <w:rsid w:val="00C039F4"/>
    <w:rsid w:val="00C047D5"/>
    <w:rsid w:val="00C04F2F"/>
    <w:rsid w:val="00C051B2"/>
    <w:rsid w:val="00C05300"/>
    <w:rsid w:val="00C05EF7"/>
    <w:rsid w:val="00C069FC"/>
    <w:rsid w:val="00C070F1"/>
    <w:rsid w:val="00C071E7"/>
    <w:rsid w:val="00C074D6"/>
    <w:rsid w:val="00C07936"/>
    <w:rsid w:val="00C1004B"/>
    <w:rsid w:val="00C100AD"/>
    <w:rsid w:val="00C10D88"/>
    <w:rsid w:val="00C10ECB"/>
    <w:rsid w:val="00C10FD1"/>
    <w:rsid w:val="00C110EB"/>
    <w:rsid w:val="00C11196"/>
    <w:rsid w:val="00C114FE"/>
    <w:rsid w:val="00C11685"/>
    <w:rsid w:val="00C11BDC"/>
    <w:rsid w:val="00C13F8A"/>
    <w:rsid w:val="00C14521"/>
    <w:rsid w:val="00C153DC"/>
    <w:rsid w:val="00C1567B"/>
    <w:rsid w:val="00C15DA4"/>
    <w:rsid w:val="00C15F34"/>
    <w:rsid w:val="00C16880"/>
    <w:rsid w:val="00C17091"/>
    <w:rsid w:val="00C17166"/>
    <w:rsid w:val="00C1746F"/>
    <w:rsid w:val="00C174C8"/>
    <w:rsid w:val="00C20188"/>
    <w:rsid w:val="00C2091D"/>
    <w:rsid w:val="00C20E6B"/>
    <w:rsid w:val="00C20E84"/>
    <w:rsid w:val="00C21048"/>
    <w:rsid w:val="00C211E0"/>
    <w:rsid w:val="00C2243E"/>
    <w:rsid w:val="00C2282B"/>
    <w:rsid w:val="00C228CA"/>
    <w:rsid w:val="00C22A75"/>
    <w:rsid w:val="00C22DF1"/>
    <w:rsid w:val="00C24269"/>
    <w:rsid w:val="00C24401"/>
    <w:rsid w:val="00C249DF"/>
    <w:rsid w:val="00C24BF3"/>
    <w:rsid w:val="00C250CD"/>
    <w:rsid w:val="00C25631"/>
    <w:rsid w:val="00C25A00"/>
    <w:rsid w:val="00C25DF5"/>
    <w:rsid w:val="00C26FF6"/>
    <w:rsid w:val="00C27913"/>
    <w:rsid w:val="00C27D96"/>
    <w:rsid w:val="00C3023B"/>
    <w:rsid w:val="00C30389"/>
    <w:rsid w:val="00C30A3E"/>
    <w:rsid w:val="00C3118A"/>
    <w:rsid w:val="00C31624"/>
    <w:rsid w:val="00C317E1"/>
    <w:rsid w:val="00C31FA7"/>
    <w:rsid w:val="00C32273"/>
    <w:rsid w:val="00C32906"/>
    <w:rsid w:val="00C32EC2"/>
    <w:rsid w:val="00C330C1"/>
    <w:rsid w:val="00C332C1"/>
    <w:rsid w:val="00C33FCB"/>
    <w:rsid w:val="00C34324"/>
    <w:rsid w:val="00C34EB5"/>
    <w:rsid w:val="00C35045"/>
    <w:rsid w:val="00C35342"/>
    <w:rsid w:val="00C353CD"/>
    <w:rsid w:val="00C357B5"/>
    <w:rsid w:val="00C359EB"/>
    <w:rsid w:val="00C36355"/>
    <w:rsid w:val="00C36709"/>
    <w:rsid w:val="00C36850"/>
    <w:rsid w:val="00C369CC"/>
    <w:rsid w:val="00C36A10"/>
    <w:rsid w:val="00C3711A"/>
    <w:rsid w:val="00C37549"/>
    <w:rsid w:val="00C37751"/>
    <w:rsid w:val="00C37867"/>
    <w:rsid w:val="00C378A3"/>
    <w:rsid w:val="00C40054"/>
    <w:rsid w:val="00C40C05"/>
    <w:rsid w:val="00C4103E"/>
    <w:rsid w:val="00C418EF"/>
    <w:rsid w:val="00C4200B"/>
    <w:rsid w:val="00C42753"/>
    <w:rsid w:val="00C42B04"/>
    <w:rsid w:val="00C4328E"/>
    <w:rsid w:val="00C43561"/>
    <w:rsid w:val="00C43DC0"/>
    <w:rsid w:val="00C43F27"/>
    <w:rsid w:val="00C442BF"/>
    <w:rsid w:val="00C4444F"/>
    <w:rsid w:val="00C4462B"/>
    <w:rsid w:val="00C446E3"/>
    <w:rsid w:val="00C44B39"/>
    <w:rsid w:val="00C464DE"/>
    <w:rsid w:val="00C466DE"/>
    <w:rsid w:val="00C468B7"/>
    <w:rsid w:val="00C47DFE"/>
    <w:rsid w:val="00C47FFA"/>
    <w:rsid w:val="00C5016E"/>
    <w:rsid w:val="00C5057F"/>
    <w:rsid w:val="00C50655"/>
    <w:rsid w:val="00C509EC"/>
    <w:rsid w:val="00C50CF9"/>
    <w:rsid w:val="00C50D59"/>
    <w:rsid w:val="00C50F38"/>
    <w:rsid w:val="00C516B9"/>
    <w:rsid w:val="00C519A8"/>
    <w:rsid w:val="00C52CA0"/>
    <w:rsid w:val="00C52F9D"/>
    <w:rsid w:val="00C5341F"/>
    <w:rsid w:val="00C537B4"/>
    <w:rsid w:val="00C54C17"/>
    <w:rsid w:val="00C55A98"/>
    <w:rsid w:val="00C55E3A"/>
    <w:rsid w:val="00C5611F"/>
    <w:rsid w:val="00C561C8"/>
    <w:rsid w:val="00C562E9"/>
    <w:rsid w:val="00C5663A"/>
    <w:rsid w:val="00C56EF5"/>
    <w:rsid w:val="00C57148"/>
    <w:rsid w:val="00C577D4"/>
    <w:rsid w:val="00C60038"/>
    <w:rsid w:val="00C60C64"/>
    <w:rsid w:val="00C615C2"/>
    <w:rsid w:val="00C61F7F"/>
    <w:rsid w:val="00C6207A"/>
    <w:rsid w:val="00C62639"/>
    <w:rsid w:val="00C62C47"/>
    <w:rsid w:val="00C631CA"/>
    <w:rsid w:val="00C63751"/>
    <w:rsid w:val="00C63D2F"/>
    <w:rsid w:val="00C6413B"/>
    <w:rsid w:val="00C6443A"/>
    <w:rsid w:val="00C64AA3"/>
    <w:rsid w:val="00C6511B"/>
    <w:rsid w:val="00C66A5D"/>
    <w:rsid w:val="00C66F6A"/>
    <w:rsid w:val="00C674A2"/>
    <w:rsid w:val="00C67A3B"/>
    <w:rsid w:val="00C67C6C"/>
    <w:rsid w:val="00C67D3B"/>
    <w:rsid w:val="00C67F0E"/>
    <w:rsid w:val="00C70455"/>
    <w:rsid w:val="00C70571"/>
    <w:rsid w:val="00C7087B"/>
    <w:rsid w:val="00C70F58"/>
    <w:rsid w:val="00C7100D"/>
    <w:rsid w:val="00C71418"/>
    <w:rsid w:val="00C71DC6"/>
    <w:rsid w:val="00C71EBA"/>
    <w:rsid w:val="00C721A3"/>
    <w:rsid w:val="00C722F9"/>
    <w:rsid w:val="00C7233A"/>
    <w:rsid w:val="00C72B3B"/>
    <w:rsid w:val="00C72CA7"/>
    <w:rsid w:val="00C72E32"/>
    <w:rsid w:val="00C736B8"/>
    <w:rsid w:val="00C7377D"/>
    <w:rsid w:val="00C74733"/>
    <w:rsid w:val="00C74D36"/>
    <w:rsid w:val="00C75178"/>
    <w:rsid w:val="00C7640E"/>
    <w:rsid w:val="00C76520"/>
    <w:rsid w:val="00C76C05"/>
    <w:rsid w:val="00C771B3"/>
    <w:rsid w:val="00C7734A"/>
    <w:rsid w:val="00C8007B"/>
    <w:rsid w:val="00C80688"/>
    <w:rsid w:val="00C80703"/>
    <w:rsid w:val="00C8074B"/>
    <w:rsid w:val="00C80BAB"/>
    <w:rsid w:val="00C813EC"/>
    <w:rsid w:val="00C81BCB"/>
    <w:rsid w:val="00C81C89"/>
    <w:rsid w:val="00C8274F"/>
    <w:rsid w:val="00C82AC2"/>
    <w:rsid w:val="00C833E8"/>
    <w:rsid w:val="00C83550"/>
    <w:rsid w:val="00C8374F"/>
    <w:rsid w:val="00C84098"/>
    <w:rsid w:val="00C84520"/>
    <w:rsid w:val="00C84B88"/>
    <w:rsid w:val="00C84C2D"/>
    <w:rsid w:val="00C84C58"/>
    <w:rsid w:val="00C84EBC"/>
    <w:rsid w:val="00C85E4F"/>
    <w:rsid w:val="00C85F1B"/>
    <w:rsid w:val="00C86137"/>
    <w:rsid w:val="00C8640B"/>
    <w:rsid w:val="00C867F1"/>
    <w:rsid w:val="00C86DF1"/>
    <w:rsid w:val="00C87D92"/>
    <w:rsid w:val="00C87F22"/>
    <w:rsid w:val="00C9008C"/>
    <w:rsid w:val="00C9086E"/>
    <w:rsid w:val="00C91C7D"/>
    <w:rsid w:val="00C92112"/>
    <w:rsid w:val="00C940B0"/>
    <w:rsid w:val="00C94970"/>
    <w:rsid w:val="00C95109"/>
    <w:rsid w:val="00C951B2"/>
    <w:rsid w:val="00C952DA"/>
    <w:rsid w:val="00C953A4"/>
    <w:rsid w:val="00C95AEB"/>
    <w:rsid w:val="00C95B79"/>
    <w:rsid w:val="00C95E5B"/>
    <w:rsid w:val="00C9621E"/>
    <w:rsid w:val="00C96C2E"/>
    <w:rsid w:val="00C96E40"/>
    <w:rsid w:val="00C96E82"/>
    <w:rsid w:val="00C96F17"/>
    <w:rsid w:val="00C97396"/>
    <w:rsid w:val="00CA0767"/>
    <w:rsid w:val="00CA1F02"/>
    <w:rsid w:val="00CA1F20"/>
    <w:rsid w:val="00CA30F0"/>
    <w:rsid w:val="00CA32B6"/>
    <w:rsid w:val="00CA353D"/>
    <w:rsid w:val="00CA3592"/>
    <w:rsid w:val="00CA35F4"/>
    <w:rsid w:val="00CA46A5"/>
    <w:rsid w:val="00CA547B"/>
    <w:rsid w:val="00CA5D3E"/>
    <w:rsid w:val="00CA636E"/>
    <w:rsid w:val="00CA6499"/>
    <w:rsid w:val="00CB098F"/>
    <w:rsid w:val="00CB0D44"/>
    <w:rsid w:val="00CB1394"/>
    <w:rsid w:val="00CB1920"/>
    <w:rsid w:val="00CB1DD4"/>
    <w:rsid w:val="00CB383A"/>
    <w:rsid w:val="00CB3D58"/>
    <w:rsid w:val="00CB424F"/>
    <w:rsid w:val="00CB4675"/>
    <w:rsid w:val="00CB4E3A"/>
    <w:rsid w:val="00CB6067"/>
    <w:rsid w:val="00CB637D"/>
    <w:rsid w:val="00CB6EDE"/>
    <w:rsid w:val="00CB6F71"/>
    <w:rsid w:val="00CB7936"/>
    <w:rsid w:val="00CC027A"/>
    <w:rsid w:val="00CC0898"/>
    <w:rsid w:val="00CC1229"/>
    <w:rsid w:val="00CC13C0"/>
    <w:rsid w:val="00CC25CB"/>
    <w:rsid w:val="00CC28D1"/>
    <w:rsid w:val="00CC3821"/>
    <w:rsid w:val="00CC3BA8"/>
    <w:rsid w:val="00CC57E6"/>
    <w:rsid w:val="00CC65A7"/>
    <w:rsid w:val="00CC6A1F"/>
    <w:rsid w:val="00CC70D2"/>
    <w:rsid w:val="00CC7170"/>
    <w:rsid w:val="00CC7DE3"/>
    <w:rsid w:val="00CC7F65"/>
    <w:rsid w:val="00CD02DD"/>
    <w:rsid w:val="00CD0FBD"/>
    <w:rsid w:val="00CD1317"/>
    <w:rsid w:val="00CD14FE"/>
    <w:rsid w:val="00CD2B99"/>
    <w:rsid w:val="00CD2E40"/>
    <w:rsid w:val="00CD2ED5"/>
    <w:rsid w:val="00CD3B59"/>
    <w:rsid w:val="00CD4085"/>
    <w:rsid w:val="00CD462A"/>
    <w:rsid w:val="00CD4B6A"/>
    <w:rsid w:val="00CD500F"/>
    <w:rsid w:val="00CD5135"/>
    <w:rsid w:val="00CD556F"/>
    <w:rsid w:val="00CD5F87"/>
    <w:rsid w:val="00CD6936"/>
    <w:rsid w:val="00CD6C1C"/>
    <w:rsid w:val="00CD75A3"/>
    <w:rsid w:val="00CE0254"/>
    <w:rsid w:val="00CE050E"/>
    <w:rsid w:val="00CE0C89"/>
    <w:rsid w:val="00CE176A"/>
    <w:rsid w:val="00CE1930"/>
    <w:rsid w:val="00CE1B6F"/>
    <w:rsid w:val="00CE1E2A"/>
    <w:rsid w:val="00CE1EC6"/>
    <w:rsid w:val="00CE1FCC"/>
    <w:rsid w:val="00CE245B"/>
    <w:rsid w:val="00CE251A"/>
    <w:rsid w:val="00CE283C"/>
    <w:rsid w:val="00CE2A50"/>
    <w:rsid w:val="00CE3714"/>
    <w:rsid w:val="00CE38F3"/>
    <w:rsid w:val="00CE40B1"/>
    <w:rsid w:val="00CE46A4"/>
    <w:rsid w:val="00CE47D2"/>
    <w:rsid w:val="00CE4D28"/>
    <w:rsid w:val="00CE5075"/>
    <w:rsid w:val="00CE5156"/>
    <w:rsid w:val="00CE5611"/>
    <w:rsid w:val="00CE5AF8"/>
    <w:rsid w:val="00CE5B73"/>
    <w:rsid w:val="00CE64EE"/>
    <w:rsid w:val="00CE689E"/>
    <w:rsid w:val="00CE71AA"/>
    <w:rsid w:val="00CE7A7D"/>
    <w:rsid w:val="00CF014B"/>
    <w:rsid w:val="00CF0224"/>
    <w:rsid w:val="00CF044C"/>
    <w:rsid w:val="00CF0A5C"/>
    <w:rsid w:val="00CF0B6B"/>
    <w:rsid w:val="00CF0C76"/>
    <w:rsid w:val="00CF0FE5"/>
    <w:rsid w:val="00CF1A64"/>
    <w:rsid w:val="00CF1CDE"/>
    <w:rsid w:val="00CF1DE2"/>
    <w:rsid w:val="00CF2DD9"/>
    <w:rsid w:val="00CF31E0"/>
    <w:rsid w:val="00CF3207"/>
    <w:rsid w:val="00CF3E8F"/>
    <w:rsid w:val="00CF64D0"/>
    <w:rsid w:val="00CF74F8"/>
    <w:rsid w:val="00CF7509"/>
    <w:rsid w:val="00CF7538"/>
    <w:rsid w:val="00CF7F89"/>
    <w:rsid w:val="00D01814"/>
    <w:rsid w:val="00D0190E"/>
    <w:rsid w:val="00D01CED"/>
    <w:rsid w:val="00D02495"/>
    <w:rsid w:val="00D02F35"/>
    <w:rsid w:val="00D03902"/>
    <w:rsid w:val="00D03A90"/>
    <w:rsid w:val="00D03B46"/>
    <w:rsid w:val="00D03D62"/>
    <w:rsid w:val="00D0437A"/>
    <w:rsid w:val="00D04C93"/>
    <w:rsid w:val="00D04F71"/>
    <w:rsid w:val="00D05002"/>
    <w:rsid w:val="00D05070"/>
    <w:rsid w:val="00D050FF"/>
    <w:rsid w:val="00D0550A"/>
    <w:rsid w:val="00D05D02"/>
    <w:rsid w:val="00D05E71"/>
    <w:rsid w:val="00D05F33"/>
    <w:rsid w:val="00D065B4"/>
    <w:rsid w:val="00D06822"/>
    <w:rsid w:val="00D06A3C"/>
    <w:rsid w:val="00D06C56"/>
    <w:rsid w:val="00D073B7"/>
    <w:rsid w:val="00D07657"/>
    <w:rsid w:val="00D076AD"/>
    <w:rsid w:val="00D07786"/>
    <w:rsid w:val="00D07F42"/>
    <w:rsid w:val="00D10218"/>
    <w:rsid w:val="00D106DC"/>
    <w:rsid w:val="00D10C90"/>
    <w:rsid w:val="00D1182D"/>
    <w:rsid w:val="00D11995"/>
    <w:rsid w:val="00D11FD1"/>
    <w:rsid w:val="00D1233D"/>
    <w:rsid w:val="00D12E77"/>
    <w:rsid w:val="00D1323E"/>
    <w:rsid w:val="00D13282"/>
    <w:rsid w:val="00D13355"/>
    <w:rsid w:val="00D13655"/>
    <w:rsid w:val="00D13794"/>
    <w:rsid w:val="00D1380D"/>
    <w:rsid w:val="00D13E7E"/>
    <w:rsid w:val="00D151F8"/>
    <w:rsid w:val="00D15731"/>
    <w:rsid w:val="00D158B9"/>
    <w:rsid w:val="00D16A24"/>
    <w:rsid w:val="00D16FDC"/>
    <w:rsid w:val="00D174F6"/>
    <w:rsid w:val="00D17536"/>
    <w:rsid w:val="00D17645"/>
    <w:rsid w:val="00D179C3"/>
    <w:rsid w:val="00D17AF9"/>
    <w:rsid w:val="00D17C9D"/>
    <w:rsid w:val="00D17FCD"/>
    <w:rsid w:val="00D20BAB"/>
    <w:rsid w:val="00D222A6"/>
    <w:rsid w:val="00D22313"/>
    <w:rsid w:val="00D224D9"/>
    <w:rsid w:val="00D22B94"/>
    <w:rsid w:val="00D22E04"/>
    <w:rsid w:val="00D23070"/>
    <w:rsid w:val="00D23761"/>
    <w:rsid w:val="00D238CD"/>
    <w:rsid w:val="00D242DA"/>
    <w:rsid w:val="00D2466E"/>
    <w:rsid w:val="00D24EA9"/>
    <w:rsid w:val="00D24FA4"/>
    <w:rsid w:val="00D254B7"/>
    <w:rsid w:val="00D2571E"/>
    <w:rsid w:val="00D25D59"/>
    <w:rsid w:val="00D261F3"/>
    <w:rsid w:val="00D264A3"/>
    <w:rsid w:val="00D26556"/>
    <w:rsid w:val="00D26869"/>
    <w:rsid w:val="00D26B54"/>
    <w:rsid w:val="00D273D0"/>
    <w:rsid w:val="00D2777A"/>
    <w:rsid w:val="00D27B09"/>
    <w:rsid w:val="00D300D3"/>
    <w:rsid w:val="00D30241"/>
    <w:rsid w:val="00D3049A"/>
    <w:rsid w:val="00D30720"/>
    <w:rsid w:val="00D30CD4"/>
    <w:rsid w:val="00D3191C"/>
    <w:rsid w:val="00D31C43"/>
    <w:rsid w:val="00D32040"/>
    <w:rsid w:val="00D32417"/>
    <w:rsid w:val="00D32C06"/>
    <w:rsid w:val="00D3326F"/>
    <w:rsid w:val="00D333D1"/>
    <w:rsid w:val="00D335F3"/>
    <w:rsid w:val="00D33E73"/>
    <w:rsid w:val="00D34484"/>
    <w:rsid w:val="00D34BC4"/>
    <w:rsid w:val="00D3512C"/>
    <w:rsid w:val="00D3534A"/>
    <w:rsid w:val="00D355A0"/>
    <w:rsid w:val="00D35937"/>
    <w:rsid w:val="00D35BD9"/>
    <w:rsid w:val="00D36246"/>
    <w:rsid w:val="00D36427"/>
    <w:rsid w:val="00D3776C"/>
    <w:rsid w:val="00D40442"/>
    <w:rsid w:val="00D411DB"/>
    <w:rsid w:val="00D41271"/>
    <w:rsid w:val="00D41921"/>
    <w:rsid w:val="00D41B84"/>
    <w:rsid w:val="00D4220A"/>
    <w:rsid w:val="00D425C3"/>
    <w:rsid w:val="00D42661"/>
    <w:rsid w:val="00D42DC0"/>
    <w:rsid w:val="00D438D9"/>
    <w:rsid w:val="00D43EE9"/>
    <w:rsid w:val="00D441E5"/>
    <w:rsid w:val="00D44593"/>
    <w:rsid w:val="00D44819"/>
    <w:rsid w:val="00D44E27"/>
    <w:rsid w:val="00D44FC7"/>
    <w:rsid w:val="00D45303"/>
    <w:rsid w:val="00D45448"/>
    <w:rsid w:val="00D46F3E"/>
    <w:rsid w:val="00D476A8"/>
    <w:rsid w:val="00D5060C"/>
    <w:rsid w:val="00D50611"/>
    <w:rsid w:val="00D508F0"/>
    <w:rsid w:val="00D50936"/>
    <w:rsid w:val="00D50CFF"/>
    <w:rsid w:val="00D50F24"/>
    <w:rsid w:val="00D515C9"/>
    <w:rsid w:val="00D51A03"/>
    <w:rsid w:val="00D5277F"/>
    <w:rsid w:val="00D52934"/>
    <w:rsid w:val="00D52B30"/>
    <w:rsid w:val="00D52C91"/>
    <w:rsid w:val="00D53A8D"/>
    <w:rsid w:val="00D551A9"/>
    <w:rsid w:val="00D552E3"/>
    <w:rsid w:val="00D5535F"/>
    <w:rsid w:val="00D558EB"/>
    <w:rsid w:val="00D55A10"/>
    <w:rsid w:val="00D55CE0"/>
    <w:rsid w:val="00D55D3B"/>
    <w:rsid w:val="00D560CA"/>
    <w:rsid w:val="00D571FE"/>
    <w:rsid w:val="00D57955"/>
    <w:rsid w:val="00D57FE3"/>
    <w:rsid w:val="00D61266"/>
    <w:rsid w:val="00D613DA"/>
    <w:rsid w:val="00D61621"/>
    <w:rsid w:val="00D61905"/>
    <w:rsid w:val="00D62714"/>
    <w:rsid w:val="00D63F89"/>
    <w:rsid w:val="00D641AF"/>
    <w:rsid w:val="00D648BB"/>
    <w:rsid w:val="00D64A07"/>
    <w:rsid w:val="00D64B60"/>
    <w:rsid w:val="00D6595E"/>
    <w:rsid w:val="00D65BD5"/>
    <w:rsid w:val="00D65E67"/>
    <w:rsid w:val="00D65F09"/>
    <w:rsid w:val="00D66397"/>
    <w:rsid w:val="00D66E32"/>
    <w:rsid w:val="00D671BC"/>
    <w:rsid w:val="00D67F39"/>
    <w:rsid w:val="00D70133"/>
    <w:rsid w:val="00D70E47"/>
    <w:rsid w:val="00D70F46"/>
    <w:rsid w:val="00D7111F"/>
    <w:rsid w:val="00D71233"/>
    <w:rsid w:val="00D7165F"/>
    <w:rsid w:val="00D71A48"/>
    <w:rsid w:val="00D71CD2"/>
    <w:rsid w:val="00D72D13"/>
    <w:rsid w:val="00D72E01"/>
    <w:rsid w:val="00D73135"/>
    <w:rsid w:val="00D7358A"/>
    <w:rsid w:val="00D7391A"/>
    <w:rsid w:val="00D73D56"/>
    <w:rsid w:val="00D7470B"/>
    <w:rsid w:val="00D74796"/>
    <w:rsid w:val="00D756D1"/>
    <w:rsid w:val="00D75B49"/>
    <w:rsid w:val="00D75C27"/>
    <w:rsid w:val="00D75D5D"/>
    <w:rsid w:val="00D7601B"/>
    <w:rsid w:val="00D7601F"/>
    <w:rsid w:val="00D7608D"/>
    <w:rsid w:val="00D761DD"/>
    <w:rsid w:val="00D76D2E"/>
    <w:rsid w:val="00D770A2"/>
    <w:rsid w:val="00D77233"/>
    <w:rsid w:val="00D77747"/>
    <w:rsid w:val="00D778BA"/>
    <w:rsid w:val="00D77CBE"/>
    <w:rsid w:val="00D8032F"/>
    <w:rsid w:val="00D806FD"/>
    <w:rsid w:val="00D8099E"/>
    <w:rsid w:val="00D80EC6"/>
    <w:rsid w:val="00D8139C"/>
    <w:rsid w:val="00D82799"/>
    <w:rsid w:val="00D83266"/>
    <w:rsid w:val="00D835E7"/>
    <w:rsid w:val="00D83B51"/>
    <w:rsid w:val="00D83E81"/>
    <w:rsid w:val="00D84477"/>
    <w:rsid w:val="00D847C0"/>
    <w:rsid w:val="00D85D42"/>
    <w:rsid w:val="00D86E43"/>
    <w:rsid w:val="00D86F90"/>
    <w:rsid w:val="00D8721A"/>
    <w:rsid w:val="00D874FE"/>
    <w:rsid w:val="00D876C9"/>
    <w:rsid w:val="00D8791F"/>
    <w:rsid w:val="00D87EBC"/>
    <w:rsid w:val="00D9031A"/>
    <w:rsid w:val="00D9216D"/>
    <w:rsid w:val="00D9219D"/>
    <w:rsid w:val="00D92937"/>
    <w:rsid w:val="00D930E6"/>
    <w:rsid w:val="00D93F08"/>
    <w:rsid w:val="00D9445C"/>
    <w:rsid w:val="00D94E5E"/>
    <w:rsid w:val="00D95F30"/>
    <w:rsid w:val="00D95FB2"/>
    <w:rsid w:val="00D9621A"/>
    <w:rsid w:val="00D96453"/>
    <w:rsid w:val="00D96821"/>
    <w:rsid w:val="00D96AB0"/>
    <w:rsid w:val="00D96B29"/>
    <w:rsid w:val="00D97489"/>
    <w:rsid w:val="00D974B5"/>
    <w:rsid w:val="00D9752D"/>
    <w:rsid w:val="00D9776E"/>
    <w:rsid w:val="00DA0314"/>
    <w:rsid w:val="00DA0742"/>
    <w:rsid w:val="00DA127E"/>
    <w:rsid w:val="00DA15D6"/>
    <w:rsid w:val="00DA1F74"/>
    <w:rsid w:val="00DA2E7D"/>
    <w:rsid w:val="00DA33AC"/>
    <w:rsid w:val="00DA3AEC"/>
    <w:rsid w:val="00DA3CCC"/>
    <w:rsid w:val="00DA4902"/>
    <w:rsid w:val="00DA4CCC"/>
    <w:rsid w:val="00DA4DDB"/>
    <w:rsid w:val="00DA4F27"/>
    <w:rsid w:val="00DA54A9"/>
    <w:rsid w:val="00DA5A51"/>
    <w:rsid w:val="00DA5BBC"/>
    <w:rsid w:val="00DA63E6"/>
    <w:rsid w:val="00DA67BE"/>
    <w:rsid w:val="00DA6D84"/>
    <w:rsid w:val="00DA7110"/>
    <w:rsid w:val="00DA7115"/>
    <w:rsid w:val="00DA7A58"/>
    <w:rsid w:val="00DB010F"/>
    <w:rsid w:val="00DB05DA"/>
    <w:rsid w:val="00DB06D0"/>
    <w:rsid w:val="00DB0F75"/>
    <w:rsid w:val="00DB108A"/>
    <w:rsid w:val="00DB15A8"/>
    <w:rsid w:val="00DB1B73"/>
    <w:rsid w:val="00DB2618"/>
    <w:rsid w:val="00DB267A"/>
    <w:rsid w:val="00DB2876"/>
    <w:rsid w:val="00DB298A"/>
    <w:rsid w:val="00DB2D1D"/>
    <w:rsid w:val="00DB391B"/>
    <w:rsid w:val="00DB3CFE"/>
    <w:rsid w:val="00DB3FB8"/>
    <w:rsid w:val="00DB3FBA"/>
    <w:rsid w:val="00DB402E"/>
    <w:rsid w:val="00DB422B"/>
    <w:rsid w:val="00DB4463"/>
    <w:rsid w:val="00DB4E18"/>
    <w:rsid w:val="00DB5328"/>
    <w:rsid w:val="00DB55D8"/>
    <w:rsid w:val="00DB5A14"/>
    <w:rsid w:val="00DB5D65"/>
    <w:rsid w:val="00DB61E3"/>
    <w:rsid w:val="00DB6C60"/>
    <w:rsid w:val="00DB6D86"/>
    <w:rsid w:val="00DB6DDD"/>
    <w:rsid w:val="00DB7047"/>
    <w:rsid w:val="00DB76C6"/>
    <w:rsid w:val="00DB77E0"/>
    <w:rsid w:val="00DB7AE1"/>
    <w:rsid w:val="00DC0322"/>
    <w:rsid w:val="00DC0702"/>
    <w:rsid w:val="00DC0BBE"/>
    <w:rsid w:val="00DC1B14"/>
    <w:rsid w:val="00DC1D0A"/>
    <w:rsid w:val="00DC1F28"/>
    <w:rsid w:val="00DC1FF2"/>
    <w:rsid w:val="00DC26C0"/>
    <w:rsid w:val="00DC2D74"/>
    <w:rsid w:val="00DC303E"/>
    <w:rsid w:val="00DC38ED"/>
    <w:rsid w:val="00DC39FF"/>
    <w:rsid w:val="00DC3B7C"/>
    <w:rsid w:val="00DC563F"/>
    <w:rsid w:val="00DC5DAA"/>
    <w:rsid w:val="00DC684F"/>
    <w:rsid w:val="00DC6E59"/>
    <w:rsid w:val="00DC705F"/>
    <w:rsid w:val="00DC7227"/>
    <w:rsid w:val="00DC79FC"/>
    <w:rsid w:val="00DD056E"/>
    <w:rsid w:val="00DD066E"/>
    <w:rsid w:val="00DD0679"/>
    <w:rsid w:val="00DD0E6B"/>
    <w:rsid w:val="00DD2552"/>
    <w:rsid w:val="00DD28C4"/>
    <w:rsid w:val="00DD392D"/>
    <w:rsid w:val="00DD3ACB"/>
    <w:rsid w:val="00DD6767"/>
    <w:rsid w:val="00DE000B"/>
    <w:rsid w:val="00DE01FF"/>
    <w:rsid w:val="00DE120A"/>
    <w:rsid w:val="00DE14D4"/>
    <w:rsid w:val="00DE1B1B"/>
    <w:rsid w:val="00DE1B35"/>
    <w:rsid w:val="00DE1E47"/>
    <w:rsid w:val="00DE2575"/>
    <w:rsid w:val="00DE26FB"/>
    <w:rsid w:val="00DE4C30"/>
    <w:rsid w:val="00DE515A"/>
    <w:rsid w:val="00DE6370"/>
    <w:rsid w:val="00DE6504"/>
    <w:rsid w:val="00DE73C9"/>
    <w:rsid w:val="00DE77EB"/>
    <w:rsid w:val="00DE7BFA"/>
    <w:rsid w:val="00DF0426"/>
    <w:rsid w:val="00DF0567"/>
    <w:rsid w:val="00DF0A27"/>
    <w:rsid w:val="00DF0CD7"/>
    <w:rsid w:val="00DF170D"/>
    <w:rsid w:val="00DF172C"/>
    <w:rsid w:val="00DF1743"/>
    <w:rsid w:val="00DF1FA6"/>
    <w:rsid w:val="00DF2224"/>
    <w:rsid w:val="00DF2371"/>
    <w:rsid w:val="00DF344F"/>
    <w:rsid w:val="00DF3508"/>
    <w:rsid w:val="00DF38B4"/>
    <w:rsid w:val="00DF4417"/>
    <w:rsid w:val="00DF4789"/>
    <w:rsid w:val="00DF580E"/>
    <w:rsid w:val="00DF5B96"/>
    <w:rsid w:val="00DF62C8"/>
    <w:rsid w:val="00DF64C1"/>
    <w:rsid w:val="00DF64C7"/>
    <w:rsid w:val="00DF651E"/>
    <w:rsid w:val="00DF6BC7"/>
    <w:rsid w:val="00DF7FCE"/>
    <w:rsid w:val="00E000A0"/>
    <w:rsid w:val="00E00AEC"/>
    <w:rsid w:val="00E00B39"/>
    <w:rsid w:val="00E00B9F"/>
    <w:rsid w:val="00E0108E"/>
    <w:rsid w:val="00E01157"/>
    <w:rsid w:val="00E0118E"/>
    <w:rsid w:val="00E01294"/>
    <w:rsid w:val="00E02333"/>
    <w:rsid w:val="00E024AC"/>
    <w:rsid w:val="00E02975"/>
    <w:rsid w:val="00E03272"/>
    <w:rsid w:val="00E0379B"/>
    <w:rsid w:val="00E037BC"/>
    <w:rsid w:val="00E039C9"/>
    <w:rsid w:val="00E04126"/>
    <w:rsid w:val="00E049AE"/>
    <w:rsid w:val="00E052B5"/>
    <w:rsid w:val="00E05BC0"/>
    <w:rsid w:val="00E05CA4"/>
    <w:rsid w:val="00E06060"/>
    <w:rsid w:val="00E06360"/>
    <w:rsid w:val="00E0672A"/>
    <w:rsid w:val="00E06C04"/>
    <w:rsid w:val="00E07799"/>
    <w:rsid w:val="00E07975"/>
    <w:rsid w:val="00E07AB4"/>
    <w:rsid w:val="00E07B9A"/>
    <w:rsid w:val="00E1053E"/>
    <w:rsid w:val="00E106ED"/>
    <w:rsid w:val="00E10B3F"/>
    <w:rsid w:val="00E1209D"/>
    <w:rsid w:val="00E1217E"/>
    <w:rsid w:val="00E12486"/>
    <w:rsid w:val="00E124B7"/>
    <w:rsid w:val="00E128D4"/>
    <w:rsid w:val="00E129FD"/>
    <w:rsid w:val="00E12D3F"/>
    <w:rsid w:val="00E12F47"/>
    <w:rsid w:val="00E135BB"/>
    <w:rsid w:val="00E13E54"/>
    <w:rsid w:val="00E140F1"/>
    <w:rsid w:val="00E14907"/>
    <w:rsid w:val="00E15146"/>
    <w:rsid w:val="00E156AD"/>
    <w:rsid w:val="00E15B91"/>
    <w:rsid w:val="00E1606A"/>
    <w:rsid w:val="00E161E2"/>
    <w:rsid w:val="00E1621E"/>
    <w:rsid w:val="00E168F7"/>
    <w:rsid w:val="00E1734D"/>
    <w:rsid w:val="00E17508"/>
    <w:rsid w:val="00E17696"/>
    <w:rsid w:val="00E17F9E"/>
    <w:rsid w:val="00E2033E"/>
    <w:rsid w:val="00E21A52"/>
    <w:rsid w:val="00E21BFB"/>
    <w:rsid w:val="00E22045"/>
    <w:rsid w:val="00E2215A"/>
    <w:rsid w:val="00E231DD"/>
    <w:rsid w:val="00E23438"/>
    <w:rsid w:val="00E23CB6"/>
    <w:rsid w:val="00E24024"/>
    <w:rsid w:val="00E243B6"/>
    <w:rsid w:val="00E2453B"/>
    <w:rsid w:val="00E24BD3"/>
    <w:rsid w:val="00E24E5D"/>
    <w:rsid w:val="00E24FC4"/>
    <w:rsid w:val="00E258D6"/>
    <w:rsid w:val="00E25A79"/>
    <w:rsid w:val="00E2798E"/>
    <w:rsid w:val="00E27F7E"/>
    <w:rsid w:val="00E27FFD"/>
    <w:rsid w:val="00E30693"/>
    <w:rsid w:val="00E311B3"/>
    <w:rsid w:val="00E31210"/>
    <w:rsid w:val="00E31222"/>
    <w:rsid w:val="00E31562"/>
    <w:rsid w:val="00E3186F"/>
    <w:rsid w:val="00E31A7A"/>
    <w:rsid w:val="00E3233C"/>
    <w:rsid w:val="00E326F5"/>
    <w:rsid w:val="00E3278E"/>
    <w:rsid w:val="00E33635"/>
    <w:rsid w:val="00E33736"/>
    <w:rsid w:val="00E3375B"/>
    <w:rsid w:val="00E33957"/>
    <w:rsid w:val="00E33AA5"/>
    <w:rsid w:val="00E3422C"/>
    <w:rsid w:val="00E3496E"/>
    <w:rsid w:val="00E34B87"/>
    <w:rsid w:val="00E35231"/>
    <w:rsid w:val="00E35E07"/>
    <w:rsid w:val="00E35FF7"/>
    <w:rsid w:val="00E367AD"/>
    <w:rsid w:val="00E36D30"/>
    <w:rsid w:val="00E37523"/>
    <w:rsid w:val="00E37A43"/>
    <w:rsid w:val="00E37C5A"/>
    <w:rsid w:val="00E37DBB"/>
    <w:rsid w:val="00E37F05"/>
    <w:rsid w:val="00E401CB"/>
    <w:rsid w:val="00E402EA"/>
    <w:rsid w:val="00E4057B"/>
    <w:rsid w:val="00E405A2"/>
    <w:rsid w:val="00E4137B"/>
    <w:rsid w:val="00E4185C"/>
    <w:rsid w:val="00E41877"/>
    <w:rsid w:val="00E419BC"/>
    <w:rsid w:val="00E41C33"/>
    <w:rsid w:val="00E41F71"/>
    <w:rsid w:val="00E423DF"/>
    <w:rsid w:val="00E424DE"/>
    <w:rsid w:val="00E42AB4"/>
    <w:rsid w:val="00E42FB1"/>
    <w:rsid w:val="00E43712"/>
    <w:rsid w:val="00E43877"/>
    <w:rsid w:val="00E43D3D"/>
    <w:rsid w:val="00E441EB"/>
    <w:rsid w:val="00E456BB"/>
    <w:rsid w:val="00E46C3D"/>
    <w:rsid w:val="00E46DB7"/>
    <w:rsid w:val="00E479D4"/>
    <w:rsid w:val="00E50ABB"/>
    <w:rsid w:val="00E50C17"/>
    <w:rsid w:val="00E5116D"/>
    <w:rsid w:val="00E51B46"/>
    <w:rsid w:val="00E521AE"/>
    <w:rsid w:val="00E52548"/>
    <w:rsid w:val="00E52549"/>
    <w:rsid w:val="00E5283F"/>
    <w:rsid w:val="00E52BC3"/>
    <w:rsid w:val="00E53300"/>
    <w:rsid w:val="00E5355A"/>
    <w:rsid w:val="00E53955"/>
    <w:rsid w:val="00E53AF9"/>
    <w:rsid w:val="00E542E9"/>
    <w:rsid w:val="00E5455F"/>
    <w:rsid w:val="00E54A77"/>
    <w:rsid w:val="00E55A75"/>
    <w:rsid w:val="00E56443"/>
    <w:rsid w:val="00E568AB"/>
    <w:rsid w:val="00E56CB1"/>
    <w:rsid w:val="00E5749A"/>
    <w:rsid w:val="00E57861"/>
    <w:rsid w:val="00E57F30"/>
    <w:rsid w:val="00E62197"/>
    <w:rsid w:val="00E621C6"/>
    <w:rsid w:val="00E62937"/>
    <w:rsid w:val="00E62938"/>
    <w:rsid w:val="00E630E6"/>
    <w:rsid w:val="00E63239"/>
    <w:rsid w:val="00E632B9"/>
    <w:rsid w:val="00E63F78"/>
    <w:rsid w:val="00E643D8"/>
    <w:rsid w:val="00E64CE7"/>
    <w:rsid w:val="00E654F7"/>
    <w:rsid w:val="00E659CD"/>
    <w:rsid w:val="00E65A1B"/>
    <w:rsid w:val="00E65D01"/>
    <w:rsid w:val="00E65FF7"/>
    <w:rsid w:val="00E666CE"/>
    <w:rsid w:val="00E66838"/>
    <w:rsid w:val="00E66AA9"/>
    <w:rsid w:val="00E671FA"/>
    <w:rsid w:val="00E675A2"/>
    <w:rsid w:val="00E70257"/>
    <w:rsid w:val="00E719BB"/>
    <w:rsid w:val="00E725A9"/>
    <w:rsid w:val="00E72936"/>
    <w:rsid w:val="00E72AEA"/>
    <w:rsid w:val="00E72B9D"/>
    <w:rsid w:val="00E735C2"/>
    <w:rsid w:val="00E738F7"/>
    <w:rsid w:val="00E73C33"/>
    <w:rsid w:val="00E745E7"/>
    <w:rsid w:val="00E74C0E"/>
    <w:rsid w:val="00E75148"/>
    <w:rsid w:val="00E759B9"/>
    <w:rsid w:val="00E75AD5"/>
    <w:rsid w:val="00E761E7"/>
    <w:rsid w:val="00E765A9"/>
    <w:rsid w:val="00E7687B"/>
    <w:rsid w:val="00E76B19"/>
    <w:rsid w:val="00E800EF"/>
    <w:rsid w:val="00E80278"/>
    <w:rsid w:val="00E80EF6"/>
    <w:rsid w:val="00E81251"/>
    <w:rsid w:val="00E818EE"/>
    <w:rsid w:val="00E81B9E"/>
    <w:rsid w:val="00E81BF0"/>
    <w:rsid w:val="00E8266B"/>
    <w:rsid w:val="00E82B6D"/>
    <w:rsid w:val="00E82CE1"/>
    <w:rsid w:val="00E82D18"/>
    <w:rsid w:val="00E83122"/>
    <w:rsid w:val="00E83307"/>
    <w:rsid w:val="00E834E5"/>
    <w:rsid w:val="00E835D2"/>
    <w:rsid w:val="00E8386E"/>
    <w:rsid w:val="00E8409B"/>
    <w:rsid w:val="00E84407"/>
    <w:rsid w:val="00E84946"/>
    <w:rsid w:val="00E8497D"/>
    <w:rsid w:val="00E84CD4"/>
    <w:rsid w:val="00E858D6"/>
    <w:rsid w:val="00E85C80"/>
    <w:rsid w:val="00E85E02"/>
    <w:rsid w:val="00E85E9B"/>
    <w:rsid w:val="00E85FA5"/>
    <w:rsid w:val="00E85FEC"/>
    <w:rsid w:val="00E86148"/>
    <w:rsid w:val="00E86E53"/>
    <w:rsid w:val="00E87327"/>
    <w:rsid w:val="00E906AD"/>
    <w:rsid w:val="00E90983"/>
    <w:rsid w:val="00E90C28"/>
    <w:rsid w:val="00E91583"/>
    <w:rsid w:val="00E920A6"/>
    <w:rsid w:val="00E921C6"/>
    <w:rsid w:val="00E9265A"/>
    <w:rsid w:val="00E92B05"/>
    <w:rsid w:val="00E94BE6"/>
    <w:rsid w:val="00E94F66"/>
    <w:rsid w:val="00E95C50"/>
    <w:rsid w:val="00E95CAD"/>
    <w:rsid w:val="00E9617E"/>
    <w:rsid w:val="00E962FF"/>
    <w:rsid w:val="00E9680A"/>
    <w:rsid w:val="00E97589"/>
    <w:rsid w:val="00E979F6"/>
    <w:rsid w:val="00E97C48"/>
    <w:rsid w:val="00EA0178"/>
    <w:rsid w:val="00EA061A"/>
    <w:rsid w:val="00EA113E"/>
    <w:rsid w:val="00EA178E"/>
    <w:rsid w:val="00EA1A5B"/>
    <w:rsid w:val="00EA2802"/>
    <w:rsid w:val="00EA2AEA"/>
    <w:rsid w:val="00EA2E51"/>
    <w:rsid w:val="00EA2F4C"/>
    <w:rsid w:val="00EA300C"/>
    <w:rsid w:val="00EA32D8"/>
    <w:rsid w:val="00EA4071"/>
    <w:rsid w:val="00EA4111"/>
    <w:rsid w:val="00EA4701"/>
    <w:rsid w:val="00EA4C4A"/>
    <w:rsid w:val="00EA5CC9"/>
    <w:rsid w:val="00EA5D0D"/>
    <w:rsid w:val="00EA5F37"/>
    <w:rsid w:val="00EA6AE8"/>
    <w:rsid w:val="00EA730B"/>
    <w:rsid w:val="00EB0CA3"/>
    <w:rsid w:val="00EB1FD8"/>
    <w:rsid w:val="00EB2339"/>
    <w:rsid w:val="00EB2611"/>
    <w:rsid w:val="00EB342E"/>
    <w:rsid w:val="00EB347E"/>
    <w:rsid w:val="00EB404A"/>
    <w:rsid w:val="00EB4FFB"/>
    <w:rsid w:val="00EB511E"/>
    <w:rsid w:val="00EB5400"/>
    <w:rsid w:val="00EB5B82"/>
    <w:rsid w:val="00EB5C8D"/>
    <w:rsid w:val="00EB60C9"/>
    <w:rsid w:val="00EB6512"/>
    <w:rsid w:val="00EB6CC1"/>
    <w:rsid w:val="00EB791E"/>
    <w:rsid w:val="00EC1856"/>
    <w:rsid w:val="00EC312A"/>
    <w:rsid w:val="00EC38C2"/>
    <w:rsid w:val="00EC3AF5"/>
    <w:rsid w:val="00EC4F12"/>
    <w:rsid w:val="00EC5487"/>
    <w:rsid w:val="00EC555C"/>
    <w:rsid w:val="00EC573B"/>
    <w:rsid w:val="00EC5B0F"/>
    <w:rsid w:val="00EC61C7"/>
    <w:rsid w:val="00EC6915"/>
    <w:rsid w:val="00EC6E2B"/>
    <w:rsid w:val="00EC7892"/>
    <w:rsid w:val="00ED103E"/>
    <w:rsid w:val="00ED11DF"/>
    <w:rsid w:val="00ED2003"/>
    <w:rsid w:val="00ED2E12"/>
    <w:rsid w:val="00ED328E"/>
    <w:rsid w:val="00ED36FE"/>
    <w:rsid w:val="00ED3D7A"/>
    <w:rsid w:val="00ED441C"/>
    <w:rsid w:val="00ED51DA"/>
    <w:rsid w:val="00ED547B"/>
    <w:rsid w:val="00ED58E6"/>
    <w:rsid w:val="00ED5921"/>
    <w:rsid w:val="00ED5A6F"/>
    <w:rsid w:val="00ED5D30"/>
    <w:rsid w:val="00ED6B8D"/>
    <w:rsid w:val="00ED7272"/>
    <w:rsid w:val="00ED7A14"/>
    <w:rsid w:val="00ED7A19"/>
    <w:rsid w:val="00ED7BEA"/>
    <w:rsid w:val="00ED7C58"/>
    <w:rsid w:val="00EE00F7"/>
    <w:rsid w:val="00EE0B7C"/>
    <w:rsid w:val="00EE0BFC"/>
    <w:rsid w:val="00EE1D67"/>
    <w:rsid w:val="00EE1F22"/>
    <w:rsid w:val="00EE2379"/>
    <w:rsid w:val="00EE25DA"/>
    <w:rsid w:val="00EE3156"/>
    <w:rsid w:val="00EE31DA"/>
    <w:rsid w:val="00EE353D"/>
    <w:rsid w:val="00EE361E"/>
    <w:rsid w:val="00EE3686"/>
    <w:rsid w:val="00EE3A51"/>
    <w:rsid w:val="00EE3CC2"/>
    <w:rsid w:val="00EE475D"/>
    <w:rsid w:val="00EE4AF6"/>
    <w:rsid w:val="00EE546B"/>
    <w:rsid w:val="00EE6440"/>
    <w:rsid w:val="00EE7A8A"/>
    <w:rsid w:val="00EF0133"/>
    <w:rsid w:val="00EF0C99"/>
    <w:rsid w:val="00EF0CCD"/>
    <w:rsid w:val="00EF11AB"/>
    <w:rsid w:val="00EF1404"/>
    <w:rsid w:val="00EF148B"/>
    <w:rsid w:val="00EF182D"/>
    <w:rsid w:val="00EF19D0"/>
    <w:rsid w:val="00EF1BDA"/>
    <w:rsid w:val="00EF1CCC"/>
    <w:rsid w:val="00EF261D"/>
    <w:rsid w:val="00EF3318"/>
    <w:rsid w:val="00EF3705"/>
    <w:rsid w:val="00EF39DA"/>
    <w:rsid w:val="00EF39DD"/>
    <w:rsid w:val="00EF52BA"/>
    <w:rsid w:val="00EF5889"/>
    <w:rsid w:val="00EF5B72"/>
    <w:rsid w:val="00EF5D4A"/>
    <w:rsid w:val="00EF71E2"/>
    <w:rsid w:val="00EF79C5"/>
    <w:rsid w:val="00EF7AA4"/>
    <w:rsid w:val="00F00D97"/>
    <w:rsid w:val="00F01AC0"/>
    <w:rsid w:val="00F01F4D"/>
    <w:rsid w:val="00F02052"/>
    <w:rsid w:val="00F0262C"/>
    <w:rsid w:val="00F035E7"/>
    <w:rsid w:val="00F03BC1"/>
    <w:rsid w:val="00F0412A"/>
    <w:rsid w:val="00F0445C"/>
    <w:rsid w:val="00F04F98"/>
    <w:rsid w:val="00F05435"/>
    <w:rsid w:val="00F056A9"/>
    <w:rsid w:val="00F06121"/>
    <w:rsid w:val="00F06A93"/>
    <w:rsid w:val="00F072C1"/>
    <w:rsid w:val="00F10586"/>
    <w:rsid w:val="00F107B8"/>
    <w:rsid w:val="00F10A60"/>
    <w:rsid w:val="00F119A0"/>
    <w:rsid w:val="00F11B72"/>
    <w:rsid w:val="00F12C16"/>
    <w:rsid w:val="00F12E77"/>
    <w:rsid w:val="00F137E6"/>
    <w:rsid w:val="00F1514D"/>
    <w:rsid w:val="00F156BD"/>
    <w:rsid w:val="00F1583B"/>
    <w:rsid w:val="00F15883"/>
    <w:rsid w:val="00F15A51"/>
    <w:rsid w:val="00F16CFA"/>
    <w:rsid w:val="00F17011"/>
    <w:rsid w:val="00F170F0"/>
    <w:rsid w:val="00F1718A"/>
    <w:rsid w:val="00F173DE"/>
    <w:rsid w:val="00F20410"/>
    <w:rsid w:val="00F2067C"/>
    <w:rsid w:val="00F20724"/>
    <w:rsid w:val="00F20866"/>
    <w:rsid w:val="00F2089C"/>
    <w:rsid w:val="00F208D2"/>
    <w:rsid w:val="00F2090D"/>
    <w:rsid w:val="00F20E47"/>
    <w:rsid w:val="00F2105F"/>
    <w:rsid w:val="00F215DA"/>
    <w:rsid w:val="00F21F66"/>
    <w:rsid w:val="00F22801"/>
    <w:rsid w:val="00F23228"/>
    <w:rsid w:val="00F23BCC"/>
    <w:rsid w:val="00F23ED1"/>
    <w:rsid w:val="00F24192"/>
    <w:rsid w:val="00F24872"/>
    <w:rsid w:val="00F25458"/>
    <w:rsid w:val="00F25A4C"/>
    <w:rsid w:val="00F25B54"/>
    <w:rsid w:val="00F26396"/>
    <w:rsid w:val="00F274AE"/>
    <w:rsid w:val="00F30362"/>
    <w:rsid w:val="00F30600"/>
    <w:rsid w:val="00F3064D"/>
    <w:rsid w:val="00F306D9"/>
    <w:rsid w:val="00F31A17"/>
    <w:rsid w:val="00F31C56"/>
    <w:rsid w:val="00F325EA"/>
    <w:rsid w:val="00F3305D"/>
    <w:rsid w:val="00F33DC5"/>
    <w:rsid w:val="00F350D7"/>
    <w:rsid w:val="00F35235"/>
    <w:rsid w:val="00F35FDD"/>
    <w:rsid w:val="00F365C3"/>
    <w:rsid w:val="00F3664A"/>
    <w:rsid w:val="00F369AA"/>
    <w:rsid w:val="00F36F39"/>
    <w:rsid w:val="00F371EE"/>
    <w:rsid w:val="00F3745F"/>
    <w:rsid w:val="00F37804"/>
    <w:rsid w:val="00F40190"/>
    <w:rsid w:val="00F402F6"/>
    <w:rsid w:val="00F40538"/>
    <w:rsid w:val="00F40CE9"/>
    <w:rsid w:val="00F414BA"/>
    <w:rsid w:val="00F4157E"/>
    <w:rsid w:val="00F418E9"/>
    <w:rsid w:val="00F41CE1"/>
    <w:rsid w:val="00F41E2D"/>
    <w:rsid w:val="00F4276E"/>
    <w:rsid w:val="00F4361D"/>
    <w:rsid w:val="00F437F8"/>
    <w:rsid w:val="00F4384D"/>
    <w:rsid w:val="00F43EDC"/>
    <w:rsid w:val="00F4442F"/>
    <w:rsid w:val="00F448C1"/>
    <w:rsid w:val="00F46365"/>
    <w:rsid w:val="00F478B1"/>
    <w:rsid w:val="00F47942"/>
    <w:rsid w:val="00F47CC0"/>
    <w:rsid w:val="00F51070"/>
    <w:rsid w:val="00F511A9"/>
    <w:rsid w:val="00F51510"/>
    <w:rsid w:val="00F52861"/>
    <w:rsid w:val="00F52C24"/>
    <w:rsid w:val="00F53157"/>
    <w:rsid w:val="00F53623"/>
    <w:rsid w:val="00F536BA"/>
    <w:rsid w:val="00F53B0F"/>
    <w:rsid w:val="00F5463D"/>
    <w:rsid w:val="00F548D7"/>
    <w:rsid w:val="00F54CD9"/>
    <w:rsid w:val="00F54E6D"/>
    <w:rsid w:val="00F564CD"/>
    <w:rsid w:val="00F57309"/>
    <w:rsid w:val="00F5755D"/>
    <w:rsid w:val="00F57ADA"/>
    <w:rsid w:val="00F57BB0"/>
    <w:rsid w:val="00F6003C"/>
    <w:rsid w:val="00F60DEC"/>
    <w:rsid w:val="00F6163B"/>
    <w:rsid w:val="00F617F4"/>
    <w:rsid w:val="00F61E57"/>
    <w:rsid w:val="00F6259A"/>
    <w:rsid w:val="00F627E6"/>
    <w:rsid w:val="00F63116"/>
    <w:rsid w:val="00F631C2"/>
    <w:rsid w:val="00F631F4"/>
    <w:rsid w:val="00F636C9"/>
    <w:rsid w:val="00F639AB"/>
    <w:rsid w:val="00F649A5"/>
    <w:rsid w:val="00F65191"/>
    <w:rsid w:val="00F657C8"/>
    <w:rsid w:val="00F657EA"/>
    <w:rsid w:val="00F659CD"/>
    <w:rsid w:val="00F66111"/>
    <w:rsid w:val="00F66B26"/>
    <w:rsid w:val="00F66E8B"/>
    <w:rsid w:val="00F67162"/>
    <w:rsid w:val="00F67357"/>
    <w:rsid w:val="00F67467"/>
    <w:rsid w:val="00F70098"/>
    <w:rsid w:val="00F705FF"/>
    <w:rsid w:val="00F70995"/>
    <w:rsid w:val="00F71039"/>
    <w:rsid w:val="00F71081"/>
    <w:rsid w:val="00F7178A"/>
    <w:rsid w:val="00F71F28"/>
    <w:rsid w:val="00F725C1"/>
    <w:rsid w:val="00F72AA9"/>
    <w:rsid w:val="00F72E5D"/>
    <w:rsid w:val="00F73361"/>
    <w:rsid w:val="00F7353D"/>
    <w:rsid w:val="00F73C44"/>
    <w:rsid w:val="00F74596"/>
    <w:rsid w:val="00F75776"/>
    <w:rsid w:val="00F75C6B"/>
    <w:rsid w:val="00F75D1D"/>
    <w:rsid w:val="00F7626E"/>
    <w:rsid w:val="00F7686A"/>
    <w:rsid w:val="00F773EB"/>
    <w:rsid w:val="00F777D6"/>
    <w:rsid w:val="00F779D0"/>
    <w:rsid w:val="00F77E07"/>
    <w:rsid w:val="00F80AC4"/>
    <w:rsid w:val="00F816A7"/>
    <w:rsid w:val="00F81F30"/>
    <w:rsid w:val="00F81F8A"/>
    <w:rsid w:val="00F825FB"/>
    <w:rsid w:val="00F82619"/>
    <w:rsid w:val="00F82B36"/>
    <w:rsid w:val="00F82D33"/>
    <w:rsid w:val="00F831FF"/>
    <w:rsid w:val="00F834EA"/>
    <w:rsid w:val="00F8352C"/>
    <w:rsid w:val="00F8357F"/>
    <w:rsid w:val="00F8381D"/>
    <w:rsid w:val="00F83B49"/>
    <w:rsid w:val="00F83E47"/>
    <w:rsid w:val="00F840D9"/>
    <w:rsid w:val="00F859A9"/>
    <w:rsid w:val="00F85B08"/>
    <w:rsid w:val="00F85E9D"/>
    <w:rsid w:val="00F86848"/>
    <w:rsid w:val="00F87958"/>
    <w:rsid w:val="00F87A8A"/>
    <w:rsid w:val="00F90CFC"/>
    <w:rsid w:val="00F90E57"/>
    <w:rsid w:val="00F910DD"/>
    <w:rsid w:val="00F914EA"/>
    <w:rsid w:val="00F91A54"/>
    <w:rsid w:val="00F91CDA"/>
    <w:rsid w:val="00F91E40"/>
    <w:rsid w:val="00F92405"/>
    <w:rsid w:val="00F926DE"/>
    <w:rsid w:val="00F92A4B"/>
    <w:rsid w:val="00F93AD5"/>
    <w:rsid w:val="00F94199"/>
    <w:rsid w:val="00F9428D"/>
    <w:rsid w:val="00F94885"/>
    <w:rsid w:val="00F94FAA"/>
    <w:rsid w:val="00F94FF5"/>
    <w:rsid w:val="00F950B0"/>
    <w:rsid w:val="00F954A2"/>
    <w:rsid w:val="00F95610"/>
    <w:rsid w:val="00F95AE2"/>
    <w:rsid w:val="00F97350"/>
    <w:rsid w:val="00F97B98"/>
    <w:rsid w:val="00FA0352"/>
    <w:rsid w:val="00FA0CB6"/>
    <w:rsid w:val="00FA189C"/>
    <w:rsid w:val="00FA1A7C"/>
    <w:rsid w:val="00FA22DA"/>
    <w:rsid w:val="00FA2DFC"/>
    <w:rsid w:val="00FA33F0"/>
    <w:rsid w:val="00FA3613"/>
    <w:rsid w:val="00FA3AD2"/>
    <w:rsid w:val="00FA4380"/>
    <w:rsid w:val="00FA483A"/>
    <w:rsid w:val="00FA4F46"/>
    <w:rsid w:val="00FA645A"/>
    <w:rsid w:val="00FA6684"/>
    <w:rsid w:val="00FA6FAF"/>
    <w:rsid w:val="00FA7367"/>
    <w:rsid w:val="00FA74C3"/>
    <w:rsid w:val="00FA7B35"/>
    <w:rsid w:val="00FA7CA3"/>
    <w:rsid w:val="00FA7EEB"/>
    <w:rsid w:val="00FB28BE"/>
    <w:rsid w:val="00FB3371"/>
    <w:rsid w:val="00FB3639"/>
    <w:rsid w:val="00FB3F11"/>
    <w:rsid w:val="00FB463F"/>
    <w:rsid w:val="00FB4BA9"/>
    <w:rsid w:val="00FB5188"/>
    <w:rsid w:val="00FB51B1"/>
    <w:rsid w:val="00FB589C"/>
    <w:rsid w:val="00FB5954"/>
    <w:rsid w:val="00FB5BEB"/>
    <w:rsid w:val="00FB6030"/>
    <w:rsid w:val="00FB6689"/>
    <w:rsid w:val="00FB7BFE"/>
    <w:rsid w:val="00FB7C1B"/>
    <w:rsid w:val="00FB7DDD"/>
    <w:rsid w:val="00FC02C6"/>
    <w:rsid w:val="00FC096B"/>
    <w:rsid w:val="00FC0FCD"/>
    <w:rsid w:val="00FC1039"/>
    <w:rsid w:val="00FC1268"/>
    <w:rsid w:val="00FC176A"/>
    <w:rsid w:val="00FC1D4D"/>
    <w:rsid w:val="00FC2005"/>
    <w:rsid w:val="00FC346B"/>
    <w:rsid w:val="00FC483A"/>
    <w:rsid w:val="00FC6357"/>
    <w:rsid w:val="00FC6547"/>
    <w:rsid w:val="00FC6885"/>
    <w:rsid w:val="00FC6A5E"/>
    <w:rsid w:val="00FC7BAD"/>
    <w:rsid w:val="00FC7BB2"/>
    <w:rsid w:val="00FD0DCF"/>
    <w:rsid w:val="00FD12A3"/>
    <w:rsid w:val="00FD184C"/>
    <w:rsid w:val="00FD1BA5"/>
    <w:rsid w:val="00FD235B"/>
    <w:rsid w:val="00FD284E"/>
    <w:rsid w:val="00FD32BB"/>
    <w:rsid w:val="00FD35F2"/>
    <w:rsid w:val="00FD3730"/>
    <w:rsid w:val="00FD3B4E"/>
    <w:rsid w:val="00FD3BFD"/>
    <w:rsid w:val="00FD4257"/>
    <w:rsid w:val="00FD4782"/>
    <w:rsid w:val="00FD4B4E"/>
    <w:rsid w:val="00FD6043"/>
    <w:rsid w:val="00FD6CEA"/>
    <w:rsid w:val="00FD739B"/>
    <w:rsid w:val="00FD7AB5"/>
    <w:rsid w:val="00FD7E88"/>
    <w:rsid w:val="00FE0274"/>
    <w:rsid w:val="00FE0568"/>
    <w:rsid w:val="00FE1549"/>
    <w:rsid w:val="00FE1989"/>
    <w:rsid w:val="00FE1EC4"/>
    <w:rsid w:val="00FE21BA"/>
    <w:rsid w:val="00FE28BD"/>
    <w:rsid w:val="00FE2AC3"/>
    <w:rsid w:val="00FE2ADA"/>
    <w:rsid w:val="00FE2FFC"/>
    <w:rsid w:val="00FE312E"/>
    <w:rsid w:val="00FE3945"/>
    <w:rsid w:val="00FE3FED"/>
    <w:rsid w:val="00FE45CE"/>
    <w:rsid w:val="00FE51A6"/>
    <w:rsid w:val="00FE5A3E"/>
    <w:rsid w:val="00FE5DB8"/>
    <w:rsid w:val="00FE5E71"/>
    <w:rsid w:val="00FE606D"/>
    <w:rsid w:val="00FE697F"/>
    <w:rsid w:val="00FE716B"/>
    <w:rsid w:val="00FE7CCE"/>
    <w:rsid w:val="00FF0691"/>
    <w:rsid w:val="00FF0850"/>
    <w:rsid w:val="00FF0FC3"/>
    <w:rsid w:val="00FF1B03"/>
    <w:rsid w:val="00FF1E0C"/>
    <w:rsid w:val="00FF21BC"/>
    <w:rsid w:val="00FF29A2"/>
    <w:rsid w:val="00FF2F02"/>
    <w:rsid w:val="00FF345F"/>
    <w:rsid w:val="00FF3BF6"/>
    <w:rsid w:val="00FF46EC"/>
    <w:rsid w:val="00FF4BF3"/>
    <w:rsid w:val="00FF4F3D"/>
    <w:rsid w:val="00FF53F4"/>
    <w:rsid w:val="00FF54E0"/>
    <w:rsid w:val="00FF5767"/>
    <w:rsid w:val="00FF5807"/>
    <w:rsid w:val="00FF5893"/>
    <w:rsid w:val="00FF58D9"/>
    <w:rsid w:val="00FF6A65"/>
    <w:rsid w:val="00FF6EB7"/>
    <w:rsid w:val="00FF7263"/>
    <w:rsid w:val="00FF73BD"/>
    <w:rsid w:val="00FF77A4"/>
    <w:rsid w:val="00FF7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76E66"/>
  <w15:docId w15:val="{44C33F77-0509-4D4E-A276-036D4EEED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07F7"/>
    <w:pPr>
      <w:spacing w:line="271" w:lineRule="auto"/>
      <w:ind w:firstLine="0"/>
      <w:jc w:val="both"/>
    </w:pPr>
    <w:rPr>
      <w:rFonts w:ascii="Arial" w:hAnsi="Arial"/>
    </w:rPr>
  </w:style>
  <w:style w:type="paragraph" w:styleId="Nagwek1">
    <w:name w:val="heading 1"/>
    <w:basedOn w:val="Normalny"/>
    <w:next w:val="Normalny"/>
    <w:link w:val="Nagwek1Znak"/>
    <w:uiPriority w:val="9"/>
    <w:qFormat/>
    <w:rsid w:val="006E0705"/>
    <w:pPr>
      <w:numPr>
        <w:numId w:val="2"/>
      </w:numPr>
      <w:pBdr>
        <w:bottom w:val="single" w:sz="12" w:space="1" w:color="E36C0A" w:themeColor="accent6" w:themeShade="BF"/>
      </w:pBdr>
      <w:spacing w:before="240" w:after="240"/>
      <w:ind w:left="567" w:hanging="567"/>
      <w:outlineLvl w:val="0"/>
    </w:pPr>
    <w:rPr>
      <w:rFonts w:eastAsiaTheme="majorEastAsia" w:cstheme="majorBidi"/>
      <w:b/>
      <w:bCs/>
      <w:color w:val="E36C0A" w:themeColor="accent6" w:themeShade="BF"/>
      <w:sz w:val="24"/>
      <w:szCs w:val="24"/>
    </w:rPr>
  </w:style>
  <w:style w:type="paragraph" w:styleId="Nagwek2">
    <w:name w:val="heading 2"/>
    <w:basedOn w:val="Normalny"/>
    <w:next w:val="Normalny"/>
    <w:link w:val="Nagwek2Znak"/>
    <w:uiPriority w:val="9"/>
    <w:unhideWhenUsed/>
    <w:qFormat/>
    <w:rsid w:val="00A42CE5"/>
    <w:pPr>
      <w:numPr>
        <w:ilvl w:val="1"/>
        <w:numId w:val="2"/>
      </w:numPr>
      <w:pBdr>
        <w:bottom w:val="single" w:sz="8" w:space="1" w:color="E36C0A" w:themeColor="accent6" w:themeShade="BF"/>
      </w:pBdr>
      <w:spacing w:before="240" w:after="240"/>
      <w:ind w:left="1418"/>
      <w:outlineLvl w:val="1"/>
    </w:pPr>
    <w:rPr>
      <w:rFonts w:eastAsiaTheme="majorEastAsia" w:cstheme="majorBidi"/>
      <w:b/>
      <w:color w:val="E36C0A" w:themeColor="accent6" w:themeShade="BF"/>
      <w:szCs w:val="24"/>
    </w:rPr>
  </w:style>
  <w:style w:type="paragraph" w:styleId="Nagwek3">
    <w:name w:val="heading 3"/>
    <w:basedOn w:val="Normalny"/>
    <w:next w:val="Normalny"/>
    <w:link w:val="Nagwek3Znak"/>
    <w:uiPriority w:val="9"/>
    <w:unhideWhenUsed/>
    <w:qFormat/>
    <w:rsid w:val="00E33957"/>
    <w:pPr>
      <w:numPr>
        <w:numId w:val="52"/>
      </w:numPr>
      <w:shd w:val="clear" w:color="auto" w:fill="FABF8F" w:themeFill="accent6" w:themeFillTint="99"/>
      <w:spacing w:before="200" w:after="80" w:line="240" w:lineRule="auto"/>
      <w:outlineLvl w:val="2"/>
    </w:pPr>
    <w:rPr>
      <w:rFonts w:eastAsiaTheme="majorEastAsia" w:cstheme="majorBidi"/>
      <w:b/>
      <w:szCs w:val="24"/>
    </w:rPr>
  </w:style>
  <w:style w:type="paragraph" w:styleId="Nagwek4">
    <w:name w:val="heading 4"/>
    <w:basedOn w:val="Normalny"/>
    <w:next w:val="Normalny"/>
    <w:link w:val="Nagwek4Znak"/>
    <w:uiPriority w:val="99"/>
    <w:unhideWhenUsed/>
    <w:qFormat/>
    <w:rsid w:val="00454C4A"/>
    <w:pPr>
      <w:spacing w:before="200" w:after="80"/>
      <w:outlineLvl w:val="3"/>
    </w:pPr>
    <w:rPr>
      <w:rFonts w:eastAsiaTheme="majorEastAsia" w:cs="Arial"/>
      <w:i/>
      <w:iCs/>
      <w:color w:val="E36C0A" w:themeColor="accent6" w:themeShade="BF"/>
      <w:szCs w:val="24"/>
    </w:rPr>
  </w:style>
  <w:style w:type="paragraph" w:styleId="Nagwek5">
    <w:name w:val="heading 5"/>
    <w:basedOn w:val="Normalny"/>
    <w:next w:val="Normalny"/>
    <w:link w:val="Nagwek5Znak"/>
    <w:uiPriority w:val="9"/>
    <w:semiHidden/>
    <w:unhideWhenUsed/>
    <w:rsid w:val="00BF5D5C"/>
    <w:pPr>
      <w:spacing w:before="200" w:after="80"/>
      <w:outlineLvl w:val="4"/>
    </w:pPr>
    <w:rPr>
      <w:rFonts w:asciiTheme="majorHAnsi" w:eastAsiaTheme="majorEastAsia" w:hAnsiTheme="majorHAnsi" w:cstheme="majorBidi"/>
      <w:color w:val="4F81BD" w:themeColor="accent1"/>
    </w:rPr>
  </w:style>
  <w:style w:type="paragraph" w:styleId="Nagwek6">
    <w:name w:val="heading 6"/>
    <w:basedOn w:val="Normalny"/>
    <w:next w:val="Normalny"/>
    <w:link w:val="Nagwek6Znak"/>
    <w:uiPriority w:val="9"/>
    <w:semiHidden/>
    <w:unhideWhenUsed/>
    <w:qFormat/>
    <w:rsid w:val="00BF5D5C"/>
    <w:pPr>
      <w:spacing w:before="280" w:after="100"/>
      <w:outlineLvl w:val="5"/>
    </w:pPr>
    <w:rPr>
      <w:rFonts w:asciiTheme="majorHAnsi" w:eastAsiaTheme="majorEastAsia" w:hAnsiTheme="majorHAnsi" w:cstheme="majorBidi"/>
      <w:i/>
      <w:iCs/>
      <w:color w:val="4F81BD" w:themeColor="accent1"/>
    </w:rPr>
  </w:style>
  <w:style w:type="paragraph" w:styleId="Nagwek7">
    <w:name w:val="heading 7"/>
    <w:basedOn w:val="Normalny"/>
    <w:next w:val="Normalny"/>
    <w:link w:val="Nagwek7Znak"/>
    <w:uiPriority w:val="9"/>
    <w:semiHidden/>
    <w:unhideWhenUsed/>
    <w:qFormat/>
    <w:rsid w:val="00BF5D5C"/>
    <w:pPr>
      <w:spacing w:before="320" w:after="100"/>
      <w:outlineLvl w:val="6"/>
    </w:pPr>
    <w:rPr>
      <w:rFonts w:asciiTheme="majorHAnsi" w:eastAsiaTheme="majorEastAsia" w:hAnsiTheme="majorHAnsi" w:cstheme="majorBidi"/>
      <w:b/>
      <w:bCs/>
      <w:color w:val="9BBB59" w:themeColor="accent3"/>
      <w:sz w:val="20"/>
      <w:szCs w:val="20"/>
    </w:rPr>
  </w:style>
  <w:style w:type="paragraph" w:styleId="Nagwek8">
    <w:name w:val="heading 8"/>
    <w:basedOn w:val="Normalny"/>
    <w:next w:val="Normalny"/>
    <w:link w:val="Nagwek8Znak"/>
    <w:uiPriority w:val="9"/>
    <w:semiHidden/>
    <w:unhideWhenUsed/>
    <w:qFormat/>
    <w:rsid w:val="00BF5D5C"/>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Nagwek9">
    <w:name w:val="heading 9"/>
    <w:basedOn w:val="Normalny"/>
    <w:next w:val="Normalny"/>
    <w:link w:val="Nagwek9Znak"/>
    <w:uiPriority w:val="9"/>
    <w:semiHidden/>
    <w:unhideWhenUsed/>
    <w:qFormat/>
    <w:rsid w:val="00BF5D5C"/>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E0705"/>
    <w:rPr>
      <w:rFonts w:ascii="Arial" w:eastAsiaTheme="majorEastAsia" w:hAnsi="Arial" w:cstheme="majorBidi"/>
      <w:b/>
      <w:bCs/>
      <w:color w:val="E36C0A" w:themeColor="accent6" w:themeShade="BF"/>
      <w:sz w:val="24"/>
      <w:szCs w:val="24"/>
    </w:rPr>
  </w:style>
  <w:style w:type="character" w:customStyle="1" w:styleId="Nagwek2Znak">
    <w:name w:val="Nagłówek 2 Znak"/>
    <w:basedOn w:val="Domylnaczcionkaakapitu"/>
    <w:link w:val="Nagwek2"/>
    <w:uiPriority w:val="9"/>
    <w:rsid w:val="00A42CE5"/>
    <w:rPr>
      <w:rFonts w:ascii="Arial" w:eastAsiaTheme="majorEastAsia" w:hAnsi="Arial" w:cstheme="majorBidi"/>
      <w:b/>
      <w:color w:val="E36C0A" w:themeColor="accent6" w:themeShade="BF"/>
      <w:szCs w:val="24"/>
    </w:rPr>
  </w:style>
  <w:style w:type="character" w:customStyle="1" w:styleId="Nagwek3Znak">
    <w:name w:val="Nagłówek 3 Znak"/>
    <w:basedOn w:val="Domylnaczcionkaakapitu"/>
    <w:link w:val="Nagwek3"/>
    <w:uiPriority w:val="9"/>
    <w:rsid w:val="00E33957"/>
    <w:rPr>
      <w:rFonts w:ascii="Arial" w:eastAsiaTheme="majorEastAsia" w:hAnsi="Arial" w:cstheme="majorBidi"/>
      <w:b/>
      <w:szCs w:val="24"/>
      <w:shd w:val="clear" w:color="auto" w:fill="FABF8F" w:themeFill="accent6" w:themeFillTint="99"/>
    </w:rPr>
  </w:style>
  <w:style w:type="character" w:customStyle="1" w:styleId="Nagwek4Znak">
    <w:name w:val="Nagłówek 4 Znak"/>
    <w:basedOn w:val="Domylnaczcionkaakapitu"/>
    <w:link w:val="Nagwek4"/>
    <w:uiPriority w:val="99"/>
    <w:rsid w:val="00454C4A"/>
    <w:rPr>
      <w:rFonts w:ascii="Arial" w:eastAsiaTheme="majorEastAsia" w:hAnsi="Arial" w:cs="Arial"/>
      <w:i/>
      <w:iCs/>
      <w:color w:val="E36C0A" w:themeColor="accent6" w:themeShade="BF"/>
      <w:szCs w:val="24"/>
    </w:rPr>
  </w:style>
  <w:style w:type="character" w:customStyle="1" w:styleId="Nagwek5Znak">
    <w:name w:val="Nagłówek 5 Znak"/>
    <w:basedOn w:val="Domylnaczcionkaakapitu"/>
    <w:link w:val="Nagwek5"/>
    <w:uiPriority w:val="9"/>
    <w:semiHidden/>
    <w:rsid w:val="00BF5D5C"/>
    <w:rPr>
      <w:rFonts w:asciiTheme="majorHAnsi" w:eastAsiaTheme="majorEastAsia" w:hAnsiTheme="majorHAnsi" w:cstheme="majorBidi"/>
      <w:color w:val="4F81BD" w:themeColor="accent1"/>
    </w:rPr>
  </w:style>
  <w:style w:type="character" w:customStyle="1" w:styleId="Nagwek6Znak">
    <w:name w:val="Nagłówek 6 Znak"/>
    <w:basedOn w:val="Domylnaczcionkaakapitu"/>
    <w:link w:val="Nagwek6"/>
    <w:uiPriority w:val="9"/>
    <w:semiHidden/>
    <w:rsid w:val="00BF5D5C"/>
    <w:rPr>
      <w:rFonts w:asciiTheme="majorHAnsi" w:eastAsiaTheme="majorEastAsia" w:hAnsiTheme="majorHAnsi" w:cstheme="majorBidi"/>
      <w:i/>
      <w:iCs/>
      <w:color w:val="4F81BD" w:themeColor="accent1"/>
    </w:rPr>
  </w:style>
  <w:style w:type="character" w:customStyle="1" w:styleId="Nagwek7Znak">
    <w:name w:val="Nagłówek 7 Znak"/>
    <w:basedOn w:val="Domylnaczcionkaakapitu"/>
    <w:link w:val="Nagwek7"/>
    <w:uiPriority w:val="9"/>
    <w:semiHidden/>
    <w:rsid w:val="00BF5D5C"/>
    <w:rPr>
      <w:rFonts w:asciiTheme="majorHAnsi" w:eastAsiaTheme="majorEastAsia" w:hAnsiTheme="majorHAnsi" w:cstheme="majorBidi"/>
      <w:b/>
      <w:bCs/>
      <w:color w:val="9BBB59" w:themeColor="accent3"/>
      <w:sz w:val="20"/>
      <w:szCs w:val="20"/>
    </w:rPr>
  </w:style>
  <w:style w:type="character" w:customStyle="1" w:styleId="Nagwek8Znak">
    <w:name w:val="Nagłówek 8 Znak"/>
    <w:basedOn w:val="Domylnaczcionkaakapitu"/>
    <w:link w:val="Nagwek8"/>
    <w:uiPriority w:val="9"/>
    <w:semiHidden/>
    <w:rsid w:val="00BF5D5C"/>
    <w:rPr>
      <w:rFonts w:asciiTheme="majorHAnsi" w:eastAsiaTheme="majorEastAsia" w:hAnsiTheme="majorHAnsi" w:cstheme="majorBidi"/>
      <w:b/>
      <w:bCs/>
      <w:i/>
      <w:iCs/>
      <w:color w:val="9BBB59" w:themeColor="accent3"/>
      <w:sz w:val="20"/>
      <w:szCs w:val="20"/>
    </w:rPr>
  </w:style>
  <w:style w:type="character" w:customStyle="1" w:styleId="Nagwek9Znak">
    <w:name w:val="Nagłówek 9 Znak"/>
    <w:basedOn w:val="Domylnaczcionkaakapitu"/>
    <w:link w:val="Nagwek9"/>
    <w:uiPriority w:val="9"/>
    <w:semiHidden/>
    <w:rsid w:val="00BF5D5C"/>
    <w:rPr>
      <w:rFonts w:asciiTheme="majorHAnsi" w:eastAsiaTheme="majorEastAsia" w:hAnsiTheme="majorHAnsi" w:cstheme="majorBidi"/>
      <w:i/>
      <w:iCs/>
      <w:color w:val="9BBB59" w:themeColor="accent3"/>
      <w:sz w:val="20"/>
      <w:szCs w:val="20"/>
    </w:rPr>
  </w:style>
  <w:style w:type="paragraph" w:styleId="Legenda">
    <w:name w:val="caption"/>
    <w:aliases w:val="Źródło"/>
    <w:basedOn w:val="Normalny"/>
    <w:next w:val="Normalny"/>
    <w:link w:val="LegendaZnak"/>
    <w:uiPriority w:val="35"/>
    <w:unhideWhenUsed/>
    <w:qFormat/>
    <w:rsid w:val="00E33957"/>
    <w:pPr>
      <w:keepNext/>
      <w:spacing w:before="240" w:line="240" w:lineRule="auto"/>
    </w:pPr>
    <w:rPr>
      <w:b/>
      <w:bCs/>
      <w:i/>
      <w:sz w:val="18"/>
      <w:szCs w:val="18"/>
    </w:rPr>
  </w:style>
  <w:style w:type="character" w:customStyle="1" w:styleId="LegendaZnak">
    <w:name w:val="Legenda Znak"/>
    <w:aliases w:val="Źródło Znak"/>
    <w:link w:val="Legenda"/>
    <w:uiPriority w:val="35"/>
    <w:locked/>
    <w:rsid w:val="00E33957"/>
    <w:rPr>
      <w:rFonts w:ascii="Arial" w:hAnsi="Arial"/>
      <w:b/>
      <w:bCs/>
      <w:i/>
      <w:sz w:val="18"/>
      <w:szCs w:val="18"/>
    </w:rPr>
  </w:style>
  <w:style w:type="paragraph" w:styleId="Nagwek">
    <w:name w:val="header"/>
    <w:basedOn w:val="Normalny"/>
    <w:link w:val="NagwekZnak"/>
    <w:uiPriority w:val="99"/>
    <w:unhideWhenUsed/>
    <w:rsid w:val="00026E3A"/>
    <w:pPr>
      <w:tabs>
        <w:tab w:val="center" w:pos="4536"/>
        <w:tab w:val="right" w:pos="9072"/>
      </w:tabs>
    </w:pPr>
  </w:style>
  <w:style w:type="character" w:customStyle="1" w:styleId="NagwekZnak">
    <w:name w:val="Nagłówek Znak"/>
    <w:basedOn w:val="Domylnaczcionkaakapitu"/>
    <w:link w:val="Nagwek"/>
    <w:uiPriority w:val="99"/>
    <w:rsid w:val="00026E3A"/>
    <w:rPr>
      <w:rFonts w:eastAsiaTheme="minorEastAsia"/>
    </w:rPr>
  </w:style>
  <w:style w:type="paragraph" w:styleId="Stopka">
    <w:name w:val="footer"/>
    <w:basedOn w:val="Normalny"/>
    <w:link w:val="StopkaZnak"/>
    <w:uiPriority w:val="99"/>
    <w:unhideWhenUsed/>
    <w:rsid w:val="00026E3A"/>
    <w:pPr>
      <w:tabs>
        <w:tab w:val="center" w:pos="4536"/>
        <w:tab w:val="right" w:pos="9072"/>
      </w:tabs>
    </w:pPr>
  </w:style>
  <w:style w:type="character" w:customStyle="1" w:styleId="StopkaZnak">
    <w:name w:val="Stopka Znak"/>
    <w:basedOn w:val="Domylnaczcionkaakapitu"/>
    <w:link w:val="Stopka"/>
    <w:uiPriority w:val="99"/>
    <w:rsid w:val="00026E3A"/>
    <w:rPr>
      <w:rFonts w:eastAsiaTheme="minorEastAsia"/>
    </w:rPr>
  </w:style>
  <w:style w:type="paragraph" w:styleId="Tekstdymka">
    <w:name w:val="Balloon Text"/>
    <w:basedOn w:val="Normalny"/>
    <w:link w:val="TekstdymkaZnak"/>
    <w:uiPriority w:val="99"/>
    <w:semiHidden/>
    <w:unhideWhenUsed/>
    <w:rsid w:val="00026E3A"/>
    <w:rPr>
      <w:rFonts w:ascii="Tahoma" w:hAnsi="Tahoma" w:cs="Tahoma"/>
      <w:sz w:val="16"/>
      <w:szCs w:val="16"/>
    </w:rPr>
  </w:style>
  <w:style w:type="character" w:customStyle="1" w:styleId="TekstdymkaZnak">
    <w:name w:val="Tekst dymka Znak"/>
    <w:basedOn w:val="Domylnaczcionkaakapitu"/>
    <w:link w:val="Tekstdymka"/>
    <w:uiPriority w:val="99"/>
    <w:semiHidden/>
    <w:rsid w:val="00026E3A"/>
    <w:rPr>
      <w:rFonts w:ascii="Tahoma" w:eastAsiaTheme="minorEastAsia" w:hAnsi="Tahoma" w:cs="Tahoma"/>
      <w:sz w:val="16"/>
      <w:szCs w:val="16"/>
    </w:rPr>
  </w:style>
  <w:style w:type="paragraph" w:styleId="Nagwekspisutreci">
    <w:name w:val="TOC Heading"/>
    <w:basedOn w:val="Nagwek1"/>
    <w:next w:val="Normalny"/>
    <w:uiPriority w:val="39"/>
    <w:unhideWhenUsed/>
    <w:qFormat/>
    <w:rsid w:val="00BF5D5C"/>
    <w:pPr>
      <w:outlineLvl w:val="9"/>
    </w:pPr>
    <w:rPr>
      <w:lang w:bidi="en-US"/>
    </w:rPr>
  </w:style>
  <w:style w:type="paragraph" w:styleId="Tytu">
    <w:name w:val="Title"/>
    <w:basedOn w:val="Normalny"/>
    <w:next w:val="Normalny"/>
    <w:link w:val="TytuZnak"/>
    <w:uiPriority w:val="99"/>
    <w:rsid w:val="00BF5D5C"/>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ytuZnak">
    <w:name w:val="Tytuł Znak"/>
    <w:basedOn w:val="Domylnaczcionkaakapitu"/>
    <w:link w:val="Tytu"/>
    <w:uiPriority w:val="99"/>
    <w:rsid w:val="00BF5D5C"/>
    <w:rPr>
      <w:rFonts w:asciiTheme="majorHAnsi" w:eastAsiaTheme="majorEastAsia" w:hAnsiTheme="majorHAnsi" w:cstheme="majorBidi"/>
      <w:i/>
      <w:iCs/>
      <w:color w:val="243F60" w:themeColor="accent1" w:themeShade="7F"/>
      <w:sz w:val="60"/>
      <w:szCs w:val="60"/>
    </w:rPr>
  </w:style>
  <w:style w:type="paragraph" w:styleId="Podtytu">
    <w:name w:val="Subtitle"/>
    <w:basedOn w:val="punkpytan"/>
    <w:next w:val="Normalny"/>
    <w:link w:val="PodtytuZnak"/>
    <w:uiPriority w:val="11"/>
    <w:qFormat/>
    <w:rsid w:val="006102B6"/>
    <w:pPr>
      <w:shd w:val="clear" w:color="auto" w:fill="D9D9D9" w:themeFill="background1" w:themeFillShade="D9"/>
      <w:jc w:val="center"/>
    </w:pPr>
    <w:rPr>
      <w:rFonts w:cs="Arial"/>
    </w:rPr>
  </w:style>
  <w:style w:type="paragraph" w:customStyle="1" w:styleId="punkpytan">
    <w:name w:val="punk pytan"/>
    <w:basedOn w:val="Akapitzlist"/>
    <w:link w:val="punkpytanZnak"/>
    <w:rsid w:val="009F36A5"/>
    <w:pPr>
      <w:spacing w:before="240"/>
      <w:ind w:left="0"/>
    </w:pPr>
    <w:rPr>
      <w:b/>
    </w:rPr>
  </w:style>
  <w:style w:type="paragraph" w:styleId="Akapitzlist">
    <w:name w:val="List Paragraph"/>
    <w:aliases w:val="Akapit z listą 1,A_wyliczenie,K-P_odwolanie,Akapit z listą5,maz_wyliczenie,opis dzialania,Akapit z listą BS,BulletC,Numerowanie,L1,CW_Lista"/>
    <w:basedOn w:val="Normalny"/>
    <w:link w:val="AkapitzlistZnak"/>
    <w:uiPriority w:val="34"/>
    <w:qFormat/>
    <w:rsid w:val="00C8074B"/>
    <w:pPr>
      <w:ind w:left="720"/>
      <w:contextualSpacing/>
    </w:pPr>
  </w:style>
  <w:style w:type="character" w:customStyle="1" w:styleId="AkapitzlistZnak">
    <w:name w:val="Akapit z listą Znak"/>
    <w:aliases w:val="Akapit z listą 1 Znak,A_wyliczenie Znak,K-P_odwolanie Znak,Akapit z listą5 Znak,maz_wyliczenie Znak,opis dzialania Znak,Akapit z listą BS Znak,BulletC Znak,Numerowanie Znak,L1 Znak,CW_Lista Znak"/>
    <w:link w:val="Akapitzlist"/>
    <w:uiPriority w:val="34"/>
    <w:qFormat/>
    <w:rsid w:val="00C8074B"/>
    <w:rPr>
      <w:rFonts w:ascii="Arial" w:hAnsi="Arial"/>
    </w:rPr>
  </w:style>
  <w:style w:type="character" w:customStyle="1" w:styleId="punkpytanZnak">
    <w:name w:val="punk pytan Znak"/>
    <w:basedOn w:val="AkapitzlistZnak"/>
    <w:link w:val="punkpytan"/>
    <w:rsid w:val="009F36A5"/>
    <w:rPr>
      <w:rFonts w:ascii="Arial" w:hAnsi="Arial"/>
      <w:b/>
    </w:rPr>
  </w:style>
  <w:style w:type="character" w:customStyle="1" w:styleId="PodtytuZnak">
    <w:name w:val="Podtytuł Znak"/>
    <w:basedOn w:val="Domylnaczcionkaakapitu"/>
    <w:link w:val="Podtytu"/>
    <w:uiPriority w:val="11"/>
    <w:rsid w:val="006102B6"/>
    <w:rPr>
      <w:rFonts w:ascii="Arial" w:hAnsi="Arial" w:cs="Arial"/>
      <w:b/>
      <w:shd w:val="clear" w:color="auto" w:fill="D9D9D9" w:themeFill="background1" w:themeFillShade="D9"/>
    </w:rPr>
  </w:style>
  <w:style w:type="character" w:styleId="Pogrubienie">
    <w:name w:val="Strong"/>
    <w:basedOn w:val="Domylnaczcionkaakapitu"/>
    <w:uiPriority w:val="22"/>
    <w:qFormat/>
    <w:rsid w:val="00BF5D5C"/>
    <w:rPr>
      <w:b/>
      <w:bCs/>
      <w:spacing w:val="0"/>
    </w:rPr>
  </w:style>
  <w:style w:type="character" w:styleId="Uwydatnienie">
    <w:name w:val="Emphasis"/>
    <w:uiPriority w:val="20"/>
    <w:qFormat/>
    <w:rsid w:val="00BF5D5C"/>
    <w:rPr>
      <w:b/>
      <w:bCs/>
      <w:i/>
      <w:iCs/>
      <w:color w:val="5A5A5A" w:themeColor="text1" w:themeTint="A5"/>
    </w:rPr>
  </w:style>
  <w:style w:type="paragraph" w:styleId="Bezodstpw">
    <w:name w:val="No Spacing"/>
    <w:basedOn w:val="Normalny"/>
    <w:link w:val="BezodstpwZnak"/>
    <w:uiPriority w:val="99"/>
    <w:qFormat/>
    <w:rsid w:val="00BF5D5C"/>
  </w:style>
  <w:style w:type="character" w:customStyle="1" w:styleId="BezodstpwZnak">
    <w:name w:val="Bez odstępów Znak"/>
    <w:basedOn w:val="Domylnaczcionkaakapitu"/>
    <w:link w:val="Bezodstpw"/>
    <w:uiPriority w:val="99"/>
    <w:rsid w:val="00BF5D5C"/>
  </w:style>
  <w:style w:type="paragraph" w:styleId="Cytat">
    <w:name w:val="Quote"/>
    <w:basedOn w:val="Normalny"/>
    <w:next w:val="Normalny"/>
    <w:link w:val="CytatZnak"/>
    <w:uiPriority w:val="29"/>
    <w:qFormat/>
    <w:rsid w:val="00EF39DA"/>
    <w:pPr>
      <w:pBdr>
        <w:top w:val="single" w:sz="8" w:space="1" w:color="E36C0A" w:themeColor="accent6" w:themeShade="BF"/>
        <w:bottom w:val="single" w:sz="8" w:space="1" w:color="E36C0A" w:themeColor="accent6" w:themeShade="BF"/>
      </w:pBdr>
      <w:spacing w:before="120"/>
      <w:jc w:val="center"/>
    </w:pPr>
    <w:rPr>
      <w:rFonts w:eastAsiaTheme="majorEastAsia" w:cstheme="majorBidi"/>
      <w:i/>
      <w:iCs/>
      <w:color w:val="984806" w:themeColor="accent6" w:themeShade="80"/>
    </w:rPr>
  </w:style>
  <w:style w:type="character" w:customStyle="1" w:styleId="CytatZnak">
    <w:name w:val="Cytat Znak"/>
    <w:basedOn w:val="Domylnaczcionkaakapitu"/>
    <w:link w:val="Cytat"/>
    <w:uiPriority w:val="29"/>
    <w:rsid w:val="00EF39DA"/>
    <w:rPr>
      <w:rFonts w:ascii="Arial" w:eastAsiaTheme="majorEastAsia" w:hAnsi="Arial" w:cstheme="majorBidi"/>
      <w:i/>
      <w:iCs/>
      <w:color w:val="984806" w:themeColor="accent6" w:themeShade="80"/>
    </w:rPr>
  </w:style>
  <w:style w:type="paragraph" w:styleId="Cytatintensywny">
    <w:name w:val="Intense Quote"/>
    <w:basedOn w:val="Normalny"/>
    <w:next w:val="Normalny"/>
    <w:link w:val="CytatintensywnyZnak"/>
    <w:uiPriority w:val="30"/>
    <w:qFormat/>
    <w:rsid w:val="00BF5D5C"/>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CytatintensywnyZnak">
    <w:name w:val="Cytat intensywny Znak"/>
    <w:basedOn w:val="Domylnaczcionkaakapitu"/>
    <w:link w:val="Cytatintensywny"/>
    <w:uiPriority w:val="30"/>
    <w:rsid w:val="00BF5D5C"/>
    <w:rPr>
      <w:rFonts w:asciiTheme="majorHAnsi" w:eastAsiaTheme="majorEastAsia" w:hAnsiTheme="majorHAnsi" w:cstheme="majorBidi"/>
      <w:i/>
      <w:iCs/>
      <w:color w:val="FFFFFF" w:themeColor="background1"/>
      <w:sz w:val="24"/>
      <w:szCs w:val="24"/>
      <w:shd w:val="clear" w:color="auto" w:fill="4F81BD" w:themeFill="accent1"/>
    </w:rPr>
  </w:style>
  <w:style w:type="character" w:styleId="Wyrnieniedelikatne">
    <w:name w:val="Subtle Emphasis"/>
    <w:uiPriority w:val="19"/>
    <w:qFormat/>
    <w:rsid w:val="00BF5D5C"/>
    <w:rPr>
      <w:i/>
      <w:iCs/>
      <w:color w:val="5A5A5A" w:themeColor="text1" w:themeTint="A5"/>
    </w:rPr>
  </w:style>
  <w:style w:type="character" w:styleId="Wyrnienieintensywne">
    <w:name w:val="Intense Emphasis"/>
    <w:uiPriority w:val="21"/>
    <w:qFormat/>
    <w:rsid w:val="00BF5D5C"/>
    <w:rPr>
      <w:b/>
      <w:bCs/>
      <w:i/>
      <w:iCs/>
      <w:color w:val="4F81BD" w:themeColor="accent1"/>
      <w:sz w:val="22"/>
      <w:szCs w:val="22"/>
    </w:rPr>
  </w:style>
  <w:style w:type="character" w:styleId="Odwoaniedelikatne">
    <w:name w:val="Subtle Reference"/>
    <w:uiPriority w:val="31"/>
    <w:qFormat/>
    <w:rsid w:val="00BF5D5C"/>
    <w:rPr>
      <w:color w:val="auto"/>
      <w:u w:val="single" w:color="9BBB59" w:themeColor="accent3"/>
    </w:rPr>
  </w:style>
  <w:style w:type="character" w:styleId="Odwoanieintensywne">
    <w:name w:val="Intense Reference"/>
    <w:aliases w:val="Podsumowanie"/>
    <w:basedOn w:val="Domylnaczcionkaakapitu"/>
    <w:uiPriority w:val="32"/>
    <w:qFormat/>
    <w:rsid w:val="00525931"/>
    <w:rPr>
      <w:rFonts w:ascii="Arial" w:hAnsi="Arial"/>
      <w:b/>
      <w:bCs/>
      <w:color w:val="E36C0A" w:themeColor="accent6" w:themeShade="BF"/>
      <w:sz w:val="22"/>
      <w:u w:val="single" w:color="984806" w:themeColor="accent6" w:themeShade="80"/>
    </w:rPr>
  </w:style>
  <w:style w:type="character" w:styleId="Tytuksiki">
    <w:name w:val="Book Title"/>
    <w:basedOn w:val="Domylnaczcionkaakapitu"/>
    <w:uiPriority w:val="33"/>
    <w:qFormat/>
    <w:rsid w:val="00BF5D5C"/>
    <w:rPr>
      <w:rFonts w:asciiTheme="majorHAnsi" w:eastAsiaTheme="majorEastAsia" w:hAnsiTheme="majorHAnsi" w:cstheme="majorBidi"/>
      <w:b/>
      <w:bCs/>
      <w:i/>
      <w:iCs/>
      <w:color w:val="auto"/>
    </w:rPr>
  </w:style>
  <w:style w:type="paragraph" w:styleId="Spistreci1">
    <w:name w:val="toc 1"/>
    <w:basedOn w:val="Normalny"/>
    <w:next w:val="Normalny"/>
    <w:autoRedefine/>
    <w:uiPriority w:val="39"/>
    <w:unhideWhenUsed/>
    <w:rsid w:val="00D22B94"/>
    <w:pPr>
      <w:tabs>
        <w:tab w:val="right" w:leader="dot" w:pos="9062"/>
      </w:tabs>
      <w:spacing w:after="100"/>
      <w:ind w:left="426" w:hanging="426"/>
    </w:pPr>
  </w:style>
  <w:style w:type="paragraph" w:styleId="Spistreci2">
    <w:name w:val="toc 2"/>
    <w:basedOn w:val="Normalny"/>
    <w:next w:val="Normalny"/>
    <w:autoRedefine/>
    <w:uiPriority w:val="39"/>
    <w:unhideWhenUsed/>
    <w:rsid w:val="007B6935"/>
    <w:pPr>
      <w:tabs>
        <w:tab w:val="left" w:pos="993"/>
        <w:tab w:val="right" w:leader="dot" w:pos="9062"/>
      </w:tabs>
      <w:ind w:left="993" w:hanging="567"/>
      <w:jc w:val="left"/>
    </w:pPr>
  </w:style>
  <w:style w:type="character" w:styleId="Hipercze">
    <w:name w:val="Hyperlink"/>
    <w:basedOn w:val="Domylnaczcionkaakapitu"/>
    <w:uiPriority w:val="99"/>
    <w:unhideWhenUsed/>
    <w:rsid w:val="00FE2ADA"/>
    <w:rPr>
      <w:color w:val="0000FF" w:themeColor="hyperlink"/>
      <w:u w:val="single"/>
    </w:rPr>
  </w:style>
  <w:style w:type="paragraph" w:styleId="Spistreci3">
    <w:name w:val="toc 3"/>
    <w:basedOn w:val="Normalny"/>
    <w:next w:val="Normalny"/>
    <w:autoRedefine/>
    <w:uiPriority w:val="39"/>
    <w:unhideWhenUsed/>
    <w:rsid w:val="00DA127E"/>
    <w:pPr>
      <w:tabs>
        <w:tab w:val="left" w:pos="993"/>
        <w:tab w:val="left" w:pos="1540"/>
        <w:tab w:val="right" w:leader="dot" w:pos="9062"/>
      </w:tabs>
      <w:ind w:left="992"/>
    </w:pPr>
  </w:style>
  <w:style w:type="table" w:styleId="Tabela-Siatka">
    <w:name w:val="Table Grid"/>
    <w:basedOn w:val="Standardowy"/>
    <w:uiPriority w:val="59"/>
    <w:rsid w:val="002F4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D8791F"/>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8791F"/>
    <w:rPr>
      <w:rFonts w:ascii="Times New Roman" w:hAnsi="Times New Roman"/>
      <w:sz w:val="20"/>
      <w:szCs w:val="20"/>
    </w:rPr>
  </w:style>
  <w:style w:type="character" w:styleId="Odwoanieprzypisukocowego">
    <w:name w:val="endnote reference"/>
    <w:basedOn w:val="Domylnaczcionkaakapitu"/>
    <w:uiPriority w:val="99"/>
    <w:semiHidden/>
    <w:unhideWhenUsed/>
    <w:rsid w:val="00D8791F"/>
    <w:rPr>
      <w:vertAlign w:val="superscript"/>
    </w:rPr>
  </w:style>
  <w:style w:type="character" w:styleId="Odwoaniedokomentarza">
    <w:name w:val="annotation reference"/>
    <w:basedOn w:val="Domylnaczcionkaakapitu"/>
    <w:uiPriority w:val="99"/>
    <w:semiHidden/>
    <w:unhideWhenUsed/>
    <w:rsid w:val="006D37C8"/>
    <w:rPr>
      <w:sz w:val="16"/>
      <w:szCs w:val="16"/>
    </w:rPr>
  </w:style>
  <w:style w:type="paragraph" w:styleId="Tekstkomentarza">
    <w:name w:val="annotation text"/>
    <w:basedOn w:val="Normalny"/>
    <w:link w:val="TekstkomentarzaZnak"/>
    <w:uiPriority w:val="99"/>
    <w:unhideWhenUsed/>
    <w:rsid w:val="00E06060"/>
    <w:pPr>
      <w:spacing w:line="240" w:lineRule="auto"/>
    </w:pPr>
    <w:rPr>
      <w:sz w:val="20"/>
      <w:szCs w:val="20"/>
    </w:rPr>
  </w:style>
  <w:style w:type="character" w:customStyle="1" w:styleId="TekstkomentarzaZnak">
    <w:name w:val="Tekst komentarza Znak"/>
    <w:basedOn w:val="Domylnaczcionkaakapitu"/>
    <w:link w:val="Tekstkomentarza"/>
    <w:uiPriority w:val="99"/>
    <w:rsid w:val="006D37C8"/>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6D37C8"/>
    <w:rPr>
      <w:b/>
      <w:bCs/>
    </w:rPr>
  </w:style>
  <w:style w:type="character" w:customStyle="1" w:styleId="TematkomentarzaZnak">
    <w:name w:val="Temat komentarza Znak"/>
    <w:basedOn w:val="TekstkomentarzaZnak"/>
    <w:link w:val="Tematkomentarza"/>
    <w:uiPriority w:val="99"/>
    <w:semiHidden/>
    <w:rsid w:val="006D37C8"/>
    <w:rPr>
      <w:rFonts w:ascii="Times New Roman" w:hAnsi="Times New Roman"/>
      <w:b/>
      <w:bCs/>
      <w:sz w:val="20"/>
      <w:szCs w:val="20"/>
    </w:rPr>
  </w:style>
  <w:style w:type="paragraph" w:styleId="Tekstprzypisudolnego">
    <w:name w:val="footnote text"/>
    <w:aliases w:val="Tekst przypisu,Podrozdział,Footnote,Podrozdzia3,-E Fuﬂnotentext,Fuﬂnotentext Ursprung,Fußnotentext Ursprung,-E Fußnotentext,Footnote text,Tekst przypisu Znak Znak Znak Znak,Tekst przypisu Znak Znak Znak Znak Znak,Fußnote,FOOTNOTES"/>
    <w:basedOn w:val="Normalny"/>
    <w:link w:val="TekstprzypisudolnegoZnak"/>
    <w:uiPriority w:val="99"/>
    <w:unhideWhenUsed/>
    <w:qFormat/>
    <w:rsid w:val="00516D9A"/>
    <w:pPr>
      <w:spacing w:line="240" w:lineRule="auto"/>
      <w:jc w:val="left"/>
    </w:pPr>
    <w:rPr>
      <w:rFonts w:ascii="Calibri" w:eastAsia="Calibri" w:hAnsi="Calibri" w:cs="Times New Roman"/>
      <w:sz w:val="20"/>
      <w:szCs w:val="20"/>
    </w:rPr>
  </w:style>
  <w:style w:type="character" w:customStyle="1" w:styleId="TekstprzypisudolnegoZnak">
    <w:name w:val="Tekst przypisu dolnego Znak"/>
    <w:aliases w:val="Tekst przypisu Znak,Podrozdział Znak,Footnote Znak,Podrozdzia3 Znak,-E Fuﬂnotentext Znak,Fuﬂnotentext Ursprung Znak,Fußnotentext Ursprung Znak,-E Fußnotentext Znak,Footnote text Znak,Tekst przypisu Znak Znak Znak Znak Znak1"/>
    <w:basedOn w:val="Domylnaczcionkaakapitu"/>
    <w:link w:val="Tekstprzypisudolnego"/>
    <w:uiPriority w:val="99"/>
    <w:qFormat/>
    <w:rsid w:val="00516D9A"/>
    <w:rPr>
      <w:rFonts w:ascii="Calibri" w:eastAsia="Calibri" w:hAnsi="Calibri" w:cs="Times New Roman"/>
      <w:sz w:val="20"/>
      <w:szCs w:val="20"/>
    </w:rPr>
  </w:style>
  <w:style w:type="character" w:styleId="Odwoanieprzypisudolnego">
    <w:name w:val="footnote reference"/>
    <w:aliases w:val="Odwołanie przypisu,Footnote Reference Number,Footnote symbol,Footnote reference number,note TESI,SUPERS,EN Footnote Reference,Footnote Reference_LVL6,Footnote Reference_LVL61,Footnote Reference_LVL62,Footnote Reference_LVL63"/>
    <w:uiPriority w:val="99"/>
    <w:unhideWhenUsed/>
    <w:qFormat/>
    <w:rsid w:val="00C96E40"/>
    <w:rPr>
      <w:rFonts w:ascii="Arial" w:hAnsi="Arial" w:cs="Arial"/>
      <w:vertAlign w:val="superscript"/>
    </w:rPr>
  </w:style>
  <w:style w:type="table" w:customStyle="1" w:styleId="Tabela-Siatka1">
    <w:name w:val="Tabela - Siatka1"/>
    <w:basedOn w:val="Standardowy"/>
    <w:next w:val="Tabela-Siatka"/>
    <w:uiPriority w:val="59"/>
    <w:rsid w:val="00E3422C"/>
    <w:pPr>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F306D9"/>
    <w:pPr>
      <w:ind w:firstLine="0"/>
    </w:pPr>
    <w:rPr>
      <w:rFonts w:ascii="Arial" w:hAnsi="Arial"/>
    </w:rPr>
  </w:style>
  <w:style w:type="character" w:styleId="UyteHipercze">
    <w:name w:val="FollowedHyperlink"/>
    <w:basedOn w:val="Domylnaczcionkaakapitu"/>
    <w:uiPriority w:val="99"/>
    <w:semiHidden/>
    <w:unhideWhenUsed/>
    <w:rsid w:val="00C04F2F"/>
    <w:rPr>
      <w:color w:val="800080" w:themeColor="followedHyperlink"/>
      <w:u w:val="single"/>
    </w:rPr>
  </w:style>
  <w:style w:type="paragraph" w:customStyle="1" w:styleId="Default">
    <w:name w:val="Default"/>
    <w:basedOn w:val="Normalny"/>
    <w:rsid w:val="00272544"/>
    <w:pPr>
      <w:suppressAutoHyphens/>
      <w:autoSpaceDE w:val="0"/>
      <w:spacing w:after="200" w:line="276" w:lineRule="auto"/>
      <w:jc w:val="left"/>
    </w:pPr>
    <w:rPr>
      <w:rFonts w:eastAsia="Arial" w:cs="Arial"/>
      <w:color w:val="000000"/>
      <w:sz w:val="24"/>
      <w:szCs w:val="24"/>
      <w:lang w:eastAsia="ar-SA"/>
    </w:rPr>
  </w:style>
  <w:style w:type="paragraph" w:styleId="NormalnyWeb">
    <w:name w:val="Normal (Web)"/>
    <w:basedOn w:val="Normalny"/>
    <w:uiPriority w:val="99"/>
    <w:semiHidden/>
    <w:unhideWhenUsed/>
    <w:rsid w:val="0054192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tytulsrodtekstowy">
    <w:name w:val="tytul_srodtekstowy"/>
    <w:basedOn w:val="Domylnaczcionkaakapitu"/>
    <w:rsid w:val="000928AF"/>
  </w:style>
  <w:style w:type="paragraph" w:styleId="Zwykytekst">
    <w:name w:val="Plain Text"/>
    <w:basedOn w:val="Normalny"/>
    <w:link w:val="ZwykytekstZnak"/>
    <w:uiPriority w:val="99"/>
    <w:semiHidden/>
    <w:unhideWhenUsed/>
    <w:rsid w:val="005752B6"/>
    <w:pPr>
      <w:spacing w:line="240" w:lineRule="auto"/>
      <w:jc w:val="left"/>
    </w:pPr>
    <w:rPr>
      <w:rFonts w:ascii="Calibri" w:eastAsiaTheme="minorHAnsi" w:hAnsi="Calibri"/>
      <w:szCs w:val="21"/>
    </w:rPr>
  </w:style>
  <w:style w:type="character" w:customStyle="1" w:styleId="ZwykytekstZnak">
    <w:name w:val="Zwykły tekst Znak"/>
    <w:basedOn w:val="Domylnaczcionkaakapitu"/>
    <w:link w:val="Zwykytekst"/>
    <w:uiPriority w:val="99"/>
    <w:semiHidden/>
    <w:rsid w:val="005752B6"/>
    <w:rPr>
      <w:rFonts w:ascii="Calibri" w:eastAsiaTheme="minorHAnsi" w:hAnsi="Calibri"/>
      <w:szCs w:val="21"/>
    </w:rPr>
  </w:style>
  <w:style w:type="paragraph" w:customStyle="1" w:styleId="normalny0">
    <w:name w:val="normalny"/>
    <w:basedOn w:val="Normalny"/>
    <w:link w:val="normalnyZnak"/>
    <w:rsid w:val="00AE4FB3"/>
    <w:pPr>
      <w:spacing w:after="240" w:line="360" w:lineRule="auto"/>
    </w:pPr>
    <w:rPr>
      <w:rFonts w:ascii="Calibri" w:eastAsia="Calibri" w:hAnsi="Calibri" w:cs="Times New Roman"/>
      <w:sz w:val="24"/>
    </w:rPr>
  </w:style>
  <w:style w:type="character" w:customStyle="1" w:styleId="normalnyZnak">
    <w:name w:val="normalny Znak"/>
    <w:link w:val="normalny0"/>
    <w:locked/>
    <w:rsid w:val="00AE4FB3"/>
    <w:rPr>
      <w:rFonts w:ascii="Calibri" w:eastAsia="Calibri" w:hAnsi="Calibri" w:cs="Times New Roman"/>
      <w:sz w:val="24"/>
    </w:rPr>
  </w:style>
  <w:style w:type="paragraph" w:customStyle="1" w:styleId="tabele">
    <w:name w:val="tabele"/>
    <w:basedOn w:val="Legenda"/>
    <w:link w:val="podpisytabelZnak"/>
    <w:qFormat/>
    <w:rsid w:val="00AE4FB3"/>
    <w:pPr>
      <w:spacing w:after="240" w:line="360" w:lineRule="auto"/>
    </w:pPr>
    <w:rPr>
      <w:rFonts w:ascii="Cambria" w:eastAsia="Calibri" w:hAnsi="Cambria" w:cs="Times New Roman"/>
    </w:rPr>
  </w:style>
  <w:style w:type="character" w:customStyle="1" w:styleId="podpisytabelZnak">
    <w:name w:val="podpisy tabel Znak"/>
    <w:link w:val="tabele"/>
    <w:locked/>
    <w:rsid w:val="00AE4FB3"/>
    <w:rPr>
      <w:rFonts w:ascii="Cambria" w:eastAsia="Calibri" w:hAnsi="Cambria" w:cs="Times New Roman"/>
      <w:b/>
      <w:bCs/>
      <w:i/>
      <w:sz w:val="18"/>
      <w:szCs w:val="18"/>
    </w:rPr>
  </w:style>
  <w:style w:type="paragraph" w:customStyle="1" w:styleId="Akapitzlist1">
    <w:name w:val="Akapit z listą1"/>
    <w:basedOn w:val="Normalny"/>
    <w:link w:val="ListParagraphChar"/>
    <w:rsid w:val="00AE4FB3"/>
    <w:pPr>
      <w:spacing w:before="120" w:after="240" w:line="240" w:lineRule="auto"/>
      <w:ind w:left="720"/>
      <w:contextualSpacing/>
    </w:pPr>
    <w:rPr>
      <w:rFonts w:ascii="Times New Roman" w:eastAsia="Times New Roman" w:hAnsi="Times New Roman" w:cs="Times New Roman"/>
      <w:sz w:val="24"/>
      <w:szCs w:val="24"/>
      <w:lang w:val="x-none" w:eastAsia="x-none"/>
    </w:rPr>
  </w:style>
  <w:style w:type="character" w:customStyle="1" w:styleId="ListParagraphChar">
    <w:name w:val="List Paragraph Char"/>
    <w:link w:val="Akapitzlist1"/>
    <w:locked/>
    <w:rsid w:val="00AE4FB3"/>
    <w:rPr>
      <w:rFonts w:ascii="Times New Roman" w:eastAsia="Times New Roman" w:hAnsi="Times New Roman" w:cs="Times New Roman"/>
      <w:sz w:val="24"/>
      <w:szCs w:val="24"/>
      <w:lang w:val="x-none" w:eastAsia="x-none"/>
    </w:rPr>
  </w:style>
  <w:style w:type="paragraph" w:customStyle="1" w:styleId="rda">
    <w:name w:val="Źródła"/>
    <w:basedOn w:val="Normalny"/>
    <w:link w:val="rdaZnak"/>
    <w:rsid w:val="00AE4FB3"/>
    <w:pPr>
      <w:spacing w:after="240" w:line="360" w:lineRule="auto"/>
    </w:pPr>
    <w:rPr>
      <w:rFonts w:ascii="Calibri" w:eastAsia="Calibri" w:hAnsi="Calibri" w:cs="Times New Roman"/>
      <w:i/>
      <w:sz w:val="20"/>
    </w:rPr>
  </w:style>
  <w:style w:type="character" w:customStyle="1" w:styleId="rdaZnak">
    <w:name w:val="Źródła Znak"/>
    <w:link w:val="rda"/>
    <w:rsid w:val="00AE4FB3"/>
    <w:rPr>
      <w:rFonts w:ascii="Calibri" w:eastAsia="Calibri" w:hAnsi="Calibri" w:cs="Times New Roman"/>
      <w:i/>
      <w:sz w:val="20"/>
    </w:rPr>
  </w:style>
  <w:style w:type="paragraph" w:customStyle="1" w:styleId="Odrnienie">
    <w:name w:val="Odróżnienie"/>
    <w:basedOn w:val="Normalny"/>
    <w:link w:val="OdrnienieZnak"/>
    <w:rsid w:val="00AE4FB3"/>
    <w:pPr>
      <w:shd w:val="clear" w:color="auto" w:fill="DBE5F1"/>
      <w:suppressAutoHyphens/>
      <w:autoSpaceDE w:val="0"/>
      <w:autoSpaceDN w:val="0"/>
      <w:adjustRightInd w:val="0"/>
      <w:spacing w:after="240" w:line="360" w:lineRule="auto"/>
      <w:jc w:val="center"/>
    </w:pPr>
    <w:rPr>
      <w:rFonts w:ascii="Calibri" w:eastAsia="Times New Roman" w:hAnsi="Calibri" w:cs="Times New Roman"/>
      <w:b/>
      <w:kern w:val="1"/>
      <w:sz w:val="24"/>
      <w:szCs w:val="24"/>
    </w:rPr>
  </w:style>
  <w:style w:type="character" w:customStyle="1" w:styleId="OdrnienieZnak">
    <w:name w:val="Odróżnienie Znak"/>
    <w:link w:val="Odrnienie"/>
    <w:rsid w:val="00AE4FB3"/>
    <w:rPr>
      <w:rFonts w:ascii="Calibri" w:eastAsia="Times New Roman" w:hAnsi="Calibri" w:cs="Times New Roman"/>
      <w:b/>
      <w:kern w:val="1"/>
      <w:sz w:val="24"/>
      <w:szCs w:val="24"/>
      <w:shd w:val="clear" w:color="auto" w:fill="DBE5F1"/>
    </w:rPr>
  </w:style>
  <w:style w:type="paragraph" w:customStyle="1" w:styleId="Wykropek">
    <w:name w:val="Wykropek"/>
    <w:basedOn w:val="normalny0"/>
    <w:link w:val="WykropekZnak"/>
    <w:rsid w:val="00AE4FB3"/>
    <w:pPr>
      <w:spacing w:after="0"/>
      <w:ind w:left="851" w:hanging="567"/>
    </w:pPr>
    <w:rPr>
      <w:kern w:val="1"/>
    </w:rPr>
  </w:style>
  <w:style w:type="character" w:customStyle="1" w:styleId="WykropekZnak">
    <w:name w:val="Wykropek Znak"/>
    <w:link w:val="Wykropek"/>
    <w:rsid w:val="00AE4FB3"/>
    <w:rPr>
      <w:rFonts w:ascii="Calibri" w:eastAsia="Calibri" w:hAnsi="Calibri" w:cs="Times New Roman"/>
      <w:kern w:val="1"/>
      <w:sz w:val="24"/>
    </w:rPr>
  </w:style>
  <w:style w:type="paragraph" w:customStyle="1" w:styleId="Plandokumentu">
    <w:name w:val="Plan dokumentu"/>
    <w:basedOn w:val="Normalny"/>
    <w:link w:val="PlandokumentuZnak"/>
    <w:uiPriority w:val="99"/>
    <w:semiHidden/>
    <w:unhideWhenUsed/>
    <w:rsid w:val="00AE4FB3"/>
    <w:pPr>
      <w:spacing w:line="240" w:lineRule="auto"/>
      <w:jc w:val="left"/>
    </w:pPr>
    <w:rPr>
      <w:rFonts w:ascii="Tahoma" w:eastAsia="Calibri" w:hAnsi="Tahoma" w:cs="Tahoma"/>
      <w:sz w:val="16"/>
      <w:szCs w:val="16"/>
    </w:rPr>
  </w:style>
  <w:style w:type="character" w:customStyle="1" w:styleId="PlandokumentuZnak">
    <w:name w:val="Plan dokumentu Znak"/>
    <w:link w:val="Plandokumentu"/>
    <w:uiPriority w:val="99"/>
    <w:semiHidden/>
    <w:rsid w:val="00AE4FB3"/>
    <w:rPr>
      <w:rFonts w:ascii="Tahoma" w:eastAsia="Calibri" w:hAnsi="Tahoma" w:cs="Tahoma"/>
      <w:sz w:val="16"/>
      <w:szCs w:val="16"/>
    </w:rPr>
  </w:style>
  <w:style w:type="paragraph" w:customStyle="1" w:styleId="Plandokumentu1">
    <w:name w:val="Plan dokumentu1"/>
    <w:basedOn w:val="Normalny"/>
    <w:uiPriority w:val="99"/>
    <w:semiHidden/>
    <w:unhideWhenUsed/>
    <w:rsid w:val="00217BE0"/>
    <w:pPr>
      <w:spacing w:line="240" w:lineRule="auto"/>
      <w:jc w:val="left"/>
    </w:pPr>
    <w:rPr>
      <w:rFonts w:ascii="Tahoma" w:eastAsia="Calibri" w:hAnsi="Tahoma" w:cs="Tahoma"/>
      <w:sz w:val="16"/>
      <w:szCs w:val="16"/>
    </w:rPr>
  </w:style>
  <w:style w:type="paragraph" w:styleId="Tekstpodstawowy2">
    <w:name w:val="Body Text 2"/>
    <w:basedOn w:val="Normalny"/>
    <w:link w:val="Tekstpodstawowy2Znak"/>
    <w:uiPriority w:val="99"/>
    <w:semiHidden/>
    <w:unhideWhenUsed/>
    <w:rsid w:val="00575C5A"/>
    <w:pPr>
      <w:spacing w:after="120" w:line="480" w:lineRule="auto"/>
      <w:jc w:val="left"/>
    </w:pPr>
    <w:rPr>
      <w:rFonts w:ascii="Calibri" w:eastAsia="Times New Roman" w:hAnsi="Calibri" w:cs="Times New Roman"/>
    </w:rPr>
  </w:style>
  <w:style w:type="character" w:customStyle="1" w:styleId="Tekstpodstawowy2Znak">
    <w:name w:val="Tekst podstawowy 2 Znak"/>
    <w:basedOn w:val="Domylnaczcionkaakapitu"/>
    <w:link w:val="Tekstpodstawowy2"/>
    <w:uiPriority w:val="99"/>
    <w:semiHidden/>
    <w:rsid w:val="00575C5A"/>
    <w:rPr>
      <w:rFonts w:ascii="Calibri" w:eastAsia="Times New Roman" w:hAnsi="Calibri" w:cs="Times New Roman"/>
    </w:rPr>
  </w:style>
  <w:style w:type="character" w:customStyle="1" w:styleId="WW8Num17z7">
    <w:name w:val="WW8Num17z7"/>
    <w:rsid w:val="00575C5A"/>
  </w:style>
  <w:style w:type="character" w:customStyle="1" w:styleId="tl8wme">
    <w:name w:val="tl8wme"/>
    <w:basedOn w:val="Domylnaczcionkaakapitu"/>
    <w:rsid w:val="00E258D6"/>
  </w:style>
  <w:style w:type="paragraph" w:styleId="Spistreci4">
    <w:name w:val="toc 4"/>
    <w:basedOn w:val="Normalny"/>
    <w:next w:val="Normalny"/>
    <w:autoRedefine/>
    <w:uiPriority w:val="39"/>
    <w:semiHidden/>
    <w:unhideWhenUsed/>
    <w:rsid w:val="008424DD"/>
    <w:pPr>
      <w:spacing w:after="100"/>
      <w:ind w:left="660"/>
    </w:pPr>
  </w:style>
  <w:style w:type="character" w:customStyle="1" w:styleId="st">
    <w:name w:val="st"/>
    <w:basedOn w:val="Domylnaczcionkaakapitu"/>
    <w:rsid w:val="00EC38C2"/>
  </w:style>
  <w:style w:type="paragraph" w:styleId="Tekstpodstawowy">
    <w:name w:val="Body Text"/>
    <w:basedOn w:val="Normalny"/>
    <w:link w:val="TekstpodstawowyZnak"/>
    <w:uiPriority w:val="99"/>
    <w:semiHidden/>
    <w:unhideWhenUsed/>
    <w:rsid w:val="00A8065D"/>
    <w:pPr>
      <w:spacing w:after="120"/>
    </w:pPr>
  </w:style>
  <w:style w:type="character" w:customStyle="1" w:styleId="TekstpodstawowyZnak">
    <w:name w:val="Tekst podstawowy Znak"/>
    <w:basedOn w:val="Domylnaczcionkaakapitu"/>
    <w:link w:val="Tekstpodstawowy"/>
    <w:uiPriority w:val="99"/>
    <w:semiHidden/>
    <w:rsid w:val="00A8065D"/>
    <w:rPr>
      <w:rFonts w:ascii="Arial" w:hAnsi="Arial"/>
    </w:rPr>
  </w:style>
  <w:style w:type="table" w:styleId="redniasiatka3akcent6">
    <w:name w:val="Medium Grid 3 Accent 6"/>
    <w:basedOn w:val="Standardowy"/>
    <w:uiPriority w:val="69"/>
    <w:rsid w:val="00A42C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Tabelalisty3akcent21">
    <w:name w:val="Tabela listy 3 — akcent 21"/>
    <w:basedOn w:val="Standardowy"/>
    <w:uiPriority w:val="48"/>
    <w:rsid w:val="00222F22"/>
    <w:pPr>
      <w:ind w:firstLine="0"/>
    </w:pPr>
    <w:rPr>
      <w:rFonts w:eastAsiaTheme="minorHAnsi"/>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elasiatki5ciemnaakcent21">
    <w:name w:val="Tabela siatki 5 — ciemna — akcent 21"/>
    <w:basedOn w:val="Standardowy"/>
    <w:uiPriority w:val="50"/>
    <w:rsid w:val="00222F22"/>
    <w:pPr>
      <w:ind w:firstLine="0"/>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elalisty3akcent211">
    <w:name w:val="Tabela listy 3 — akcent 211"/>
    <w:basedOn w:val="Standardowy"/>
    <w:uiPriority w:val="48"/>
    <w:rsid w:val="00222F22"/>
    <w:pPr>
      <w:ind w:firstLine="0"/>
    </w:pPr>
    <w:rPr>
      <w:rFonts w:eastAsiaTheme="minorHAnsi"/>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podpisrdailustracji">
    <w:name w:val="podpis źródła ilustracji"/>
    <w:basedOn w:val="Normalny"/>
    <w:link w:val="podpisrdailustracjiZnak"/>
    <w:qFormat/>
    <w:rsid w:val="00A36F1E"/>
    <w:pPr>
      <w:spacing w:after="240" w:line="268" w:lineRule="auto"/>
    </w:pPr>
    <w:rPr>
      <w:rFonts w:eastAsiaTheme="minorHAnsi"/>
      <w:sz w:val="18"/>
    </w:rPr>
  </w:style>
  <w:style w:type="character" w:customStyle="1" w:styleId="podpisrdailustracjiZnak">
    <w:name w:val="podpis źródła ilustracji Znak"/>
    <w:basedOn w:val="Domylnaczcionkaakapitu"/>
    <w:link w:val="podpisrdailustracji"/>
    <w:rsid w:val="00A36F1E"/>
    <w:rPr>
      <w:rFonts w:ascii="Arial" w:eastAsiaTheme="minorHAnsi" w:hAnsi="Arial"/>
      <w:sz w:val="18"/>
    </w:rPr>
  </w:style>
  <w:style w:type="paragraph" w:customStyle="1" w:styleId="Wyrnienie">
    <w:name w:val="Wyróżnienie"/>
    <w:basedOn w:val="Normalny"/>
    <w:link w:val="WyrnienieZnak"/>
    <w:qFormat/>
    <w:rsid w:val="006E0705"/>
    <w:pPr>
      <w:spacing w:before="240"/>
    </w:pPr>
    <w:rPr>
      <w:b/>
    </w:rPr>
  </w:style>
  <w:style w:type="character" w:customStyle="1" w:styleId="WyrnienieZnak">
    <w:name w:val="Wyróżnienie Znak"/>
    <w:basedOn w:val="Domylnaczcionkaakapitu"/>
    <w:link w:val="Wyrnienie"/>
    <w:rsid w:val="006E0705"/>
    <w:rPr>
      <w:rFonts w:ascii="Arial" w:hAnsi="Arial"/>
      <w:b/>
    </w:rPr>
  </w:style>
  <w:style w:type="paragraph" w:customStyle="1" w:styleId="wyrrod">
    <w:name w:val="wyr środ"/>
    <w:basedOn w:val="Normalny"/>
    <w:link w:val="wyrrodZnak"/>
    <w:qFormat/>
    <w:rsid w:val="006E0705"/>
    <w:pPr>
      <w:spacing w:before="240" w:after="240"/>
      <w:jc w:val="center"/>
    </w:pPr>
    <w:rPr>
      <w:u w:val="single"/>
    </w:rPr>
  </w:style>
  <w:style w:type="character" w:customStyle="1" w:styleId="wyrrodZnak">
    <w:name w:val="wyr środ Znak"/>
    <w:basedOn w:val="Domylnaczcionkaakapitu"/>
    <w:link w:val="wyrrod"/>
    <w:rsid w:val="006E0705"/>
    <w:rPr>
      <w:rFonts w:ascii="Arial" w:hAnsi="Arial"/>
      <w:u w:val="single"/>
    </w:rPr>
  </w:style>
  <w:style w:type="table" w:styleId="Jasnasiatkaakcent6">
    <w:name w:val="Light Grid Accent 6"/>
    <w:basedOn w:val="Standardowy"/>
    <w:uiPriority w:val="62"/>
    <w:rsid w:val="0088335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alistaakcent6">
    <w:name w:val="Light List Accent 6"/>
    <w:basedOn w:val="Standardowy"/>
    <w:uiPriority w:val="61"/>
    <w:rsid w:val="0088335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dniecieniowanie1akcent6">
    <w:name w:val="Medium Shading 1 Accent 6"/>
    <w:basedOn w:val="Standardowy"/>
    <w:uiPriority w:val="63"/>
    <w:rsid w:val="0088335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alista2akcent6">
    <w:name w:val="Medium List 2 Accent 6"/>
    <w:basedOn w:val="Standardowy"/>
    <w:uiPriority w:val="66"/>
    <w:rsid w:val="0088335B"/>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Jasnecieniowanieakcent1">
    <w:name w:val="Light Shading Accent 1"/>
    <w:basedOn w:val="Standardowy"/>
    <w:uiPriority w:val="60"/>
    <w:rsid w:val="000E224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pisilustracji">
    <w:name w:val="table of figures"/>
    <w:basedOn w:val="Normalny"/>
    <w:next w:val="Normalny"/>
    <w:uiPriority w:val="99"/>
    <w:unhideWhenUsed/>
    <w:rsid w:val="00177D67"/>
  </w:style>
  <w:style w:type="table" w:customStyle="1" w:styleId="Tabelasiatki6kolorowaakcent61">
    <w:name w:val="Tabela siatki 6 — kolorowa — akcent 61"/>
    <w:basedOn w:val="Standardowy"/>
    <w:uiPriority w:val="51"/>
    <w:rsid w:val="00F71F28"/>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1jasnaakcent21">
    <w:name w:val="Tabela siatki 1 — jasna — akcent 21"/>
    <w:basedOn w:val="Standardowy"/>
    <w:uiPriority w:val="46"/>
    <w:rsid w:val="003E3C9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siatki5ciemnaakcent61">
    <w:name w:val="Tabela siatki 5 — ciemna — akcent 61"/>
    <w:basedOn w:val="Standardowy"/>
    <w:uiPriority w:val="50"/>
    <w:rsid w:val="00F910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elasiatki6kolorowaakcent62">
    <w:name w:val="Tabela siatki 6 — kolorowa — akcent 62"/>
    <w:basedOn w:val="Standardowy"/>
    <w:uiPriority w:val="51"/>
    <w:rsid w:val="00411C29"/>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1jasnaakcent61">
    <w:name w:val="Tabela siatki 1 — jasna — akcent 61"/>
    <w:basedOn w:val="Standardowy"/>
    <w:uiPriority w:val="46"/>
    <w:rsid w:val="00056CAC"/>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elasiatki4akcent61">
    <w:name w:val="Tabela siatki 4 — akcent 61"/>
    <w:basedOn w:val="Standardowy"/>
    <w:uiPriority w:val="49"/>
    <w:rsid w:val="00F5286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Cyt">
    <w:name w:val="Cyt"/>
    <w:basedOn w:val="Normalny"/>
    <w:link w:val="CytZnak"/>
    <w:qFormat/>
    <w:rsid w:val="00347CA3"/>
    <w:pPr>
      <w:jc w:val="center"/>
    </w:pPr>
    <w:rPr>
      <w:i/>
      <w:sz w:val="20"/>
    </w:rPr>
  </w:style>
  <w:style w:type="character" w:customStyle="1" w:styleId="CytZnak">
    <w:name w:val="Cyt Znak"/>
    <w:basedOn w:val="Domylnaczcionkaakapitu"/>
    <w:link w:val="Cyt"/>
    <w:rsid w:val="00347CA3"/>
    <w:rPr>
      <w:rFonts w:ascii="Arial" w:hAnsi="Arial"/>
      <w:i/>
      <w:sz w:val="20"/>
    </w:rPr>
  </w:style>
  <w:style w:type="table" w:styleId="Jasnasiatkaakcent1">
    <w:name w:val="Light Grid Accent 1"/>
    <w:basedOn w:val="Standardowy"/>
    <w:uiPriority w:val="62"/>
    <w:rsid w:val="00C039F4"/>
    <w:pPr>
      <w:ind w:firstLine="0"/>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listy3akcent61">
    <w:name w:val="Tabela listy 3 — akcent 61"/>
    <w:basedOn w:val="Standardowy"/>
    <w:uiPriority w:val="48"/>
    <w:rsid w:val="00151C42"/>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textexposedshow">
    <w:name w:val="text_exposed_show"/>
    <w:basedOn w:val="Domylnaczcionkaakapitu"/>
    <w:rsid w:val="00374C61"/>
  </w:style>
  <w:style w:type="character" w:customStyle="1" w:styleId="WW8Num31z0">
    <w:name w:val="WW8Num31z0"/>
    <w:qFormat/>
    <w:rsid w:val="00E441EB"/>
    <w:rPr>
      <w:rFonts w:ascii="Symbol" w:hAnsi="Symbol" w:cs="Symbol"/>
      <w:color w:val="000000"/>
      <w:lang w:eastAsia="pl-PL"/>
    </w:rPr>
  </w:style>
  <w:style w:type="character" w:customStyle="1" w:styleId="WW8Num9z0">
    <w:name w:val="WW8Num9z0"/>
    <w:rsid w:val="00BE15B7"/>
    <w:rPr>
      <w:rFonts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4161">
      <w:bodyDiv w:val="1"/>
      <w:marLeft w:val="0"/>
      <w:marRight w:val="0"/>
      <w:marTop w:val="0"/>
      <w:marBottom w:val="0"/>
      <w:divBdr>
        <w:top w:val="none" w:sz="0" w:space="0" w:color="auto"/>
        <w:left w:val="none" w:sz="0" w:space="0" w:color="auto"/>
        <w:bottom w:val="none" w:sz="0" w:space="0" w:color="auto"/>
        <w:right w:val="none" w:sz="0" w:space="0" w:color="auto"/>
      </w:divBdr>
    </w:div>
    <w:div w:id="12190378">
      <w:bodyDiv w:val="1"/>
      <w:marLeft w:val="0"/>
      <w:marRight w:val="0"/>
      <w:marTop w:val="0"/>
      <w:marBottom w:val="0"/>
      <w:divBdr>
        <w:top w:val="none" w:sz="0" w:space="0" w:color="auto"/>
        <w:left w:val="none" w:sz="0" w:space="0" w:color="auto"/>
        <w:bottom w:val="none" w:sz="0" w:space="0" w:color="auto"/>
        <w:right w:val="none" w:sz="0" w:space="0" w:color="auto"/>
      </w:divBdr>
    </w:div>
    <w:div w:id="28992623">
      <w:bodyDiv w:val="1"/>
      <w:marLeft w:val="0"/>
      <w:marRight w:val="0"/>
      <w:marTop w:val="0"/>
      <w:marBottom w:val="0"/>
      <w:divBdr>
        <w:top w:val="none" w:sz="0" w:space="0" w:color="auto"/>
        <w:left w:val="none" w:sz="0" w:space="0" w:color="auto"/>
        <w:bottom w:val="none" w:sz="0" w:space="0" w:color="auto"/>
        <w:right w:val="none" w:sz="0" w:space="0" w:color="auto"/>
      </w:divBdr>
    </w:div>
    <w:div w:id="47388189">
      <w:bodyDiv w:val="1"/>
      <w:marLeft w:val="0"/>
      <w:marRight w:val="0"/>
      <w:marTop w:val="0"/>
      <w:marBottom w:val="0"/>
      <w:divBdr>
        <w:top w:val="none" w:sz="0" w:space="0" w:color="auto"/>
        <w:left w:val="none" w:sz="0" w:space="0" w:color="auto"/>
        <w:bottom w:val="none" w:sz="0" w:space="0" w:color="auto"/>
        <w:right w:val="none" w:sz="0" w:space="0" w:color="auto"/>
      </w:divBdr>
    </w:div>
    <w:div w:id="62335099">
      <w:bodyDiv w:val="1"/>
      <w:marLeft w:val="0"/>
      <w:marRight w:val="0"/>
      <w:marTop w:val="0"/>
      <w:marBottom w:val="0"/>
      <w:divBdr>
        <w:top w:val="none" w:sz="0" w:space="0" w:color="auto"/>
        <w:left w:val="none" w:sz="0" w:space="0" w:color="auto"/>
        <w:bottom w:val="none" w:sz="0" w:space="0" w:color="auto"/>
        <w:right w:val="none" w:sz="0" w:space="0" w:color="auto"/>
      </w:divBdr>
    </w:div>
    <w:div w:id="78645504">
      <w:bodyDiv w:val="1"/>
      <w:marLeft w:val="0"/>
      <w:marRight w:val="0"/>
      <w:marTop w:val="0"/>
      <w:marBottom w:val="0"/>
      <w:divBdr>
        <w:top w:val="none" w:sz="0" w:space="0" w:color="auto"/>
        <w:left w:val="none" w:sz="0" w:space="0" w:color="auto"/>
        <w:bottom w:val="none" w:sz="0" w:space="0" w:color="auto"/>
        <w:right w:val="none" w:sz="0" w:space="0" w:color="auto"/>
      </w:divBdr>
    </w:div>
    <w:div w:id="81338503">
      <w:bodyDiv w:val="1"/>
      <w:marLeft w:val="0"/>
      <w:marRight w:val="0"/>
      <w:marTop w:val="0"/>
      <w:marBottom w:val="0"/>
      <w:divBdr>
        <w:top w:val="none" w:sz="0" w:space="0" w:color="auto"/>
        <w:left w:val="none" w:sz="0" w:space="0" w:color="auto"/>
        <w:bottom w:val="none" w:sz="0" w:space="0" w:color="auto"/>
        <w:right w:val="none" w:sz="0" w:space="0" w:color="auto"/>
      </w:divBdr>
    </w:div>
    <w:div w:id="81922156">
      <w:bodyDiv w:val="1"/>
      <w:marLeft w:val="0"/>
      <w:marRight w:val="0"/>
      <w:marTop w:val="0"/>
      <w:marBottom w:val="0"/>
      <w:divBdr>
        <w:top w:val="none" w:sz="0" w:space="0" w:color="auto"/>
        <w:left w:val="none" w:sz="0" w:space="0" w:color="auto"/>
        <w:bottom w:val="none" w:sz="0" w:space="0" w:color="auto"/>
        <w:right w:val="none" w:sz="0" w:space="0" w:color="auto"/>
      </w:divBdr>
    </w:div>
    <w:div w:id="91781044">
      <w:bodyDiv w:val="1"/>
      <w:marLeft w:val="0"/>
      <w:marRight w:val="0"/>
      <w:marTop w:val="0"/>
      <w:marBottom w:val="0"/>
      <w:divBdr>
        <w:top w:val="none" w:sz="0" w:space="0" w:color="auto"/>
        <w:left w:val="none" w:sz="0" w:space="0" w:color="auto"/>
        <w:bottom w:val="none" w:sz="0" w:space="0" w:color="auto"/>
        <w:right w:val="none" w:sz="0" w:space="0" w:color="auto"/>
      </w:divBdr>
    </w:div>
    <w:div w:id="95100008">
      <w:bodyDiv w:val="1"/>
      <w:marLeft w:val="0"/>
      <w:marRight w:val="0"/>
      <w:marTop w:val="0"/>
      <w:marBottom w:val="0"/>
      <w:divBdr>
        <w:top w:val="none" w:sz="0" w:space="0" w:color="auto"/>
        <w:left w:val="none" w:sz="0" w:space="0" w:color="auto"/>
        <w:bottom w:val="none" w:sz="0" w:space="0" w:color="auto"/>
        <w:right w:val="none" w:sz="0" w:space="0" w:color="auto"/>
      </w:divBdr>
    </w:div>
    <w:div w:id="134879221">
      <w:bodyDiv w:val="1"/>
      <w:marLeft w:val="0"/>
      <w:marRight w:val="0"/>
      <w:marTop w:val="0"/>
      <w:marBottom w:val="0"/>
      <w:divBdr>
        <w:top w:val="none" w:sz="0" w:space="0" w:color="auto"/>
        <w:left w:val="none" w:sz="0" w:space="0" w:color="auto"/>
        <w:bottom w:val="none" w:sz="0" w:space="0" w:color="auto"/>
        <w:right w:val="none" w:sz="0" w:space="0" w:color="auto"/>
      </w:divBdr>
    </w:div>
    <w:div w:id="139470367">
      <w:bodyDiv w:val="1"/>
      <w:marLeft w:val="0"/>
      <w:marRight w:val="0"/>
      <w:marTop w:val="0"/>
      <w:marBottom w:val="0"/>
      <w:divBdr>
        <w:top w:val="none" w:sz="0" w:space="0" w:color="auto"/>
        <w:left w:val="none" w:sz="0" w:space="0" w:color="auto"/>
        <w:bottom w:val="none" w:sz="0" w:space="0" w:color="auto"/>
        <w:right w:val="none" w:sz="0" w:space="0" w:color="auto"/>
      </w:divBdr>
    </w:div>
    <w:div w:id="156701158">
      <w:bodyDiv w:val="1"/>
      <w:marLeft w:val="0"/>
      <w:marRight w:val="0"/>
      <w:marTop w:val="0"/>
      <w:marBottom w:val="0"/>
      <w:divBdr>
        <w:top w:val="none" w:sz="0" w:space="0" w:color="auto"/>
        <w:left w:val="none" w:sz="0" w:space="0" w:color="auto"/>
        <w:bottom w:val="none" w:sz="0" w:space="0" w:color="auto"/>
        <w:right w:val="none" w:sz="0" w:space="0" w:color="auto"/>
      </w:divBdr>
    </w:div>
    <w:div w:id="160194928">
      <w:bodyDiv w:val="1"/>
      <w:marLeft w:val="0"/>
      <w:marRight w:val="0"/>
      <w:marTop w:val="0"/>
      <w:marBottom w:val="0"/>
      <w:divBdr>
        <w:top w:val="none" w:sz="0" w:space="0" w:color="auto"/>
        <w:left w:val="none" w:sz="0" w:space="0" w:color="auto"/>
        <w:bottom w:val="none" w:sz="0" w:space="0" w:color="auto"/>
        <w:right w:val="none" w:sz="0" w:space="0" w:color="auto"/>
      </w:divBdr>
    </w:div>
    <w:div w:id="175268476">
      <w:bodyDiv w:val="1"/>
      <w:marLeft w:val="0"/>
      <w:marRight w:val="0"/>
      <w:marTop w:val="0"/>
      <w:marBottom w:val="0"/>
      <w:divBdr>
        <w:top w:val="none" w:sz="0" w:space="0" w:color="auto"/>
        <w:left w:val="none" w:sz="0" w:space="0" w:color="auto"/>
        <w:bottom w:val="none" w:sz="0" w:space="0" w:color="auto"/>
        <w:right w:val="none" w:sz="0" w:space="0" w:color="auto"/>
      </w:divBdr>
    </w:div>
    <w:div w:id="256715507">
      <w:bodyDiv w:val="1"/>
      <w:marLeft w:val="0"/>
      <w:marRight w:val="0"/>
      <w:marTop w:val="0"/>
      <w:marBottom w:val="0"/>
      <w:divBdr>
        <w:top w:val="none" w:sz="0" w:space="0" w:color="auto"/>
        <w:left w:val="none" w:sz="0" w:space="0" w:color="auto"/>
        <w:bottom w:val="none" w:sz="0" w:space="0" w:color="auto"/>
        <w:right w:val="none" w:sz="0" w:space="0" w:color="auto"/>
      </w:divBdr>
    </w:div>
    <w:div w:id="260991703">
      <w:bodyDiv w:val="1"/>
      <w:marLeft w:val="0"/>
      <w:marRight w:val="0"/>
      <w:marTop w:val="0"/>
      <w:marBottom w:val="0"/>
      <w:divBdr>
        <w:top w:val="none" w:sz="0" w:space="0" w:color="auto"/>
        <w:left w:val="none" w:sz="0" w:space="0" w:color="auto"/>
        <w:bottom w:val="none" w:sz="0" w:space="0" w:color="auto"/>
        <w:right w:val="none" w:sz="0" w:space="0" w:color="auto"/>
      </w:divBdr>
    </w:div>
    <w:div w:id="292978225">
      <w:bodyDiv w:val="1"/>
      <w:marLeft w:val="0"/>
      <w:marRight w:val="0"/>
      <w:marTop w:val="0"/>
      <w:marBottom w:val="0"/>
      <w:divBdr>
        <w:top w:val="none" w:sz="0" w:space="0" w:color="auto"/>
        <w:left w:val="none" w:sz="0" w:space="0" w:color="auto"/>
        <w:bottom w:val="none" w:sz="0" w:space="0" w:color="auto"/>
        <w:right w:val="none" w:sz="0" w:space="0" w:color="auto"/>
      </w:divBdr>
    </w:div>
    <w:div w:id="297271623">
      <w:bodyDiv w:val="1"/>
      <w:marLeft w:val="0"/>
      <w:marRight w:val="0"/>
      <w:marTop w:val="0"/>
      <w:marBottom w:val="0"/>
      <w:divBdr>
        <w:top w:val="none" w:sz="0" w:space="0" w:color="auto"/>
        <w:left w:val="none" w:sz="0" w:space="0" w:color="auto"/>
        <w:bottom w:val="none" w:sz="0" w:space="0" w:color="auto"/>
        <w:right w:val="none" w:sz="0" w:space="0" w:color="auto"/>
      </w:divBdr>
    </w:div>
    <w:div w:id="333915901">
      <w:bodyDiv w:val="1"/>
      <w:marLeft w:val="0"/>
      <w:marRight w:val="0"/>
      <w:marTop w:val="0"/>
      <w:marBottom w:val="0"/>
      <w:divBdr>
        <w:top w:val="none" w:sz="0" w:space="0" w:color="auto"/>
        <w:left w:val="none" w:sz="0" w:space="0" w:color="auto"/>
        <w:bottom w:val="none" w:sz="0" w:space="0" w:color="auto"/>
        <w:right w:val="none" w:sz="0" w:space="0" w:color="auto"/>
      </w:divBdr>
    </w:div>
    <w:div w:id="348456490">
      <w:bodyDiv w:val="1"/>
      <w:marLeft w:val="0"/>
      <w:marRight w:val="0"/>
      <w:marTop w:val="0"/>
      <w:marBottom w:val="0"/>
      <w:divBdr>
        <w:top w:val="none" w:sz="0" w:space="0" w:color="auto"/>
        <w:left w:val="none" w:sz="0" w:space="0" w:color="auto"/>
        <w:bottom w:val="none" w:sz="0" w:space="0" w:color="auto"/>
        <w:right w:val="none" w:sz="0" w:space="0" w:color="auto"/>
      </w:divBdr>
    </w:div>
    <w:div w:id="349797924">
      <w:bodyDiv w:val="1"/>
      <w:marLeft w:val="0"/>
      <w:marRight w:val="0"/>
      <w:marTop w:val="0"/>
      <w:marBottom w:val="0"/>
      <w:divBdr>
        <w:top w:val="none" w:sz="0" w:space="0" w:color="auto"/>
        <w:left w:val="none" w:sz="0" w:space="0" w:color="auto"/>
        <w:bottom w:val="none" w:sz="0" w:space="0" w:color="auto"/>
        <w:right w:val="none" w:sz="0" w:space="0" w:color="auto"/>
      </w:divBdr>
    </w:div>
    <w:div w:id="366296173">
      <w:bodyDiv w:val="1"/>
      <w:marLeft w:val="0"/>
      <w:marRight w:val="0"/>
      <w:marTop w:val="0"/>
      <w:marBottom w:val="0"/>
      <w:divBdr>
        <w:top w:val="none" w:sz="0" w:space="0" w:color="auto"/>
        <w:left w:val="none" w:sz="0" w:space="0" w:color="auto"/>
        <w:bottom w:val="none" w:sz="0" w:space="0" w:color="auto"/>
        <w:right w:val="none" w:sz="0" w:space="0" w:color="auto"/>
      </w:divBdr>
    </w:div>
    <w:div w:id="370611906">
      <w:bodyDiv w:val="1"/>
      <w:marLeft w:val="0"/>
      <w:marRight w:val="0"/>
      <w:marTop w:val="0"/>
      <w:marBottom w:val="0"/>
      <w:divBdr>
        <w:top w:val="none" w:sz="0" w:space="0" w:color="auto"/>
        <w:left w:val="none" w:sz="0" w:space="0" w:color="auto"/>
        <w:bottom w:val="none" w:sz="0" w:space="0" w:color="auto"/>
        <w:right w:val="none" w:sz="0" w:space="0" w:color="auto"/>
      </w:divBdr>
    </w:div>
    <w:div w:id="371999656">
      <w:bodyDiv w:val="1"/>
      <w:marLeft w:val="0"/>
      <w:marRight w:val="0"/>
      <w:marTop w:val="0"/>
      <w:marBottom w:val="0"/>
      <w:divBdr>
        <w:top w:val="none" w:sz="0" w:space="0" w:color="auto"/>
        <w:left w:val="none" w:sz="0" w:space="0" w:color="auto"/>
        <w:bottom w:val="none" w:sz="0" w:space="0" w:color="auto"/>
        <w:right w:val="none" w:sz="0" w:space="0" w:color="auto"/>
      </w:divBdr>
    </w:div>
    <w:div w:id="446895382">
      <w:bodyDiv w:val="1"/>
      <w:marLeft w:val="0"/>
      <w:marRight w:val="0"/>
      <w:marTop w:val="0"/>
      <w:marBottom w:val="0"/>
      <w:divBdr>
        <w:top w:val="none" w:sz="0" w:space="0" w:color="auto"/>
        <w:left w:val="none" w:sz="0" w:space="0" w:color="auto"/>
        <w:bottom w:val="none" w:sz="0" w:space="0" w:color="auto"/>
        <w:right w:val="none" w:sz="0" w:space="0" w:color="auto"/>
      </w:divBdr>
    </w:div>
    <w:div w:id="466894544">
      <w:bodyDiv w:val="1"/>
      <w:marLeft w:val="0"/>
      <w:marRight w:val="0"/>
      <w:marTop w:val="0"/>
      <w:marBottom w:val="0"/>
      <w:divBdr>
        <w:top w:val="none" w:sz="0" w:space="0" w:color="auto"/>
        <w:left w:val="none" w:sz="0" w:space="0" w:color="auto"/>
        <w:bottom w:val="none" w:sz="0" w:space="0" w:color="auto"/>
        <w:right w:val="none" w:sz="0" w:space="0" w:color="auto"/>
      </w:divBdr>
    </w:div>
    <w:div w:id="468129011">
      <w:bodyDiv w:val="1"/>
      <w:marLeft w:val="0"/>
      <w:marRight w:val="0"/>
      <w:marTop w:val="0"/>
      <w:marBottom w:val="0"/>
      <w:divBdr>
        <w:top w:val="none" w:sz="0" w:space="0" w:color="auto"/>
        <w:left w:val="none" w:sz="0" w:space="0" w:color="auto"/>
        <w:bottom w:val="none" w:sz="0" w:space="0" w:color="auto"/>
        <w:right w:val="none" w:sz="0" w:space="0" w:color="auto"/>
      </w:divBdr>
    </w:div>
    <w:div w:id="474492010">
      <w:bodyDiv w:val="1"/>
      <w:marLeft w:val="0"/>
      <w:marRight w:val="0"/>
      <w:marTop w:val="0"/>
      <w:marBottom w:val="0"/>
      <w:divBdr>
        <w:top w:val="none" w:sz="0" w:space="0" w:color="auto"/>
        <w:left w:val="none" w:sz="0" w:space="0" w:color="auto"/>
        <w:bottom w:val="none" w:sz="0" w:space="0" w:color="auto"/>
        <w:right w:val="none" w:sz="0" w:space="0" w:color="auto"/>
      </w:divBdr>
    </w:div>
    <w:div w:id="486626456">
      <w:bodyDiv w:val="1"/>
      <w:marLeft w:val="0"/>
      <w:marRight w:val="0"/>
      <w:marTop w:val="0"/>
      <w:marBottom w:val="0"/>
      <w:divBdr>
        <w:top w:val="none" w:sz="0" w:space="0" w:color="auto"/>
        <w:left w:val="none" w:sz="0" w:space="0" w:color="auto"/>
        <w:bottom w:val="none" w:sz="0" w:space="0" w:color="auto"/>
        <w:right w:val="none" w:sz="0" w:space="0" w:color="auto"/>
      </w:divBdr>
    </w:div>
    <w:div w:id="497384726">
      <w:bodyDiv w:val="1"/>
      <w:marLeft w:val="0"/>
      <w:marRight w:val="0"/>
      <w:marTop w:val="0"/>
      <w:marBottom w:val="0"/>
      <w:divBdr>
        <w:top w:val="none" w:sz="0" w:space="0" w:color="auto"/>
        <w:left w:val="none" w:sz="0" w:space="0" w:color="auto"/>
        <w:bottom w:val="none" w:sz="0" w:space="0" w:color="auto"/>
        <w:right w:val="none" w:sz="0" w:space="0" w:color="auto"/>
      </w:divBdr>
    </w:div>
    <w:div w:id="501431209">
      <w:bodyDiv w:val="1"/>
      <w:marLeft w:val="0"/>
      <w:marRight w:val="0"/>
      <w:marTop w:val="0"/>
      <w:marBottom w:val="0"/>
      <w:divBdr>
        <w:top w:val="none" w:sz="0" w:space="0" w:color="auto"/>
        <w:left w:val="none" w:sz="0" w:space="0" w:color="auto"/>
        <w:bottom w:val="none" w:sz="0" w:space="0" w:color="auto"/>
        <w:right w:val="none" w:sz="0" w:space="0" w:color="auto"/>
      </w:divBdr>
    </w:div>
    <w:div w:id="524682825">
      <w:bodyDiv w:val="1"/>
      <w:marLeft w:val="0"/>
      <w:marRight w:val="0"/>
      <w:marTop w:val="0"/>
      <w:marBottom w:val="0"/>
      <w:divBdr>
        <w:top w:val="none" w:sz="0" w:space="0" w:color="auto"/>
        <w:left w:val="none" w:sz="0" w:space="0" w:color="auto"/>
        <w:bottom w:val="none" w:sz="0" w:space="0" w:color="auto"/>
        <w:right w:val="none" w:sz="0" w:space="0" w:color="auto"/>
      </w:divBdr>
    </w:div>
    <w:div w:id="579413752">
      <w:bodyDiv w:val="1"/>
      <w:marLeft w:val="0"/>
      <w:marRight w:val="0"/>
      <w:marTop w:val="0"/>
      <w:marBottom w:val="0"/>
      <w:divBdr>
        <w:top w:val="none" w:sz="0" w:space="0" w:color="auto"/>
        <w:left w:val="none" w:sz="0" w:space="0" w:color="auto"/>
        <w:bottom w:val="none" w:sz="0" w:space="0" w:color="auto"/>
        <w:right w:val="none" w:sz="0" w:space="0" w:color="auto"/>
      </w:divBdr>
    </w:div>
    <w:div w:id="612132946">
      <w:bodyDiv w:val="1"/>
      <w:marLeft w:val="0"/>
      <w:marRight w:val="0"/>
      <w:marTop w:val="0"/>
      <w:marBottom w:val="0"/>
      <w:divBdr>
        <w:top w:val="none" w:sz="0" w:space="0" w:color="auto"/>
        <w:left w:val="none" w:sz="0" w:space="0" w:color="auto"/>
        <w:bottom w:val="none" w:sz="0" w:space="0" w:color="auto"/>
        <w:right w:val="none" w:sz="0" w:space="0" w:color="auto"/>
      </w:divBdr>
    </w:div>
    <w:div w:id="618070058">
      <w:bodyDiv w:val="1"/>
      <w:marLeft w:val="0"/>
      <w:marRight w:val="0"/>
      <w:marTop w:val="0"/>
      <w:marBottom w:val="0"/>
      <w:divBdr>
        <w:top w:val="none" w:sz="0" w:space="0" w:color="auto"/>
        <w:left w:val="none" w:sz="0" w:space="0" w:color="auto"/>
        <w:bottom w:val="none" w:sz="0" w:space="0" w:color="auto"/>
        <w:right w:val="none" w:sz="0" w:space="0" w:color="auto"/>
      </w:divBdr>
    </w:div>
    <w:div w:id="673530242">
      <w:bodyDiv w:val="1"/>
      <w:marLeft w:val="0"/>
      <w:marRight w:val="0"/>
      <w:marTop w:val="0"/>
      <w:marBottom w:val="0"/>
      <w:divBdr>
        <w:top w:val="none" w:sz="0" w:space="0" w:color="auto"/>
        <w:left w:val="none" w:sz="0" w:space="0" w:color="auto"/>
        <w:bottom w:val="none" w:sz="0" w:space="0" w:color="auto"/>
        <w:right w:val="none" w:sz="0" w:space="0" w:color="auto"/>
      </w:divBdr>
    </w:div>
    <w:div w:id="683899424">
      <w:bodyDiv w:val="1"/>
      <w:marLeft w:val="0"/>
      <w:marRight w:val="0"/>
      <w:marTop w:val="0"/>
      <w:marBottom w:val="0"/>
      <w:divBdr>
        <w:top w:val="none" w:sz="0" w:space="0" w:color="auto"/>
        <w:left w:val="none" w:sz="0" w:space="0" w:color="auto"/>
        <w:bottom w:val="none" w:sz="0" w:space="0" w:color="auto"/>
        <w:right w:val="none" w:sz="0" w:space="0" w:color="auto"/>
      </w:divBdr>
    </w:div>
    <w:div w:id="689836220">
      <w:bodyDiv w:val="1"/>
      <w:marLeft w:val="0"/>
      <w:marRight w:val="0"/>
      <w:marTop w:val="0"/>
      <w:marBottom w:val="0"/>
      <w:divBdr>
        <w:top w:val="none" w:sz="0" w:space="0" w:color="auto"/>
        <w:left w:val="none" w:sz="0" w:space="0" w:color="auto"/>
        <w:bottom w:val="none" w:sz="0" w:space="0" w:color="auto"/>
        <w:right w:val="none" w:sz="0" w:space="0" w:color="auto"/>
      </w:divBdr>
    </w:div>
    <w:div w:id="714355284">
      <w:bodyDiv w:val="1"/>
      <w:marLeft w:val="0"/>
      <w:marRight w:val="0"/>
      <w:marTop w:val="0"/>
      <w:marBottom w:val="0"/>
      <w:divBdr>
        <w:top w:val="none" w:sz="0" w:space="0" w:color="auto"/>
        <w:left w:val="none" w:sz="0" w:space="0" w:color="auto"/>
        <w:bottom w:val="none" w:sz="0" w:space="0" w:color="auto"/>
        <w:right w:val="none" w:sz="0" w:space="0" w:color="auto"/>
      </w:divBdr>
    </w:div>
    <w:div w:id="724648996">
      <w:bodyDiv w:val="1"/>
      <w:marLeft w:val="0"/>
      <w:marRight w:val="0"/>
      <w:marTop w:val="0"/>
      <w:marBottom w:val="0"/>
      <w:divBdr>
        <w:top w:val="none" w:sz="0" w:space="0" w:color="auto"/>
        <w:left w:val="none" w:sz="0" w:space="0" w:color="auto"/>
        <w:bottom w:val="none" w:sz="0" w:space="0" w:color="auto"/>
        <w:right w:val="none" w:sz="0" w:space="0" w:color="auto"/>
      </w:divBdr>
    </w:div>
    <w:div w:id="761726393">
      <w:bodyDiv w:val="1"/>
      <w:marLeft w:val="0"/>
      <w:marRight w:val="0"/>
      <w:marTop w:val="0"/>
      <w:marBottom w:val="0"/>
      <w:divBdr>
        <w:top w:val="none" w:sz="0" w:space="0" w:color="auto"/>
        <w:left w:val="none" w:sz="0" w:space="0" w:color="auto"/>
        <w:bottom w:val="none" w:sz="0" w:space="0" w:color="auto"/>
        <w:right w:val="none" w:sz="0" w:space="0" w:color="auto"/>
      </w:divBdr>
    </w:div>
    <w:div w:id="794639388">
      <w:bodyDiv w:val="1"/>
      <w:marLeft w:val="0"/>
      <w:marRight w:val="0"/>
      <w:marTop w:val="0"/>
      <w:marBottom w:val="0"/>
      <w:divBdr>
        <w:top w:val="none" w:sz="0" w:space="0" w:color="auto"/>
        <w:left w:val="none" w:sz="0" w:space="0" w:color="auto"/>
        <w:bottom w:val="none" w:sz="0" w:space="0" w:color="auto"/>
        <w:right w:val="none" w:sz="0" w:space="0" w:color="auto"/>
      </w:divBdr>
    </w:div>
    <w:div w:id="815998852">
      <w:bodyDiv w:val="1"/>
      <w:marLeft w:val="0"/>
      <w:marRight w:val="0"/>
      <w:marTop w:val="0"/>
      <w:marBottom w:val="0"/>
      <w:divBdr>
        <w:top w:val="none" w:sz="0" w:space="0" w:color="auto"/>
        <w:left w:val="none" w:sz="0" w:space="0" w:color="auto"/>
        <w:bottom w:val="none" w:sz="0" w:space="0" w:color="auto"/>
        <w:right w:val="none" w:sz="0" w:space="0" w:color="auto"/>
      </w:divBdr>
    </w:div>
    <w:div w:id="820657965">
      <w:bodyDiv w:val="1"/>
      <w:marLeft w:val="0"/>
      <w:marRight w:val="0"/>
      <w:marTop w:val="0"/>
      <w:marBottom w:val="0"/>
      <w:divBdr>
        <w:top w:val="none" w:sz="0" w:space="0" w:color="auto"/>
        <w:left w:val="none" w:sz="0" w:space="0" w:color="auto"/>
        <w:bottom w:val="none" w:sz="0" w:space="0" w:color="auto"/>
        <w:right w:val="none" w:sz="0" w:space="0" w:color="auto"/>
      </w:divBdr>
    </w:div>
    <w:div w:id="845435342">
      <w:bodyDiv w:val="1"/>
      <w:marLeft w:val="0"/>
      <w:marRight w:val="0"/>
      <w:marTop w:val="0"/>
      <w:marBottom w:val="0"/>
      <w:divBdr>
        <w:top w:val="none" w:sz="0" w:space="0" w:color="auto"/>
        <w:left w:val="none" w:sz="0" w:space="0" w:color="auto"/>
        <w:bottom w:val="none" w:sz="0" w:space="0" w:color="auto"/>
        <w:right w:val="none" w:sz="0" w:space="0" w:color="auto"/>
      </w:divBdr>
      <w:divsChild>
        <w:div w:id="780999219">
          <w:marLeft w:val="0"/>
          <w:marRight w:val="0"/>
          <w:marTop w:val="0"/>
          <w:marBottom w:val="0"/>
          <w:divBdr>
            <w:top w:val="none" w:sz="0" w:space="0" w:color="auto"/>
            <w:left w:val="none" w:sz="0" w:space="0" w:color="auto"/>
            <w:bottom w:val="none" w:sz="0" w:space="0" w:color="auto"/>
            <w:right w:val="none" w:sz="0" w:space="0" w:color="auto"/>
          </w:divBdr>
          <w:divsChild>
            <w:div w:id="7531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7048">
      <w:bodyDiv w:val="1"/>
      <w:marLeft w:val="0"/>
      <w:marRight w:val="0"/>
      <w:marTop w:val="0"/>
      <w:marBottom w:val="0"/>
      <w:divBdr>
        <w:top w:val="none" w:sz="0" w:space="0" w:color="auto"/>
        <w:left w:val="none" w:sz="0" w:space="0" w:color="auto"/>
        <w:bottom w:val="none" w:sz="0" w:space="0" w:color="auto"/>
        <w:right w:val="none" w:sz="0" w:space="0" w:color="auto"/>
      </w:divBdr>
      <w:divsChild>
        <w:div w:id="294722104">
          <w:marLeft w:val="1166"/>
          <w:marRight w:val="0"/>
          <w:marTop w:val="0"/>
          <w:marBottom w:val="0"/>
          <w:divBdr>
            <w:top w:val="none" w:sz="0" w:space="0" w:color="auto"/>
            <w:left w:val="none" w:sz="0" w:space="0" w:color="auto"/>
            <w:bottom w:val="none" w:sz="0" w:space="0" w:color="auto"/>
            <w:right w:val="none" w:sz="0" w:space="0" w:color="auto"/>
          </w:divBdr>
        </w:div>
        <w:div w:id="823162344">
          <w:marLeft w:val="547"/>
          <w:marRight w:val="0"/>
          <w:marTop w:val="0"/>
          <w:marBottom w:val="0"/>
          <w:divBdr>
            <w:top w:val="none" w:sz="0" w:space="0" w:color="auto"/>
            <w:left w:val="none" w:sz="0" w:space="0" w:color="auto"/>
            <w:bottom w:val="none" w:sz="0" w:space="0" w:color="auto"/>
            <w:right w:val="none" w:sz="0" w:space="0" w:color="auto"/>
          </w:divBdr>
        </w:div>
        <w:div w:id="1560481107">
          <w:marLeft w:val="1166"/>
          <w:marRight w:val="0"/>
          <w:marTop w:val="0"/>
          <w:marBottom w:val="0"/>
          <w:divBdr>
            <w:top w:val="none" w:sz="0" w:space="0" w:color="auto"/>
            <w:left w:val="none" w:sz="0" w:space="0" w:color="auto"/>
            <w:bottom w:val="none" w:sz="0" w:space="0" w:color="auto"/>
            <w:right w:val="none" w:sz="0" w:space="0" w:color="auto"/>
          </w:divBdr>
        </w:div>
        <w:div w:id="1581058455">
          <w:marLeft w:val="547"/>
          <w:marRight w:val="0"/>
          <w:marTop w:val="0"/>
          <w:marBottom w:val="0"/>
          <w:divBdr>
            <w:top w:val="none" w:sz="0" w:space="0" w:color="auto"/>
            <w:left w:val="none" w:sz="0" w:space="0" w:color="auto"/>
            <w:bottom w:val="none" w:sz="0" w:space="0" w:color="auto"/>
            <w:right w:val="none" w:sz="0" w:space="0" w:color="auto"/>
          </w:divBdr>
        </w:div>
      </w:divsChild>
    </w:div>
    <w:div w:id="867183519">
      <w:bodyDiv w:val="1"/>
      <w:marLeft w:val="0"/>
      <w:marRight w:val="0"/>
      <w:marTop w:val="0"/>
      <w:marBottom w:val="0"/>
      <w:divBdr>
        <w:top w:val="none" w:sz="0" w:space="0" w:color="auto"/>
        <w:left w:val="none" w:sz="0" w:space="0" w:color="auto"/>
        <w:bottom w:val="none" w:sz="0" w:space="0" w:color="auto"/>
        <w:right w:val="none" w:sz="0" w:space="0" w:color="auto"/>
      </w:divBdr>
    </w:div>
    <w:div w:id="889726015">
      <w:bodyDiv w:val="1"/>
      <w:marLeft w:val="0"/>
      <w:marRight w:val="0"/>
      <w:marTop w:val="0"/>
      <w:marBottom w:val="0"/>
      <w:divBdr>
        <w:top w:val="none" w:sz="0" w:space="0" w:color="auto"/>
        <w:left w:val="none" w:sz="0" w:space="0" w:color="auto"/>
        <w:bottom w:val="none" w:sz="0" w:space="0" w:color="auto"/>
        <w:right w:val="none" w:sz="0" w:space="0" w:color="auto"/>
      </w:divBdr>
    </w:div>
    <w:div w:id="910895593">
      <w:bodyDiv w:val="1"/>
      <w:marLeft w:val="0"/>
      <w:marRight w:val="0"/>
      <w:marTop w:val="0"/>
      <w:marBottom w:val="0"/>
      <w:divBdr>
        <w:top w:val="none" w:sz="0" w:space="0" w:color="auto"/>
        <w:left w:val="none" w:sz="0" w:space="0" w:color="auto"/>
        <w:bottom w:val="none" w:sz="0" w:space="0" w:color="auto"/>
        <w:right w:val="none" w:sz="0" w:space="0" w:color="auto"/>
      </w:divBdr>
    </w:div>
    <w:div w:id="956062377">
      <w:bodyDiv w:val="1"/>
      <w:marLeft w:val="0"/>
      <w:marRight w:val="0"/>
      <w:marTop w:val="0"/>
      <w:marBottom w:val="0"/>
      <w:divBdr>
        <w:top w:val="none" w:sz="0" w:space="0" w:color="auto"/>
        <w:left w:val="none" w:sz="0" w:space="0" w:color="auto"/>
        <w:bottom w:val="none" w:sz="0" w:space="0" w:color="auto"/>
        <w:right w:val="none" w:sz="0" w:space="0" w:color="auto"/>
      </w:divBdr>
    </w:div>
    <w:div w:id="994459352">
      <w:bodyDiv w:val="1"/>
      <w:marLeft w:val="0"/>
      <w:marRight w:val="0"/>
      <w:marTop w:val="0"/>
      <w:marBottom w:val="0"/>
      <w:divBdr>
        <w:top w:val="none" w:sz="0" w:space="0" w:color="auto"/>
        <w:left w:val="none" w:sz="0" w:space="0" w:color="auto"/>
        <w:bottom w:val="none" w:sz="0" w:space="0" w:color="auto"/>
        <w:right w:val="none" w:sz="0" w:space="0" w:color="auto"/>
      </w:divBdr>
    </w:div>
    <w:div w:id="1012488996">
      <w:bodyDiv w:val="1"/>
      <w:marLeft w:val="0"/>
      <w:marRight w:val="0"/>
      <w:marTop w:val="0"/>
      <w:marBottom w:val="0"/>
      <w:divBdr>
        <w:top w:val="none" w:sz="0" w:space="0" w:color="auto"/>
        <w:left w:val="none" w:sz="0" w:space="0" w:color="auto"/>
        <w:bottom w:val="none" w:sz="0" w:space="0" w:color="auto"/>
        <w:right w:val="none" w:sz="0" w:space="0" w:color="auto"/>
      </w:divBdr>
    </w:div>
    <w:div w:id="1015183747">
      <w:bodyDiv w:val="1"/>
      <w:marLeft w:val="0"/>
      <w:marRight w:val="0"/>
      <w:marTop w:val="0"/>
      <w:marBottom w:val="0"/>
      <w:divBdr>
        <w:top w:val="none" w:sz="0" w:space="0" w:color="auto"/>
        <w:left w:val="none" w:sz="0" w:space="0" w:color="auto"/>
        <w:bottom w:val="none" w:sz="0" w:space="0" w:color="auto"/>
        <w:right w:val="none" w:sz="0" w:space="0" w:color="auto"/>
      </w:divBdr>
      <w:divsChild>
        <w:div w:id="685180851">
          <w:marLeft w:val="0"/>
          <w:marRight w:val="0"/>
          <w:marTop w:val="0"/>
          <w:marBottom w:val="0"/>
          <w:divBdr>
            <w:top w:val="none" w:sz="0" w:space="0" w:color="auto"/>
            <w:left w:val="none" w:sz="0" w:space="0" w:color="auto"/>
            <w:bottom w:val="none" w:sz="0" w:space="0" w:color="auto"/>
            <w:right w:val="none" w:sz="0" w:space="0" w:color="auto"/>
          </w:divBdr>
        </w:div>
        <w:div w:id="1177580441">
          <w:marLeft w:val="0"/>
          <w:marRight w:val="0"/>
          <w:marTop w:val="0"/>
          <w:marBottom w:val="0"/>
          <w:divBdr>
            <w:top w:val="none" w:sz="0" w:space="0" w:color="auto"/>
            <w:left w:val="none" w:sz="0" w:space="0" w:color="auto"/>
            <w:bottom w:val="none" w:sz="0" w:space="0" w:color="auto"/>
            <w:right w:val="none" w:sz="0" w:space="0" w:color="auto"/>
          </w:divBdr>
        </w:div>
        <w:div w:id="1839881437">
          <w:marLeft w:val="0"/>
          <w:marRight w:val="0"/>
          <w:marTop w:val="0"/>
          <w:marBottom w:val="0"/>
          <w:divBdr>
            <w:top w:val="none" w:sz="0" w:space="0" w:color="auto"/>
            <w:left w:val="none" w:sz="0" w:space="0" w:color="auto"/>
            <w:bottom w:val="none" w:sz="0" w:space="0" w:color="auto"/>
            <w:right w:val="none" w:sz="0" w:space="0" w:color="auto"/>
          </w:divBdr>
        </w:div>
        <w:div w:id="1909269651">
          <w:marLeft w:val="0"/>
          <w:marRight w:val="0"/>
          <w:marTop w:val="0"/>
          <w:marBottom w:val="0"/>
          <w:divBdr>
            <w:top w:val="none" w:sz="0" w:space="0" w:color="auto"/>
            <w:left w:val="none" w:sz="0" w:space="0" w:color="auto"/>
            <w:bottom w:val="none" w:sz="0" w:space="0" w:color="auto"/>
            <w:right w:val="none" w:sz="0" w:space="0" w:color="auto"/>
          </w:divBdr>
        </w:div>
      </w:divsChild>
    </w:div>
    <w:div w:id="1015577874">
      <w:bodyDiv w:val="1"/>
      <w:marLeft w:val="0"/>
      <w:marRight w:val="0"/>
      <w:marTop w:val="0"/>
      <w:marBottom w:val="0"/>
      <w:divBdr>
        <w:top w:val="none" w:sz="0" w:space="0" w:color="auto"/>
        <w:left w:val="none" w:sz="0" w:space="0" w:color="auto"/>
        <w:bottom w:val="none" w:sz="0" w:space="0" w:color="auto"/>
        <w:right w:val="none" w:sz="0" w:space="0" w:color="auto"/>
      </w:divBdr>
    </w:div>
    <w:div w:id="1031609114">
      <w:bodyDiv w:val="1"/>
      <w:marLeft w:val="0"/>
      <w:marRight w:val="0"/>
      <w:marTop w:val="0"/>
      <w:marBottom w:val="0"/>
      <w:divBdr>
        <w:top w:val="none" w:sz="0" w:space="0" w:color="auto"/>
        <w:left w:val="none" w:sz="0" w:space="0" w:color="auto"/>
        <w:bottom w:val="none" w:sz="0" w:space="0" w:color="auto"/>
        <w:right w:val="none" w:sz="0" w:space="0" w:color="auto"/>
      </w:divBdr>
    </w:div>
    <w:div w:id="1063681314">
      <w:bodyDiv w:val="1"/>
      <w:marLeft w:val="0"/>
      <w:marRight w:val="0"/>
      <w:marTop w:val="0"/>
      <w:marBottom w:val="0"/>
      <w:divBdr>
        <w:top w:val="none" w:sz="0" w:space="0" w:color="auto"/>
        <w:left w:val="none" w:sz="0" w:space="0" w:color="auto"/>
        <w:bottom w:val="none" w:sz="0" w:space="0" w:color="auto"/>
        <w:right w:val="none" w:sz="0" w:space="0" w:color="auto"/>
      </w:divBdr>
    </w:div>
    <w:div w:id="1069304140">
      <w:bodyDiv w:val="1"/>
      <w:marLeft w:val="0"/>
      <w:marRight w:val="0"/>
      <w:marTop w:val="0"/>
      <w:marBottom w:val="0"/>
      <w:divBdr>
        <w:top w:val="none" w:sz="0" w:space="0" w:color="auto"/>
        <w:left w:val="none" w:sz="0" w:space="0" w:color="auto"/>
        <w:bottom w:val="none" w:sz="0" w:space="0" w:color="auto"/>
        <w:right w:val="none" w:sz="0" w:space="0" w:color="auto"/>
      </w:divBdr>
    </w:div>
    <w:div w:id="1072194444">
      <w:bodyDiv w:val="1"/>
      <w:marLeft w:val="0"/>
      <w:marRight w:val="0"/>
      <w:marTop w:val="0"/>
      <w:marBottom w:val="0"/>
      <w:divBdr>
        <w:top w:val="none" w:sz="0" w:space="0" w:color="auto"/>
        <w:left w:val="none" w:sz="0" w:space="0" w:color="auto"/>
        <w:bottom w:val="none" w:sz="0" w:space="0" w:color="auto"/>
        <w:right w:val="none" w:sz="0" w:space="0" w:color="auto"/>
      </w:divBdr>
    </w:div>
    <w:div w:id="1072704477">
      <w:bodyDiv w:val="1"/>
      <w:marLeft w:val="0"/>
      <w:marRight w:val="0"/>
      <w:marTop w:val="0"/>
      <w:marBottom w:val="0"/>
      <w:divBdr>
        <w:top w:val="none" w:sz="0" w:space="0" w:color="auto"/>
        <w:left w:val="none" w:sz="0" w:space="0" w:color="auto"/>
        <w:bottom w:val="none" w:sz="0" w:space="0" w:color="auto"/>
        <w:right w:val="none" w:sz="0" w:space="0" w:color="auto"/>
      </w:divBdr>
    </w:div>
    <w:div w:id="1073892745">
      <w:bodyDiv w:val="1"/>
      <w:marLeft w:val="0"/>
      <w:marRight w:val="0"/>
      <w:marTop w:val="0"/>
      <w:marBottom w:val="0"/>
      <w:divBdr>
        <w:top w:val="none" w:sz="0" w:space="0" w:color="auto"/>
        <w:left w:val="none" w:sz="0" w:space="0" w:color="auto"/>
        <w:bottom w:val="none" w:sz="0" w:space="0" w:color="auto"/>
        <w:right w:val="none" w:sz="0" w:space="0" w:color="auto"/>
      </w:divBdr>
    </w:div>
    <w:div w:id="1088817010">
      <w:bodyDiv w:val="1"/>
      <w:marLeft w:val="0"/>
      <w:marRight w:val="0"/>
      <w:marTop w:val="0"/>
      <w:marBottom w:val="0"/>
      <w:divBdr>
        <w:top w:val="none" w:sz="0" w:space="0" w:color="auto"/>
        <w:left w:val="none" w:sz="0" w:space="0" w:color="auto"/>
        <w:bottom w:val="none" w:sz="0" w:space="0" w:color="auto"/>
        <w:right w:val="none" w:sz="0" w:space="0" w:color="auto"/>
      </w:divBdr>
    </w:div>
    <w:div w:id="1110902363">
      <w:bodyDiv w:val="1"/>
      <w:marLeft w:val="0"/>
      <w:marRight w:val="0"/>
      <w:marTop w:val="0"/>
      <w:marBottom w:val="0"/>
      <w:divBdr>
        <w:top w:val="none" w:sz="0" w:space="0" w:color="auto"/>
        <w:left w:val="none" w:sz="0" w:space="0" w:color="auto"/>
        <w:bottom w:val="none" w:sz="0" w:space="0" w:color="auto"/>
        <w:right w:val="none" w:sz="0" w:space="0" w:color="auto"/>
      </w:divBdr>
    </w:div>
    <w:div w:id="1126974100">
      <w:bodyDiv w:val="1"/>
      <w:marLeft w:val="0"/>
      <w:marRight w:val="0"/>
      <w:marTop w:val="0"/>
      <w:marBottom w:val="0"/>
      <w:divBdr>
        <w:top w:val="none" w:sz="0" w:space="0" w:color="auto"/>
        <w:left w:val="none" w:sz="0" w:space="0" w:color="auto"/>
        <w:bottom w:val="none" w:sz="0" w:space="0" w:color="auto"/>
        <w:right w:val="none" w:sz="0" w:space="0" w:color="auto"/>
      </w:divBdr>
    </w:div>
    <w:div w:id="1166172033">
      <w:bodyDiv w:val="1"/>
      <w:marLeft w:val="0"/>
      <w:marRight w:val="0"/>
      <w:marTop w:val="0"/>
      <w:marBottom w:val="0"/>
      <w:divBdr>
        <w:top w:val="none" w:sz="0" w:space="0" w:color="auto"/>
        <w:left w:val="none" w:sz="0" w:space="0" w:color="auto"/>
        <w:bottom w:val="none" w:sz="0" w:space="0" w:color="auto"/>
        <w:right w:val="none" w:sz="0" w:space="0" w:color="auto"/>
      </w:divBdr>
    </w:div>
    <w:div w:id="1189639833">
      <w:bodyDiv w:val="1"/>
      <w:marLeft w:val="0"/>
      <w:marRight w:val="0"/>
      <w:marTop w:val="0"/>
      <w:marBottom w:val="0"/>
      <w:divBdr>
        <w:top w:val="none" w:sz="0" w:space="0" w:color="auto"/>
        <w:left w:val="none" w:sz="0" w:space="0" w:color="auto"/>
        <w:bottom w:val="none" w:sz="0" w:space="0" w:color="auto"/>
        <w:right w:val="none" w:sz="0" w:space="0" w:color="auto"/>
      </w:divBdr>
    </w:div>
    <w:div w:id="1295673515">
      <w:bodyDiv w:val="1"/>
      <w:marLeft w:val="0"/>
      <w:marRight w:val="0"/>
      <w:marTop w:val="0"/>
      <w:marBottom w:val="0"/>
      <w:divBdr>
        <w:top w:val="none" w:sz="0" w:space="0" w:color="auto"/>
        <w:left w:val="none" w:sz="0" w:space="0" w:color="auto"/>
        <w:bottom w:val="none" w:sz="0" w:space="0" w:color="auto"/>
        <w:right w:val="none" w:sz="0" w:space="0" w:color="auto"/>
      </w:divBdr>
    </w:div>
    <w:div w:id="1303926283">
      <w:bodyDiv w:val="1"/>
      <w:marLeft w:val="0"/>
      <w:marRight w:val="0"/>
      <w:marTop w:val="0"/>
      <w:marBottom w:val="0"/>
      <w:divBdr>
        <w:top w:val="none" w:sz="0" w:space="0" w:color="auto"/>
        <w:left w:val="none" w:sz="0" w:space="0" w:color="auto"/>
        <w:bottom w:val="none" w:sz="0" w:space="0" w:color="auto"/>
        <w:right w:val="none" w:sz="0" w:space="0" w:color="auto"/>
      </w:divBdr>
    </w:div>
    <w:div w:id="1318533110">
      <w:bodyDiv w:val="1"/>
      <w:marLeft w:val="0"/>
      <w:marRight w:val="0"/>
      <w:marTop w:val="0"/>
      <w:marBottom w:val="0"/>
      <w:divBdr>
        <w:top w:val="none" w:sz="0" w:space="0" w:color="auto"/>
        <w:left w:val="none" w:sz="0" w:space="0" w:color="auto"/>
        <w:bottom w:val="none" w:sz="0" w:space="0" w:color="auto"/>
        <w:right w:val="none" w:sz="0" w:space="0" w:color="auto"/>
      </w:divBdr>
    </w:div>
    <w:div w:id="1322856317">
      <w:bodyDiv w:val="1"/>
      <w:marLeft w:val="0"/>
      <w:marRight w:val="0"/>
      <w:marTop w:val="0"/>
      <w:marBottom w:val="0"/>
      <w:divBdr>
        <w:top w:val="none" w:sz="0" w:space="0" w:color="auto"/>
        <w:left w:val="none" w:sz="0" w:space="0" w:color="auto"/>
        <w:bottom w:val="none" w:sz="0" w:space="0" w:color="auto"/>
        <w:right w:val="none" w:sz="0" w:space="0" w:color="auto"/>
      </w:divBdr>
    </w:div>
    <w:div w:id="1358695909">
      <w:bodyDiv w:val="1"/>
      <w:marLeft w:val="0"/>
      <w:marRight w:val="0"/>
      <w:marTop w:val="0"/>
      <w:marBottom w:val="0"/>
      <w:divBdr>
        <w:top w:val="none" w:sz="0" w:space="0" w:color="auto"/>
        <w:left w:val="none" w:sz="0" w:space="0" w:color="auto"/>
        <w:bottom w:val="none" w:sz="0" w:space="0" w:color="auto"/>
        <w:right w:val="none" w:sz="0" w:space="0" w:color="auto"/>
      </w:divBdr>
    </w:div>
    <w:div w:id="1403485687">
      <w:bodyDiv w:val="1"/>
      <w:marLeft w:val="0"/>
      <w:marRight w:val="0"/>
      <w:marTop w:val="0"/>
      <w:marBottom w:val="0"/>
      <w:divBdr>
        <w:top w:val="none" w:sz="0" w:space="0" w:color="auto"/>
        <w:left w:val="none" w:sz="0" w:space="0" w:color="auto"/>
        <w:bottom w:val="none" w:sz="0" w:space="0" w:color="auto"/>
        <w:right w:val="none" w:sz="0" w:space="0" w:color="auto"/>
      </w:divBdr>
    </w:div>
    <w:div w:id="1410157464">
      <w:bodyDiv w:val="1"/>
      <w:marLeft w:val="0"/>
      <w:marRight w:val="0"/>
      <w:marTop w:val="0"/>
      <w:marBottom w:val="0"/>
      <w:divBdr>
        <w:top w:val="none" w:sz="0" w:space="0" w:color="auto"/>
        <w:left w:val="none" w:sz="0" w:space="0" w:color="auto"/>
        <w:bottom w:val="none" w:sz="0" w:space="0" w:color="auto"/>
        <w:right w:val="none" w:sz="0" w:space="0" w:color="auto"/>
      </w:divBdr>
    </w:div>
    <w:div w:id="1427655512">
      <w:bodyDiv w:val="1"/>
      <w:marLeft w:val="0"/>
      <w:marRight w:val="0"/>
      <w:marTop w:val="0"/>
      <w:marBottom w:val="0"/>
      <w:divBdr>
        <w:top w:val="none" w:sz="0" w:space="0" w:color="auto"/>
        <w:left w:val="none" w:sz="0" w:space="0" w:color="auto"/>
        <w:bottom w:val="none" w:sz="0" w:space="0" w:color="auto"/>
        <w:right w:val="none" w:sz="0" w:space="0" w:color="auto"/>
      </w:divBdr>
    </w:div>
    <w:div w:id="1439989067">
      <w:bodyDiv w:val="1"/>
      <w:marLeft w:val="0"/>
      <w:marRight w:val="0"/>
      <w:marTop w:val="0"/>
      <w:marBottom w:val="0"/>
      <w:divBdr>
        <w:top w:val="none" w:sz="0" w:space="0" w:color="auto"/>
        <w:left w:val="none" w:sz="0" w:space="0" w:color="auto"/>
        <w:bottom w:val="none" w:sz="0" w:space="0" w:color="auto"/>
        <w:right w:val="none" w:sz="0" w:space="0" w:color="auto"/>
      </w:divBdr>
    </w:div>
    <w:div w:id="1442604823">
      <w:bodyDiv w:val="1"/>
      <w:marLeft w:val="0"/>
      <w:marRight w:val="0"/>
      <w:marTop w:val="0"/>
      <w:marBottom w:val="0"/>
      <w:divBdr>
        <w:top w:val="none" w:sz="0" w:space="0" w:color="auto"/>
        <w:left w:val="none" w:sz="0" w:space="0" w:color="auto"/>
        <w:bottom w:val="none" w:sz="0" w:space="0" w:color="auto"/>
        <w:right w:val="none" w:sz="0" w:space="0" w:color="auto"/>
      </w:divBdr>
    </w:div>
    <w:div w:id="1455951252">
      <w:bodyDiv w:val="1"/>
      <w:marLeft w:val="0"/>
      <w:marRight w:val="0"/>
      <w:marTop w:val="0"/>
      <w:marBottom w:val="0"/>
      <w:divBdr>
        <w:top w:val="none" w:sz="0" w:space="0" w:color="auto"/>
        <w:left w:val="none" w:sz="0" w:space="0" w:color="auto"/>
        <w:bottom w:val="none" w:sz="0" w:space="0" w:color="auto"/>
        <w:right w:val="none" w:sz="0" w:space="0" w:color="auto"/>
      </w:divBdr>
    </w:div>
    <w:div w:id="1456873552">
      <w:bodyDiv w:val="1"/>
      <w:marLeft w:val="0"/>
      <w:marRight w:val="0"/>
      <w:marTop w:val="0"/>
      <w:marBottom w:val="0"/>
      <w:divBdr>
        <w:top w:val="none" w:sz="0" w:space="0" w:color="auto"/>
        <w:left w:val="none" w:sz="0" w:space="0" w:color="auto"/>
        <w:bottom w:val="none" w:sz="0" w:space="0" w:color="auto"/>
        <w:right w:val="none" w:sz="0" w:space="0" w:color="auto"/>
      </w:divBdr>
    </w:div>
    <w:div w:id="1484618190">
      <w:bodyDiv w:val="1"/>
      <w:marLeft w:val="0"/>
      <w:marRight w:val="0"/>
      <w:marTop w:val="0"/>
      <w:marBottom w:val="0"/>
      <w:divBdr>
        <w:top w:val="none" w:sz="0" w:space="0" w:color="auto"/>
        <w:left w:val="none" w:sz="0" w:space="0" w:color="auto"/>
        <w:bottom w:val="none" w:sz="0" w:space="0" w:color="auto"/>
        <w:right w:val="none" w:sz="0" w:space="0" w:color="auto"/>
      </w:divBdr>
    </w:div>
    <w:div w:id="1496534410">
      <w:bodyDiv w:val="1"/>
      <w:marLeft w:val="0"/>
      <w:marRight w:val="0"/>
      <w:marTop w:val="0"/>
      <w:marBottom w:val="0"/>
      <w:divBdr>
        <w:top w:val="none" w:sz="0" w:space="0" w:color="auto"/>
        <w:left w:val="none" w:sz="0" w:space="0" w:color="auto"/>
        <w:bottom w:val="none" w:sz="0" w:space="0" w:color="auto"/>
        <w:right w:val="none" w:sz="0" w:space="0" w:color="auto"/>
      </w:divBdr>
    </w:div>
    <w:div w:id="1504395173">
      <w:bodyDiv w:val="1"/>
      <w:marLeft w:val="0"/>
      <w:marRight w:val="0"/>
      <w:marTop w:val="0"/>
      <w:marBottom w:val="0"/>
      <w:divBdr>
        <w:top w:val="none" w:sz="0" w:space="0" w:color="auto"/>
        <w:left w:val="none" w:sz="0" w:space="0" w:color="auto"/>
        <w:bottom w:val="none" w:sz="0" w:space="0" w:color="auto"/>
        <w:right w:val="none" w:sz="0" w:space="0" w:color="auto"/>
      </w:divBdr>
    </w:div>
    <w:div w:id="1546210543">
      <w:bodyDiv w:val="1"/>
      <w:marLeft w:val="0"/>
      <w:marRight w:val="0"/>
      <w:marTop w:val="0"/>
      <w:marBottom w:val="0"/>
      <w:divBdr>
        <w:top w:val="none" w:sz="0" w:space="0" w:color="auto"/>
        <w:left w:val="none" w:sz="0" w:space="0" w:color="auto"/>
        <w:bottom w:val="none" w:sz="0" w:space="0" w:color="auto"/>
        <w:right w:val="none" w:sz="0" w:space="0" w:color="auto"/>
      </w:divBdr>
    </w:div>
    <w:div w:id="1591967374">
      <w:bodyDiv w:val="1"/>
      <w:marLeft w:val="0"/>
      <w:marRight w:val="0"/>
      <w:marTop w:val="0"/>
      <w:marBottom w:val="0"/>
      <w:divBdr>
        <w:top w:val="none" w:sz="0" w:space="0" w:color="auto"/>
        <w:left w:val="none" w:sz="0" w:space="0" w:color="auto"/>
        <w:bottom w:val="none" w:sz="0" w:space="0" w:color="auto"/>
        <w:right w:val="none" w:sz="0" w:space="0" w:color="auto"/>
      </w:divBdr>
    </w:div>
    <w:div w:id="1593971276">
      <w:bodyDiv w:val="1"/>
      <w:marLeft w:val="0"/>
      <w:marRight w:val="0"/>
      <w:marTop w:val="0"/>
      <w:marBottom w:val="0"/>
      <w:divBdr>
        <w:top w:val="none" w:sz="0" w:space="0" w:color="auto"/>
        <w:left w:val="none" w:sz="0" w:space="0" w:color="auto"/>
        <w:bottom w:val="none" w:sz="0" w:space="0" w:color="auto"/>
        <w:right w:val="none" w:sz="0" w:space="0" w:color="auto"/>
      </w:divBdr>
      <w:divsChild>
        <w:div w:id="140461627">
          <w:marLeft w:val="547"/>
          <w:marRight w:val="0"/>
          <w:marTop w:val="0"/>
          <w:marBottom w:val="0"/>
          <w:divBdr>
            <w:top w:val="none" w:sz="0" w:space="0" w:color="auto"/>
            <w:left w:val="none" w:sz="0" w:space="0" w:color="auto"/>
            <w:bottom w:val="none" w:sz="0" w:space="0" w:color="auto"/>
            <w:right w:val="none" w:sz="0" w:space="0" w:color="auto"/>
          </w:divBdr>
        </w:div>
      </w:divsChild>
    </w:div>
    <w:div w:id="1670131050">
      <w:bodyDiv w:val="1"/>
      <w:marLeft w:val="0"/>
      <w:marRight w:val="0"/>
      <w:marTop w:val="0"/>
      <w:marBottom w:val="0"/>
      <w:divBdr>
        <w:top w:val="none" w:sz="0" w:space="0" w:color="auto"/>
        <w:left w:val="none" w:sz="0" w:space="0" w:color="auto"/>
        <w:bottom w:val="none" w:sz="0" w:space="0" w:color="auto"/>
        <w:right w:val="none" w:sz="0" w:space="0" w:color="auto"/>
      </w:divBdr>
    </w:div>
    <w:div w:id="1693456519">
      <w:bodyDiv w:val="1"/>
      <w:marLeft w:val="0"/>
      <w:marRight w:val="0"/>
      <w:marTop w:val="0"/>
      <w:marBottom w:val="0"/>
      <w:divBdr>
        <w:top w:val="none" w:sz="0" w:space="0" w:color="auto"/>
        <w:left w:val="none" w:sz="0" w:space="0" w:color="auto"/>
        <w:bottom w:val="none" w:sz="0" w:space="0" w:color="auto"/>
        <w:right w:val="none" w:sz="0" w:space="0" w:color="auto"/>
      </w:divBdr>
    </w:div>
    <w:div w:id="1713845334">
      <w:bodyDiv w:val="1"/>
      <w:marLeft w:val="0"/>
      <w:marRight w:val="0"/>
      <w:marTop w:val="0"/>
      <w:marBottom w:val="0"/>
      <w:divBdr>
        <w:top w:val="none" w:sz="0" w:space="0" w:color="auto"/>
        <w:left w:val="none" w:sz="0" w:space="0" w:color="auto"/>
        <w:bottom w:val="none" w:sz="0" w:space="0" w:color="auto"/>
        <w:right w:val="none" w:sz="0" w:space="0" w:color="auto"/>
      </w:divBdr>
    </w:div>
    <w:div w:id="1714303762">
      <w:bodyDiv w:val="1"/>
      <w:marLeft w:val="0"/>
      <w:marRight w:val="0"/>
      <w:marTop w:val="0"/>
      <w:marBottom w:val="0"/>
      <w:divBdr>
        <w:top w:val="none" w:sz="0" w:space="0" w:color="auto"/>
        <w:left w:val="none" w:sz="0" w:space="0" w:color="auto"/>
        <w:bottom w:val="none" w:sz="0" w:space="0" w:color="auto"/>
        <w:right w:val="none" w:sz="0" w:space="0" w:color="auto"/>
      </w:divBdr>
    </w:div>
    <w:div w:id="1719355188">
      <w:bodyDiv w:val="1"/>
      <w:marLeft w:val="0"/>
      <w:marRight w:val="0"/>
      <w:marTop w:val="0"/>
      <w:marBottom w:val="0"/>
      <w:divBdr>
        <w:top w:val="none" w:sz="0" w:space="0" w:color="auto"/>
        <w:left w:val="none" w:sz="0" w:space="0" w:color="auto"/>
        <w:bottom w:val="none" w:sz="0" w:space="0" w:color="auto"/>
        <w:right w:val="none" w:sz="0" w:space="0" w:color="auto"/>
      </w:divBdr>
    </w:div>
    <w:div w:id="1722056426">
      <w:bodyDiv w:val="1"/>
      <w:marLeft w:val="0"/>
      <w:marRight w:val="0"/>
      <w:marTop w:val="0"/>
      <w:marBottom w:val="0"/>
      <w:divBdr>
        <w:top w:val="none" w:sz="0" w:space="0" w:color="auto"/>
        <w:left w:val="none" w:sz="0" w:space="0" w:color="auto"/>
        <w:bottom w:val="none" w:sz="0" w:space="0" w:color="auto"/>
        <w:right w:val="none" w:sz="0" w:space="0" w:color="auto"/>
      </w:divBdr>
    </w:div>
    <w:div w:id="1745443761">
      <w:bodyDiv w:val="1"/>
      <w:marLeft w:val="0"/>
      <w:marRight w:val="0"/>
      <w:marTop w:val="0"/>
      <w:marBottom w:val="0"/>
      <w:divBdr>
        <w:top w:val="none" w:sz="0" w:space="0" w:color="auto"/>
        <w:left w:val="none" w:sz="0" w:space="0" w:color="auto"/>
        <w:bottom w:val="none" w:sz="0" w:space="0" w:color="auto"/>
        <w:right w:val="none" w:sz="0" w:space="0" w:color="auto"/>
      </w:divBdr>
    </w:div>
    <w:div w:id="1762490350">
      <w:bodyDiv w:val="1"/>
      <w:marLeft w:val="0"/>
      <w:marRight w:val="0"/>
      <w:marTop w:val="0"/>
      <w:marBottom w:val="0"/>
      <w:divBdr>
        <w:top w:val="none" w:sz="0" w:space="0" w:color="auto"/>
        <w:left w:val="none" w:sz="0" w:space="0" w:color="auto"/>
        <w:bottom w:val="none" w:sz="0" w:space="0" w:color="auto"/>
        <w:right w:val="none" w:sz="0" w:space="0" w:color="auto"/>
      </w:divBdr>
    </w:div>
    <w:div w:id="1806117309">
      <w:bodyDiv w:val="1"/>
      <w:marLeft w:val="0"/>
      <w:marRight w:val="0"/>
      <w:marTop w:val="0"/>
      <w:marBottom w:val="0"/>
      <w:divBdr>
        <w:top w:val="none" w:sz="0" w:space="0" w:color="auto"/>
        <w:left w:val="none" w:sz="0" w:space="0" w:color="auto"/>
        <w:bottom w:val="none" w:sz="0" w:space="0" w:color="auto"/>
        <w:right w:val="none" w:sz="0" w:space="0" w:color="auto"/>
      </w:divBdr>
    </w:div>
    <w:div w:id="1807507237">
      <w:bodyDiv w:val="1"/>
      <w:marLeft w:val="0"/>
      <w:marRight w:val="0"/>
      <w:marTop w:val="0"/>
      <w:marBottom w:val="0"/>
      <w:divBdr>
        <w:top w:val="none" w:sz="0" w:space="0" w:color="auto"/>
        <w:left w:val="none" w:sz="0" w:space="0" w:color="auto"/>
        <w:bottom w:val="none" w:sz="0" w:space="0" w:color="auto"/>
        <w:right w:val="none" w:sz="0" w:space="0" w:color="auto"/>
      </w:divBdr>
    </w:div>
    <w:div w:id="1809471006">
      <w:bodyDiv w:val="1"/>
      <w:marLeft w:val="0"/>
      <w:marRight w:val="0"/>
      <w:marTop w:val="0"/>
      <w:marBottom w:val="0"/>
      <w:divBdr>
        <w:top w:val="none" w:sz="0" w:space="0" w:color="auto"/>
        <w:left w:val="none" w:sz="0" w:space="0" w:color="auto"/>
        <w:bottom w:val="none" w:sz="0" w:space="0" w:color="auto"/>
        <w:right w:val="none" w:sz="0" w:space="0" w:color="auto"/>
      </w:divBdr>
    </w:div>
    <w:div w:id="1812475219">
      <w:bodyDiv w:val="1"/>
      <w:marLeft w:val="0"/>
      <w:marRight w:val="0"/>
      <w:marTop w:val="0"/>
      <w:marBottom w:val="0"/>
      <w:divBdr>
        <w:top w:val="none" w:sz="0" w:space="0" w:color="auto"/>
        <w:left w:val="none" w:sz="0" w:space="0" w:color="auto"/>
        <w:bottom w:val="none" w:sz="0" w:space="0" w:color="auto"/>
        <w:right w:val="none" w:sz="0" w:space="0" w:color="auto"/>
      </w:divBdr>
    </w:div>
    <w:div w:id="1833986970">
      <w:bodyDiv w:val="1"/>
      <w:marLeft w:val="0"/>
      <w:marRight w:val="0"/>
      <w:marTop w:val="0"/>
      <w:marBottom w:val="0"/>
      <w:divBdr>
        <w:top w:val="none" w:sz="0" w:space="0" w:color="auto"/>
        <w:left w:val="none" w:sz="0" w:space="0" w:color="auto"/>
        <w:bottom w:val="none" w:sz="0" w:space="0" w:color="auto"/>
        <w:right w:val="none" w:sz="0" w:space="0" w:color="auto"/>
      </w:divBdr>
    </w:div>
    <w:div w:id="1875919854">
      <w:bodyDiv w:val="1"/>
      <w:marLeft w:val="0"/>
      <w:marRight w:val="0"/>
      <w:marTop w:val="0"/>
      <w:marBottom w:val="0"/>
      <w:divBdr>
        <w:top w:val="none" w:sz="0" w:space="0" w:color="auto"/>
        <w:left w:val="none" w:sz="0" w:space="0" w:color="auto"/>
        <w:bottom w:val="none" w:sz="0" w:space="0" w:color="auto"/>
        <w:right w:val="none" w:sz="0" w:space="0" w:color="auto"/>
      </w:divBdr>
    </w:div>
    <w:div w:id="1900700438">
      <w:bodyDiv w:val="1"/>
      <w:marLeft w:val="0"/>
      <w:marRight w:val="0"/>
      <w:marTop w:val="0"/>
      <w:marBottom w:val="0"/>
      <w:divBdr>
        <w:top w:val="none" w:sz="0" w:space="0" w:color="auto"/>
        <w:left w:val="none" w:sz="0" w:space="0" w:color="auto"/>
        <w:bottom w:val="none" w:sz="0" w:space="0" w:color="auto"/>
        <w:right w:val="none" w:sz="0" w:space="0" w:color="auto"/>
      </w:divBdr>
    </w:div>
    <w:div w:id="1917857079">
      <w:bodyDiv w:val="1"/>
      <w:marLeft w:val="0"/>
      <w:marRight w:val="0"/>
      <w:marTop w:val="0"/>
      <w:marBottom w:val="0"/>
      <w:divBdr>
        <w:top w:val="none" w:sz="0" w:space="0" w:color="auto"/>
        <w:left w:val="none" w:sz="0" w:space="0" w:color="auto"/>
        <w:bottom w:val="none" w:sz="0" w:space="0" w:color="auto"/>
        <w:right w:val="none" w:sz="0" w:space="0" w:color="auto"/>
      </w:divBdr>
    </w:div>
    <w:div w:id="1978408653">
      <w:bodyDiv w:val="1"/>
      <w:marLeft w:val="0"/>
      <w:marRight w:val="0"/>
      <w:marTop w:val="0"/>
      <w:marBottom w:val="0"/>
      <w:divBdr>
        <w:top w:val="none" w:sz="0" w:space="0" w:color="auto"/>
        <w:left w:val="none" w:sz="0" w:space="0" w:color="auto"/>
        <w:bottom w:val="none" w:sz="0" w:space="0" w:color="auto"/>
        <w:right w:val="none" w:sz="0" w:space="0" w:color="auto"/>
      </w:divBdr>
    </w:div>
    <w:div w:id="1985893254">
      <w:bodyDiv w:val="1"/>
      <w:marLeft w:val="0"/>
      <w:marRight w:val="0"/>
      <w:marTop w:val="0"/>
      <w:marBottom w:val="0"/>
      <w:divBdr>
        <w:top w:val="none" w:sz="0" w:space="0" w:color="auto"/>
        <w:left w:val="none" w:sz="0" w:space="0" w:color="auto"/>
        <w:bottom w:val="none" w:sz="0" w:space="0" w:color="auto"/>
        <w:right w:val="none" w:sz="0" w:space="0" w:color="auto"/>
      </w:divBdr>
    </w:div>
    <w:div w:id="2043437749">
      <w:bodyDiv w:val="1"/>
      <w:marLeft w:val="0"/>
      <w:marRight w:val="0"/>
      <w:marTop w:val="0"/>
      <w:marBottom w:val="0"/>
      <w:divBdr>
        <w:top w:val="none" w:sz="0" w:space="0" w:color="auto"/>
        <w:left w:val="none" w:sz="0" w:space="0" w:color="auto"/>
        <w:bottom w:val="none" w:sz="0" w:space="0" w:color="auto"/>
        <w:right w:val="none" w:sz="0" w:space="0" w:color="auto"/>
      </w:divBdr>
    </w:div>
    <w:div w:id="2048069653">
      <w:bodyDiv w:val="1"/>
      <w:marLeft w:val="0"/>
      <w:marRight w:val="0"/>
      <w:marTop w:val="0"/>
      <w:marBottom w:val="0"/>
      <w:divBdr>
        <w:top w:val="none" w:sz="0" w:space="0" w:color="auto"/>
        <w:left w:val="none" w:sz="0" w:space="0" w:color="auto"/>
        <w:bottom w:val="none" w:sz="0" w:space="0" w:color="auto"/>
        <w:right w:val="none" w:sz="0" w:space="0" w:color="auto"/>
      </w:divBdr>
    </w:div>
    <w:div w:id="2071265836">
      <w:bodyDiv w:val="1"/>
      <w:marLeft w:val="0"/>
      <w:marRight w:val="0"/>
      <w:marTop w:val="0"/>
      <w:marBottom w:val="0"/>
      <w:divBdr>
        <w:top w:val="none" w:sz="0" w:space="0" w:color="auto"/>
        <w:left w:val="none" w:sz="0" w:space="0" w:color="auto"/>
        <w:bottom w:val="none" w:sz="0" w:space="0" w:color="auto"/>
        <w:right w:val="none" w:sz="0" w:space="0" w:color="auto"/>
      </w:divBdr>
    </w:div>
    <w:div w:id="2092700643">
      <w:bodyDiv w:val="1"/>
      <w:marLeft w:val="0"/>
      <w:marRight w:val="0"/>
      <w:marTop w:val="0"/>
      <w:marBottom w:val="0"/>
      <w:divBdr>
        <w:top w:val="none" w:sz="0" w:space="0" w:color="auto"/>
        <w:left w:val="none" w:sz="0" w:space="0" w:color="auto"/>
        <w:bottom w:val="none" w:sz="0" w:space="0" w:color="auto"/>
        <w:right w:val="none" w:sz="0" w:space="0" w:color="auto"/>
      </w:divBdr>
    </w:div>
    <w:div w:id="210445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diagramColors" Target="diagrams/colors2.xml"/><Relationship Id="rId68" Type="http://schemas.openxmlformats.org/officeDocument/2006/relationships/chart" Target="charts/chart37.xml"/><Relationship Id="rId84" Type="http://schemas.openxmlformats.org/officeDocument/2006/relationships/footer" Target="footer6.xml"/><Relationship Id="rId89" Type="http://schemas.openxmlformats.org/officeDocument/2006/relationships/hyperlink" Target="https://rpo.slaskie.pl/czytaj/subregion_zachodni" TargetMode="External"/><Relationship Id="rId16" Type="http://schemas.openxmlformats.org/officeDocument/2006/relationships/chart" Target="charts/chart1.xml"/><Relationship Id="rId11" Type="http://schemas.openxmlformats.org/officeDocument/2006/relationships/footnotes" Target="footnotes.xml"/><Relationship Id="rId32" Type="http://schemas.openxmlformats.org/officeDocument/2006/relationships/chart" Target="charts/chart13.xml"/><Relationship Id="rId37" Type="http://schemas.openxmlformats.org/officeDocument/2006/relationships/chart" Target="charts/chart18.xml"/><Relationship Id="rId53" Type="http://schemas.openxmlformats.org/officeDocument/2006/relationships/diagramData" Target="diagrams/data1.xml"/><Relationship Id="rId58" Type="http://schemas.openxmlformats.org/officeDocument/2006/relationships/chart" Target="charts/chart34.xml"/><Relationship Id="rId74" Type="http://schemas.openxmlformats.org/officeDocument/2006/relationships/chart" Target="charts/chart43.xml"/><Relationship Id="rId79" Type="http://schemas.openxmlformats.org/officeDocument/2006/relationships/chart" Target="charts/chart48.xml"/><Relationship Id="rId5" Type="http://schemas.openxmlformats.org/officeDocument/2006/relationships/customXml" Target="../customXml/item5.xml"/><Relationship Id="rId90" Type="http://schemas.openxmlformats.org/officeDocument/2006/relationships/hyperlink" Target="https://rpo.slaskie.pl/czytaj/subregion_centralny" TargetMode="External"/><Relationship Id="rId14" Type="http://schemas.openxmlformats.org/officeDocument/2006/relationships/image" Target="media/image2.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footer" Target="footer3.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diagramColors" Target="diagrams/colors1.xml"/><Relationship Id="rId64" Type="http://schemas.microsoft.com/office/2007/relationships/diagramDrawing" Target="diagrams/drawing2.xml"/><Relationship Id="rId69" Type="http://schemas.openxmlformats.org/officeDocument/2006/relationships/chart" Target="charts/chart38.xml"/><Relationship Id="rId77" Type="http://schemas.openxmlformats.org/officeDocument/2006/relationships/chart" Target="charts/chart46.xml"/><Relationship Id="rId8" Type="http://schemas.openxmlformats.org/officeDocument/2006/relationships/styles" Target="styles.xml"/><Relationship Id="rId51" Type="http://schemas.openxmlformats.org/officeDocument/2006/relationships/chart" Target="charts/chart32.xml"/><Relationship Id="rId72" Type="http://schemas.openxmlformats.org/officeDocument/2006/relationships/chart" Target="charts/chart41.xml"/><Relationship Id="rId80" Type="http://schemas.openxmlformats.org/officeDocument/2006/relationships/chart" Target="charts/chart49.xml"/><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35.xml"/><Relationship Id="rId67" Type="http://schemas.openxmlformats.org/officeDocument/2006/relationships/chart" Target="charts/chart36.xml"/><Relationship Id="rId20" Type="http://schemas.openxmlformats.org/officeDocument/2006/relationships/chart" Target="charts/chart3.xml"/><Relationship Id="rId41" Type="http://schemas.openxmlformats.org/officeDocument/2006/relationships/chart" Target="charts/chart22.xml"/><Relationship Id="rId54" Type="http://schemas.openxmlformats.org/officeDocument/2006/relationships/diagramLayout" Target="diagrams/layout1.xml"/><Relationship Id="rId62" Type="http://schemas.openxmlformats.org/officeDocument/2006/relationships/diagramQuickStyle" Target="diagrams/quickStyle2.xml"/><Relationship Id="rId70" Type="http://schemas.openxmlformats.org/officeDocument/2006/relationships/chart" Target="charts/chart39.xml"/><Relationship Id="rId75" Type="http://schemas.openxmlformats.org/officeDocument/2006/relationships/chart" Target="charts/chart44.xml"/><Relationship Id="rId83" Type="http://schemas.openxmlformats.org/officeDocument/2006/relationships/chart" Target="charts/chart51.xml"/><Relationship Id="rId88" Type="http://schemas.openxmlformats.org/officeDocument/2006/relationships/hyperlink" Target="https://rpo.slaskie.pl/czytaj/subregion_polnocny"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7.xml"/><Relationship Id="rId49" Type="http://schemas.openxmlformats.org/officeDocument/2006/relationships/chart" Target="charts/chart30.xml"/><Relationship Id="rId57" Type="http://schemas.microsoft.com/office/2007/relationships/diagramDrawing" Target="diagrams/drawing1.xml"/><Relationship Id="rId10" Type="http://schemas.openxmlformats.org/officeDocument/2006/relationships/webSettings" Target="webSettings.xml"/><Relationship Id="rId31" Type="http://schemas.openxmlformats.org/officeDocument/2006/relationships/footer" Target="footer4.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diagramData" Target="diagrams/data2.xml"/><Relationship Id="rId65" Type="http://schemas.openxmlformats.org/officeDocument/2006/relationships/hyperlink" Target="http://www.rpo.slaskie.pl" TargetMode="External"/><Relationship Id="rId73" Type="http://schemas.openxmlformats.org/officeDocument/2006/relationships/chart" Target="charts/chart42.xml"/><Relationship Id="rId78" Type="http://schemas.openxmlformats.org/officeDocument/2006/relationships/chart" Target="charts/chart47.xml"/><Relationship Id="rId81" Type="http://schemas.openxmlformats.org/officeDocument/2006/relationships/chart" Target="charts/chart50.xml"/><Relationship Id="rId86" Type="http://schemas.openxmlformats.org/officeDocument/2006/relationships/hyperlink" Target="http://si.kuratorium.katowice.pl"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chart" Target="charts/chart2.xml"/><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diagramQuickStyle" Target="diagrams/quickStyle1.xml"/><Relationship Id="rId76" Type="http://schemas.openxmlformats.org/officeDocument/2006/relationships/chart" Target="charts/chart45.xml"/><Relationship Id="rId7" Type="http://schemas.openxmlformats.org/officeDocument/2006/relationships/numbering" Target="numbering.xml"/><Relationship Id="rId71" Type="http://schemas.openxmlformats.org/officeDocument/2006/relationships/chart" Target="charts/chart40.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footer" Target="footer5.xml"/><Relationship Id="rId87" Type="http://schemas.openxmlformats.org/officeDocument/2006/relationships/hyperlink" Target="https://rpo.slaskie.pl/czytaj/subregion_poludniowy" TargetMode="External"/><Relationship Id="rId61" Type="http://schemas.openxmlformats.org/officeDocument/2006/relationships/diagramLayout" Target="diagrams/layout2.xml"/><Relationship Id="rId82" Type="http://schemas.openxmlformats.org/officeDocument/2006/relationships/image" Target="media/image5.png"/><Relationship Id="rId1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www.ore.edu.pl/2017/11/bank-dobrych-praktyk-materialy-do-pobrania/" TargetMode="External"/><Relationship Id="rId1" Type="http://schemas.openxmlformats.org/officeDocument/2006/relationships/hyperlink" Target="http://www.rpo.slaskie.p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Excel12.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Arkusz_programu_Microsoft_Excel15.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Arkusz_programu_Microsoft_Excel17.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Arkusz_programu_Microsoft_Excel18.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19.xlsx"/><Relationship Id="rId1" Type="http://schemas.openxmlformats.org/officeDocument/2006/relationships/themeOverride" Target="../theme/themeOverride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7.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8.xml"/></Relationships>
</file>

<file path=word/charts/_rels/chart37.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9.xml"/></Relationships>
</file>

<file path=word/charts/_rels/chart38.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10.xml"/></Relationships>
</file>

<file path=word/charts/_rels/chart39.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11.xm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12.xml"/></Relationships>
</file>

<file path=word/charts/_rels/chart41.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13.xml"/></Relationships>
</file>

<file path=word/charts/_rels/chart42.xml.rels><?xml version="1.0" encoding="UTF-8" standalone="yes"?>
<Relationships xmlns="http://schemas.openxmlformats.org/package/2006/relationships"><Relationship Id="rId2" Type="http://schemas.openxmlformats.org/officeDocument/2006/relationships/package" Target="../embeddings/Arkusz_programu_Microsoft_Excel27.xlsx"/><Relationship Id="rId1" Type="http://schemas.openxmlformats.org/officeDocument/2006/relationships/themeOverride" Target="../theme/themeOverride1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Arkusz_programu_Microsoft_Excel28.xlsx"/><Relationship Id="rId1" Type="http://schemas.openxmlformats.org/officeDocument/2006/relationships/themeOverride" Target="../theme/themeOverride15.xml"/></Relationships>
</file>

<file path=word/charts/_rels/chart44.xml.rels><?xml version="1.0" encoding="UTF-8" standalone="yes"?>
<Relationships xmlns="http://schemas.openxmlformats.org/package/2006/relationships"><Relationship Id="rId2" Type="http://schemas.openxmlformats.org/officeDocument/2006/relationships/package" Target="../embeddings/Arkusz_programu_Microsoft_Excel29.xlsx"/><Relationship Id="rId1" Type="http://schemas.openxmlformats.org/officeDocument/2006/relationships/themeOverride" Target="../theme/themeOverride16.xml"/></Relationships>
</file>

<file path=word/charts/_rels/chart45.xml.rels><?xml version="1.0" encoding="UTF-8" standalone="yes"?>
<Relationships xmlns="http://schemas.openxmlformats.org/package/2006/relationships"><Relationship Id="rId2" Type="http://schemas.openxmlformats.org/officeDocument/2006/relationships/package" Target="../embeddings/Arkusz_programu_Microsoft_Excel30.xlsx"/><Relationship Id="rId1" Type="http://schemas.openxmlformats.org/officeDocument/2006/relationships/themeOverride" Target="../theme/themeOverride17.xml"/></Relationships>
</file>

<file path=word/charts/_rels/chart46.xml.rels><?xml version="1.0" encoding="UTF-8" standalone="yes"?>
<Relationships xmlns="http://schemas.openxmlformats.org/package/2006/relationships"><Relationship Id="rId2" Type="http://schemas.openxmlformats.org/officeDocument/2006/relationships/package" Target="../embeddings/Arkusz_programu_Microsoft_Excel31.xlsx"/><Relationship Id="rId1" Type="http://schemas.openxmlformats.org/officeDocument/2006/relationships/themeOverride" Target="../theme/themeOverride18.xml"/></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Excel32.xlsx"/><Relationship Id="rId1" Type="http://schemas.openxmlformats.org/officeDocument/2006/relationships/themeOverride" Target="../theme/themeOverride19.xml"/></Relationships>
</file>

<file path=word/charts/_rels/chart48.xml.rels><?xml version="1.0" encoding="UTF-8" standalone="yes"?>
<Relationships xmlns="http://schemas.openxmlformats.org/package/2006/relationships"><Relationship Id="rId1" Type="http://schemas.openxmlformats.org/officeDocument/2006/relationships/oleObject" Target="file:///C:\Users\eu-co\Desktop\Markuszewska\&#347;l&#261;sk%20edukacja\analiza%20CATI\Wykresy%20edukacja.xlsx" TargetMode="External"/></Relationships>
</file>

<file path=word/charts/_rels/chart49.xml.rels><?xml version="1.0" encoding="UTF-8" standalone="yes"?>
<Relationships xmlns="http://schemas.openxmlformats.org/package/2006/relationships"><Relationship Id="rId1" Type="http://schemas.openxmlformats.org/officeDocument/2006/relationships/package" Target="../embeddings/Arkusz_programu_Microsoft_Excel3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50.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Excel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Polska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817927170868552E-3"/>
                  <c:y val="-5.3333333333333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FE-4F9E-8D05-CC63C885ED4C}"/>
                </c:ext>
              </c:extLst>
            </c:dLbl>
            <c:dLbl>
              <c:idx val="1"/>
              <c:layout>
                <c:manualLayout>
                  <c:x val="-4.1082625316635944E-17"/>
                  <c:y val="-3.73333333333333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FE-4F9E-8D05-CC63C885ED4C}"/>
                </c:ext>
              </c:extLst>
            </c:dLbl>
            <c:dLbl>
              <c:idx val="2"/>
              <c:layout>
                <c:manualLayout>
                  <c:x val="-8.2165250633271889E-17"/>
                  <c:y val="-3.2000000000000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FE-4F9E-8D05-CC63C885ED4C}"/>
                </c:ext>
              </c:extLst>
            </c:dLbl>
            <c:dLbl>
              <c:idx val="3"/>
              <c:layout>
                <c:manualLayout>
                  <c:x val="-8.2165250633271889E-17"/>
                  <c:y val="-4.2666666666666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FE-4F9E-8D05-CC63C885ED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2014</c:v>
                </c:pt>
                <c:pt idx="1">
                  <c:v>2015</c:v>
                </c:pt>
                <c:pt idx="2">
                  <c:v>2016</c:v>
                </c:pt>
                <c:pt idx="3">
                  <c:v>2017</c:v>
                </c:pt>
                <c:pt idx="4">
                  <c:v>2018</c:v>
                </c:pt>
              </c:numCache>
            </c:numRef>
          </c:cat>
          <c:val>
            <c:numRef>
              <c:f>Arkusz1!$B$2:$B$6</c:f>
              <c:numCache>
                <c:formatCode>0.0%</c:formatCode>
                <c:ptCount val="5"/>
                <c:pt idx="0">
                  <c:v>0.56299999999999994</c:v>
                </c:pt>
                <c:pt idx="1">
                  <c:v>0.56499999999999995</c:v>
                </c:pt>
                <c:pt idx="2">
                  <c:v>0.56299999999999994</c:v>
                </c:pt>
                <c:pt idx="3">
                  <c:v>0.56200000000000006</c:v>
                </c:pt>
                <c:pt idx="4">
                  <c:v>0.56100000000000005</c:v>
                </c:pt>
              </c:numCache>
            </c:numRef>
          </c:val>
          <c:smooth val="0"/>
          <c:extLst>
            <c:ext xmlns:c16="http://schemas.microsoft.com/office/drawing/2014/chart" uri="{C3380CC4-5D6E-409C-BE32-E72D297353CC}">
              <c16:uniqueId val="{00000000-967B-405E-9A91-91DD9EC011F9}"/>
            </c:ext>
          </c:extLst>
        </c:ser>
        <c:ser>
          <c:idx val="1"/>
          <c:order val="1"/>
          <c:tx>
            <c:strRef>
              <c:f>Arkusz1!$C$1</c:f>
              <c:strCache>
                <c:ptCount val="1"/>
                <c:pt idx="0">
                  <c:v>Województwo śląskie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
                  <c:y val="-4.2666666666666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FE-4F9E-8D05-CC63C885ED4C}"/>
                </c:ext>
              </c:extLst>
            </c:dLbl>
            <c:dLbl>
              <c:idx val="1"/>
              <c:layout>
                <c:manualLayout>
                  <c:x val="-1.3445378151260463E-2"/>
                  <c:y val="-6.40000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FE-4F9E-8D05-CC63C885ED4C}"/>
                </c:ext>
              </c:extLst>
            </c:dLbl>
            <c:dLbl>
              <c:idx val="2"/>
              <c:layout>
                <c:manualLayout>
                  <c:x val="-2.4649859943977673E-2"/>
                  <c:y val="-6.40000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FE-4F9E-8D05-CC63C885ED4C}"/>
                </c:ext>
              </c:extLst>
            </c:dLbl>
            <c:dLbl>
              <c:idx val="3"/>
              <c:layout>
                <c:manualLayout>
                  <c:x val="-2.2408963585434257E-2"/>
                  <c:y val="-6.9333333333333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FE-4F9E-8D05-CC63C885ED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2014</c:v>
                </c:pt>
                <c:pt idx="1">
                  <c:v>2015</c:v>
                </c:pt>
                <c:pt idx="2">
                  <c:v>2016</c:v>
                </c:pt>
                <c:pt idx="3">
                  <c:v>2017</c:v>
                </c:pt>
                <c:pt idx="4">
                  <c:v>2018</c:v>
                </c:pt>
              </c:numCache>
            </c:numRef>
          </c:cat>
          <c:val>
            <c:numRef>
              <c:f>Arkusz1!$C$2:$C$6</c:f>
              <c:numCache>
                <c:formatCode>0.0%</c:formatCode>
                <c:ptCount val="5"/>
                <c:pt idx="0">
                  <c:v>0.54300000000000004</c:v>
                </c:pt>
                <c:pt idx="1">
                  <c:v>0.53800000000000003</c:v>
                </c:pt>
                <c:pt idx="2">
                  <c:v>0.53800000000000003</c:v>
                </c:pt>
                <c:pt idx="3">
                  <c:v>0.53100000000000003</c:v>
                </c:pt>
                <c:pt idx="4">
                  <c:v>0.52300000000000002</c:v>
                </c:pt>
              </c:numCache>
            </c:numRef>
          </c:val>
          <c:smooth val="0"/>
          <c:extLst>
            <c:ext xmlns:c16="http://schemas.microsoft.com/office/drawing/2014/chart" uri="{C3380CC4-5D6E-409C-BE32-E72D297353CC}">
              <c16:uniqueId val="{00000001-967B-405E-9A91-91DD9EC011F9}"/>
            </c:ext>
          </c:extLst>
        </c:ser>
        <c:dLbls>
          <c:showLegendKey val="0"/>
          <c:showVal val="0"/>
          <c:showCatName val="0"/>
          <c:showSerName val="0"/>
          <c:showPercent val="0"/>
          <c:showBubbleSize val="0"/>
        </c:dLbls>
        <c:marker val="1"/>
        <c:smooth val="0"/>
        <c:axId val="1970559824"/>
        <c:axId val="1970560368"/>
      </c:lineChart>
      <c:catAx>
        <c:axId val="197055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560368"/>
        <c:crosses val="autoZero"/>
        <c:auto val="1"/>
        <c:lblAlgn val="ctr"/>
        <c:lblOffset val="100"/>
        <c:noMultiLvlLbl val="0"/>
      </c:catAx>
      <c:valAx>
        <c:axId val="1970560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55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12.2</c:v>
                </c:pt>
              </c:strCache>
            </c:strRef>
          </c:tx>
          <c:spPr>
            <a:solidFill>
              <a:schemeClr val="accent6">
                <a:shade val="58000"/>
              </a:schemeClr>
            </a:solidFill>
            <a:ln>
              <a:no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Kontakt z opiekunem projektu</c:v>
                </c:pt>
                <c:pt idx="1">
                  <c:v>Współpraca z instytucją organizującą konkurs</c:v>
                </c:pt>
                <c:pt idx="2">
                  <c:v>Brak kadry mającej doświadczenie w realizacji i rozliczaniu projektów ze środków UE</c:v>
                </c:pt>
                <c:pt idx="3">
                  <c:v>Brak zainteresowania ze strony uczniów</c:v>
                </c:pt>
                <c:pt idx="4">
                  <c:v>Brak zainteresowania ze strony pracodawców</c:v>
                </c:pt>
                <c:pt idx="5">
                  <c:v>Niewystarczający/przestarzały sprzęt i wyposażenie do nauki zawody</c:v>
                </c:pt>
                <c:pt idx="6">
                  <c:v>Częste zmiany przepisów prawnych</c:v>
                </c:pt>
                <c:pt idx="7">
                  <c:v>Brak jasnej interpretacji przepisów prawnych związanych z wdrażaniem projektów</c:v>
                </c:pt>
                <c:pt idx="8">
                  <c:v>Procedury zamówień publicznych</c:v>
                </c:pt>
              </c:strCache>
            </c:strRef>
          </c:cat>
          <c:val>
            <c:numRef>
              <c:f>Arkusz1!$B$2:$B$10</c:f>
              <c:numCache>
                <c:formatCode>0.0%</c:formatCode>
                <c:ptCount val="9"/>
                <c:pt idx="0">
                  <c:v>2.6315789473684209E-2</c:v>
                </c:pt>
                <c:pt idx="1">
                  <c:v>2.6315789473684209E-2</c:v>
                </c:pt>
                <c:pt idx="2">
                  <c:v>0</c:v>
                </c:pt>
                <c:pt idx="3">
                  <c:v>0</c:v>
                </c:pt>
                <c:pt idx="4">
                  <c:v>0</c:v>
                </c:pt>
                <c:pt idx="5">
                  <c:v>0</c:v>
                </c:pt>
                <c:pt idx="6">
                  <c:v>0.23684210526315788</c:v>
                </c:pt>
                <c:pt idx="7">
                  <c:v>0.13157894736842105</c:v>
                </c:pt>
                <c:pt idx="8">
                  <c:v>0.31578947368421051</c:v>
                </c:pt>
              </c:numCache>
            </c:numRef>
          </c:val>
          <c:extLst>
            <c:ext xmlns:c16="http://schemas.microsoft.com/office/drawing/2014/chart" uri="{C3380CC4-5D6E-409C-BE32-E72D297353CC}">
              <c16:uniqueId val="{00000002-30F7-4850-8461-0476A6FE2685}"/>
            </c:ext>
          </c:extLst>
        </c:ser>
        <c:ser>
          <c:idx val="1"/>
          <c:order val="1"/>
          <c:tx>
            <c:strRef>
              <c:f>Arkusz1!$C$1</c:f>
              <c:strCache>
                <c:ptCount val="1"/>
                <c:pt idx="0">
                  <c:v>11.4</c:v>
                </c:pt>
              </c:strCache>
            </c:strRef>
          </c:tx>
          <c:spPr>
            <a:solidFill>
              <a:schemeClr val="accent6">
                <a:shade val="86000"/>
              </a:schemeClr>
            </a:solidFill>
            <a:ln>
              <a:no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Kontakt z opiekunem projektu</c:v>
                </c:pt>
                <c:pt idx="1">
                  <c:v>Współpraca z instytucją organizującą konkurs</c:v>
                </c:pt>
                <c:pt idx="2">
                  <c:v>Brak kadry mającej doświadczenie w realizacji i rozliczaniu projektów ze środków UE</c:v>
                </c:pt>
                <c:pt idx="3">
                  <c:v>Brak zainteresowania ze strony uczniów</c:v>
                </c:pt>
                <c:pt idx="4">
                  <c:v>Brak zainteresowania ze strony pracodawców</c:v>
                </c:pt>
                <c:pt idx="5">
                  <c:v>Niewystarczający/przestarzały sprzęt i wyposażenie do nauki zawody</c:v>
                </c:pt>
                <c:pt idx="6">
                  <c:v>Częste zmiany przepisów prawnych</c:v>
                </c:pt>
                <c:pt idx="7">
                  <c:v>Brak jasnej interpretacji przepisów prawnych związanych z wdrażaniem projektów</c:v>
                </c:pt>
                <c:pt idx="8">
                  <c:v>Procedury zamówień publicznych</c:v>
                </c:pt>
              </c:strCache>
            </c:strRef>
          </c:cat>
          <c:val>
            <c:numRef>
              <c:f>Arkusz1!$C$2:$C$10</c:f>
              <c:numCache>
                <c:formatCode>0.0%</c:formatCode>
                <c:ptCount val="9"/>
                <c:pt idx="0">
                  <c:v>9.0909090909090912E-2</c:v>
                </c:pt>
                <c:pt idx="1">
                  <c:v>9.0909090909090912E-2</c:v>
                </c:pt>
                <c:pt idx="2">
                  <c:v>4.5454545454545456E-2</c:v>
                </c:pt>
                <c:pt idx="3">
                  <c:v>0.22727272727272727</c:v>
                </c:pt>
                <c:pt idx="4">
                  <c:v>0.13636363636363635</c:v>
                </c:pt>
                <c:pt idx="5">
                  <c:v>0</c:v>
                </c:pt>
                <c:pt idx="6">
                  <c:v>9.0909090909090912E-2</c:v>
                </c:pt>
                <c:pt idx="7">
                  <c:v>0.22727272727272727</c:v>
                </c:pt>
                <c:pt idx="8">
                  <c:v>0.18181818181818182</c:v>
                </c:pt>
              </c:numCache>
            </c:numRef>
          </c:val>
          <c:extLst>
            <c:ext xmlns:c16="http://schemas.microsoft.com/office/drawing/2014/chart" uri="{C3380CC4-5D6E-409C-BE32-E72D297353CC}">
              <c16:uniqueId val="{00000004-30F7-4850-8461-0476A6FE2685}"/>
            </c:ext>
          </c:extLst>
        </c:ser>
        <c:ser>
          <c:idx val="2"/>
          <c:order val="2"/>
          <c:tx>
            <c:strRef>
              <c:f>Arkusz1!$D$1</c:f>
              <c:strCache>
                <c:ptCount val="1"/>
                <c:pt idx="0">
                  <c:v>11.3</c:v>
                </c:pt>
              </c:strCache>
            </c:strRef>
          </c:tx>
          <c:spPr>
            <a:solidFill>
              <a:schemeClr val="accent6">
                <a:tint val="86000"/>
              </a:schemeClr>
            </a:solidFill>
            <a:ln>
              <a:no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Kontakt z opiekunem projektu</c:v>
                </c:pt>
                <c:pt idx="1">
                  <c:v>Współpraca z instytucją organizującą konkurs</c:v>
                </c:pt>
                <c:pt idx="2">
                  <c:v>Brak kadry mającej doświadczenie w realizacji i rozliczaniu projektów ze środków UE</c:v>
                </c:pt>
                <c:pt idx="3">
                  <c:v>Brak zainteresowania ze strony uczniów</c:v>
                </c:pt>
                <c:pt idx="4">
                  <c:v>Brak zainteresowania ze strony pracodawców</c:v>
                </c:pt>
                <c:pt idx="5">
                  <c:v>Niewystarczający/przestarzały sprzęt i wyposażenie do nauki zawody</c:v>
                </c:pt>
                <c:pt idx="6">
                  <c:v>Częste zmiany przepisów prawnych</c:v>
                </c:pt>
                <c:pt idx="7">
                  <c:v>Brak jasnej interpretacji przepisów prawnych związanych z wdrażaniem projektów</c:v>
                </c:pt>
                <c:pt idx="8">
                  <c:v>Procedury zamówień publicznych</c:v>
                </c:pt>
              </c:strCache>
            </c:strRef>
          </c:cat>
          <c:val>
            <c:numRef>
              <c:f>Arkusz1!$D$2:$D$10</c:f>
              <c:numCache>
                <c:formatCode>0.0%</c:formatCode>
                <c:ptCount val="9"/>
                <c:pt idx="0">
                  <c:v>3.5087719298245612E-2</c:v>
                </c:pt>
                <c:pt idx="1">
                  <c:v>3.5087719298245612E-2</c:v>
                </c:pt>
                <c:pt idx="2">
                  <c:v>1.7543859649122806E-2</c:v>
                </c:pt>
                <c:pt idx="3">
                  <c:v>7.0175438596491224E-2</c:v>
                </c:pt>
                <c:pt idx="4">
                  <c:v>3.5087719298245612E-2</c:v>
                </c:pt>
                <c:pt idx="5">
                  <c:v>3.5087719298245612E-2</c:v>
                </c:pt>
                <c:pt idx="6">
                  <c:v>5.2631578947368418E-2</c:v>
                </c:pt>
                <c:pt idx="7">
                  <c:v>1.7543859649122806E-2</c:v>
                </c:pt>
                <c:pt idx="8">
                  <c:v>7.0175438596491224E-2</c:v>
                </c:pt>
              </c:numCache>
            </c:numRef>
          </c:val>
          <c:extLst>
            <c:ext xmlns:c16="http://schemas.microsoft.com/office/drawing/2014/chart" uri="{C3380CC4-5D6E-409C-BE32-E72D297353CC}">
              <c16:uniqueId val="{00000005-30F7-4850-8461-0476A6FE2685}"/>
            </c:ext>
          </c:extLst>
        </c:ser>
        <c:ser>
          <c:idx val="3"/>
          <c:order val="3"/>
          <c:tx>
            <c:strRef>
              <c:f>Arkusz1!$E$1</c:f>
              <c:strCache>
                <c:ptCount val="1"/>
                <c:pt idx="0">
                  <c:v>11.2</c:v>
                </c:pt>
              </c:strCache>
            </c:strRef>
          </c:tx>
          <c:spPr>
            <a:solidFill>
              <a:schemeClr val="accent6">
                <a:tint val="58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30F7-4850-8461-0476A6FE2685}"/>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Kontakt z opiekunem projektu</c:v>
                </c:pt>
                <c:pt idx="1">
                  <c:v>Współpraca z instytucją organizującą konkurs</c:v>
                </c:pt>
                <c:pt idx="2">
                  <c:v>Brak kadry mającej doświadczenie w realizacji i rozliczaniu projektów ze środków UE</c:v>
                </c:pt>
                <c:pt idx="3">
                  <c:v>Brak zainteresowania ze strony uczniów</c:v>
                </c:pt>
                <c:pt idx="4">
                  <c:v>Brak zainteresowania ze strony pracodawców</c:v>
                </c:pt>
                <c:pt idx="5">
                  <c:v>Niewystarczający/przestarzały sprzęt i wyposażenie do nauki zawody</c:v>
                </c:pt>
                <c:pt idx="6">
                  <c:v>Częste zmiany przepisów prawnych</c:v>
                </c:pt>
                <c:pt idx="7">
                  <c:v>Brak jasnej interpretacji przepisów prawnych związanych z wdrażaniem projektów</c:v>
                </c:pt>
                <c:pt idx="8">
                  <c:v>Procedury zamówień publicznych</c:v>
                </c:pt>
              </c:strCache>
            </c:strRef>
          </c:cat>
          <c:val>
            <c:numRef>
              <c:f>Arkusz1!$E$2:$E$10</c:f>
              <c:numCache>
                <c:formatCode>0.0%</c:formatCode>
                <c:ptCount val="9"/>
                <c:pt idx="0">
                  <c:v>2.1276595744680851E-2</c:v>
                </c:pt>
                <c:pt idx="1">
                  <c:v>6.3829787234042548E-2</c:v>
                </c:pt>
                <c:pt idx="2">
                  <c:v>8.5106382978723402E-2</c:v>
                </c:pt>
                <c:pt idx="3">
                  <c:v>0.21276595744680851</c:v>
                </c:pt>
                <c:pt idx="4">
                  <c:v>0.25531914893617019</c:v>
                </c:pt>
                <c:pt idx="5">
                  <c:v>0.25531914893617019</c:v>
                </c:pt>
                <c:pt idx="6">
                  <c:v>0.40425531914893614</c:v>
                </c:pt>
                <c:pt idx="7">
                  <c:v>0.42553191489361702</c:v>
                </c:pt>
                <c:pt idx="8">
                  <c:v>0.61702127659574468</c:v>
                </c:pt>
              </c:numCache>
            </c:numRef>
          </c:val>
          <c:extLst>
            <c:ext xmlns:c16="http://schemas.microsoft.com/office/drawing/2014/chart" uri="{C3380CC4-5D6E-409C-BE32-E72D297353CC}">
              <c16:uniqueId val="{00000007-30F7-4850-8461-0476A6FE2685}"/>
            </c:ext>
          </c:extLst>
        </c:ser>
        <c:dLbls>
          <c:showLegendKey val="0"/>
          <c:showVal val="0"/>
          <c:showCatName val="0"/>
          <c:showSerName val="0"/>
          <c:showPercent val="0"/>
          <c:showBubbleSize val="0"/>
        </c:dLbls>
        <c:gapWidth val="182"/>
        <c:axId val="1970598448"/>
        <c:axId val="1970625104"/>
      </c:barChart>
      <c:catAx>
        <c:axId val="1970598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970625104"/>
        <c:crosses val="autoZero"/>
        <c:auto val="1"/>
        <c:lblAlgn val="ctr"/>
        <c:lblOffset val="100"/>
        <c:noMultiLvlLbl val="0"/>
      </c:catAx>
      <c:valAx>
        <c:axId val="19706251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pl-PL"/>
          </a:p>
        </c:txPr>
        <c:crossAx val="1970598448"/>
        <c:crosses val="autoZero"/>
        <c:crossBetween val="between"/>
        <c:minorUnit val="0.2"/>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11.1.4</c:v>
                </c:pt>
              </c:strCache>
            </c:strRef>
          </c:tx>
          <c:spPr>
            <a:solidFill>
              <a:schemeClr val="accent6">
                <a:shade val="58000"/>
              </a:schemeClr>
            </a:solidFill>
            <a:ln>
              <a:no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Współpraca z instytucją organizującą konkurs</c:v>
                </c:pt>
                <c:pt idx="1">
                  <c:v>Kontakt z opiekunem projektu</c:v>
                </c:pt>
                <c:pt idx="2">
                  <c:v>Brak kadry mającej doświadczenie w realizacji i rozliczaniu projektów ze środków UE</c:v>
                </c:pt>
                <c:pt idx="3">
                  <c:v>Trudności w rekrutacji uczestników</c:v>
                </c:pt>
                <c:pt idx="4">
                  <c:v>Brak jasnej interpretacji przepisów prawnych związanych z wdrażaniem projektów</c:v>
                </c:pt>
                <c:pt idx="5">
                  <c:v>Procedury zamówień publicznych</c:v>
                </c:pt>
                <c:pt idx="6">
                  <c:v>Częste zmiany przepisów prawnych</c:v>
                </c:pt>
              </c:strCache>
            </c:strRef>
          </c:cat>
          <c:val>
            <c:numRef>
              <c:f>Arkusz1!$B$2:$B$8</c:f>
              <c:numCache>
                <c:formatCode>0.0%</c:formatCode>
                <c:ptCount val="7"/>
                <c:pt idx="0">
                  <c:v>3.007518796992481E-2</c:v>
                </c:pt>
                <c:pt idx="1">
                  <c:v>3.007518796992481E-2</c:v>
                </c:pt>
                <c:pt idx="2">
                  <c:v>5.2631578947368418E-2</c:v>
                </c:pt>
                <c:pt idx="3">
                  <c:v>7.5187969924812026E-2</c:v>
                </c:pt>
                <c:pt idx="4">
                  <c:v>0.3007518796992481</c:v>
                </c:pt>
                <c:pt idx="5">
                  <c:v>0.31578947368421051</c:v>
                </c:pt>
                <c:pt idx="6">
                  <c:v>0.40601503759398494</c:v>
                </c:pt>
              </c:numCache>
            </c:numRef>
          </c:val>
          <c:extLst>
            <c:ext xmlns:c16="http://schemas.microsoft.com/office/drawing/2014/chart" uri="{C3380CC4-5D6E-409C-BE32-E72D297353CC}">
              <c16:uniqueId val="{00000002-30F7-4850-8461-0476A6FE2685}"/>
            </c:ext>
          </c:extLst>
        </c:ser>
        <c:dLbls>
          <c:showLegendKey val="0"/>
          <c:showVal val="0"/>
          <c:showCatName val="0"/>
          <c:showSerName val="0"/>
          <c:showPercent val="0"/>
          <c:showBubbleSize val="0"/>
        </c:dLbls>
        <c:gapWidth val="182"/>
        <c:axId val="1970625648"/>
        <c:axId val="1970610960"/>
      </c:barChart>
      <c:catAx>
        <c:axId val="197062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970610960"/>
        <c:crosses val="autoZero"/>
        <c:auto val="1"/>
        <c:lblAlgn val="ctr"/>
        <c:lblOffset val="100"/>
        <c:noMultiLvlLbl val="0"/>
      </c:catAx>
      <c:valAx>
        <c:axId val="19706109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pl-PL"/>
          </a:p>
        </c:txPr>
        <c:crossAx val="1970625648"/>
        <c:crosses val="autoZero"/>
        <c:crossBetween val="between"/>
        <c:minorUnit val="0.2"/>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Arkusz1!$A$2:$A$11</c:f>
              <c:strCache>
                <c:ptCount val="10"/>
                <c:pt idx="0">
                  <c:v>Niechęć rodziców/opiekunów do uczestnictwa dziecka w projekcie</c:v>
                </c:pt>
                <c:pt idx="1">
                  <c:v>Niewystarczające doświadczenie pracowników w realizacji projektów</c:v>
                </c:pt>
                <c:pt idx="2">
                  <c:v>Niewystarczająca frekwencja na zajęciach</c:v>
                </c:pt>
                <c:pt idx="3">
                  <c:v>Niewystarczające doświadczenie pracowników w realizacji projektów</c:v>
                </c:pt>
                <c:pt idx="4">
                  <c:v>Trudności w rekrutacji kadry pedagogicznej do realizacji zadań</c:v>
                </c:pt>
                <c:pt idx="5">
                  <c:v>Nieukończenie projektu / rezygnacja przez ucznia z udziału w trakcie trwania projektu</c:v>
                </c:pt>
                <c:pt idx="6">
                  <c:v>Problemy z rekrutacją uczestników</c:v>
                </c:pt>
                <c:pt idx="7">
                  <c:v>Zbyt duże obciążenie dla nauczyciela</c:v>
                </c:pt>
                <c:pt idx="8">
                  <c:v>Brak wystarczających środków finansowych do zaspokojenia wszystkich potrzeb</c:v>
                </c:pt>
                <c:pt idx="9">
                  <c:v>Problemy z frekwencją na zajęciach</c:v>
                </c:pt>
              </c:strCache>
            </c:strRef>
          </c:cat>
          <c:val>
            <c:numRef>
              <c:f>Arkusz1!$B$2:$B$11</c:f>
              <c:numCache>
                <c:formatCode>0.0%</c:formatCode>
                <c:ptCount val="10"/>
                <c:pt idx="0">
                  <c:v>2.2421524663677129E-2</c:v>
                </c:pt>
                <c:pt idx="1">
                  <c:v>5.3333333333333337E-2</c:v>
                </c:pt>
                <c:pt idx="2">
                  <c:v>6.222222222222222E-2</c:v>
                </c:pt>
                <c:pt idx="3">
                  <c:v>9.1928251121076235E-2</c:v>
                </c:pt>
                <c:pt idx="4">
                  <c:v>9.7938144329896906E-2</c:v>
                </c:pt>
                <c:pt idx="5">
                  <c:v>0.10824742268041238</c:v>
                </c:pt>
                <c:pt idx="6">
                  <c:v>0.12351543942992874</c:v>
                </c:pt>
                <c:pt idx="7">
                  <c:v>0.1367713004484305</c:v>
                </c:pt>
                <c:pt idx="8">
                  <c:v>0.22641509433962265</c:v>
                </c:pt>
                <c:pt idx="9">
                  <c:v>0.27555555555555555</c:v>
                </c:pt>
              </c:numCache>
            </c:numRef>
          </c:val>
          <c:extLst>
            <c:ext xmlns:c16="http://schemas.microsoft.com/office/drawing/2014/chart" uri="{C3380CC4-5D6E-409C-BE32-E72D297353CC}">
              <c16:uniqueId val="{00000000-1610-4A45-B717-9CCD0F96FDC5}"/>
            </c:ext>
          </c:extLst>
        </c:ser>
        <c:dLbls>
          <c:showLegendKey val="0"/>
          <c:showVal val="0"/>
          <c:showCatName val="0"/>
          <c:showSerName val="0"/>
          <c:showPercent val="0"/>
          <c:showBubbleSize val="0"/>
        </c:dLbls>
        <c:gapWidth val="150"/>
        <c:axId val="1970592464"/>
        <c:axId val="1970626192"/>
      </c:barChart>
      <c:catAx>
        <c:axId val="197059246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26192"/>
        <c:crosses val="autoZero"/>
        <c:auto val="1"/>
        <c:lblAlgn val="ctr"/>
        <c:lblOffset val="100"/>
        <c:noMultiLvlLbl val="0"/>
      </c:catAx>
      <c:valAx>
        <c:axId val="1970626192"/>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59246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percentStacked"/>
        <c:varyColors val="0"/>
        <c:ser>
          <c:idx val="0"/>
          <c:order val="0"/>
          <c:tx>
            <c:strRef>
              <c:f>Arkusz1!$B$1</c:f>
              <c:strCache>
                <c:ptCount val="1"/>
                <c:pt idx="0">
                  <c:v>Zdecydowanie tak</c:v>
                </c:pt>
              </c:strCache>
            </c:strRef>
          </c:tx>
          <c:spPr>
            <a:solidFill>
              <a:schemeClr val="accent6">
                <a:tint val="54000"/>
              </a:schemeClr>
            </a:solidFill>
            <a:ln>
              <a:noFill/>
            </a:ln>
            <a:effectLst/>
          </c:spPr>
          <c:invertIfNegative val="0"/>
          <c:cat>
            <c:strRef>
              <c:f>Arkusz1!$A$2:$A$3</c:f>
              <c:strCache>
                <c:ptCount val="2"/>
                <c:pt idx="0">
                  <c:v>Finansowym</c:v>
                </c:pt>
                <c:pt idx="1">
                  <c:v>Organizacyjnym</c:v>
                </c:pt>
              </c:strCache>
            </c:strRef>
          </c:cat>
          <c:val>
            <c:numRef>
              <c:f>Arkusz1!$B$2:$B$3</c:f>
              <c:numCache>
                <c:formatCode>0.0%</c:formatCode>
                <c:ptCount val="2"/>
                <c:pt idx="0">
                  <c:v>3.1645569620253164E-3</c:v>
                </c:pt>
                <c:pt idx="1">
                  <c:v>6.3291139240506328E-3</c:v>
                </c:pt>
              </c:numCache>
            </c:numRef>
          </c:val>
          <c:extLst>
            <c:ext xmlns:c16="http://schemas.microsoft.com/office/drawing/2014/chart" uri="{C3380CC4-5D6E-409C-BE32-E72D297353CC}">
              <c16:uniqueId val="{00000000-94D0-47AD-91E4-1982DEF6D410}"/>
            </c:ext>
          </c:extLst>
        </c:ser>
        <c:ser>
          <c:idx val="1"/>
          <c:order val="1"/>
          <c:tx>
            <c:strRef>
              <c:f>Arkusz1!$C$1</c:f>
              <c:strCache>
                <c:ptCount val="1"/>
                <c:pt idx="0">
                  <c:v>Raczej tak</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Finansowym</c:v>
                </c:pt>
                <c:pt idx="1">
                  <c:v>Organizacyjnym</c:v>
                </c:pt>
              </c:strCache>
            </c:strRef>
          </c:cat>
          <c:val>
            <c:numRef>
              <c:f>Arkusz1!$C$2:$C$3</c:f>
              <c:numCache>
                <c:formatCode>0.0%</c:formatCode>
                <c:ptCount val="2"/>
                <c:pt idx="0">
                  <c:v>6.3291139240506328E-3</c:v>
                </c:pt>
                <c:pt idx="1">
                  <c:v>4.4303797468354431E-2</c:v>
                </c:pt>
              </c:numCache>
            </c:numRef>
          </c:val>
          <c:extLst>
            <c:ext xmlns:c16="http://schemas.microsoft.com/office/drawing/2014/chart" uri="{C3380CC4-5D6E-409C-BE32-E72D297353CC}">
              <c16:uniqueId val="{00000001-94D0-47AD-91E4-1982DEF6D410}"/>
            </c:ext>
          </c:extLst>
        </c:ser>
        <c:ser>
          <c:idx val="2"/>
          <c:order val="2"/>
          <c:tx>
            <c:strRef>
              <c:f>Arkusz1!$D$1</c:f>
              <c:strCache>
                <c:ptCount val="1"/>
                <c:pt idx="0">
                  <c:v>Raczej nie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Finansowym</c:v>
                </c:pt>
                <c:pt idx="1">
                  <c:v>Organizacyjnym</c:v>
                </c:pt>
              </c:strCache>
            </c:strRef>
          </c:cat>
          <c:val>
            <c:numRef>
              <c:f>Arkusz1!$D$2:$D$3</c:f>
              <c:numCache>
                <c:formatCode>0.0%</c:formatCode>
                <c:ptCount val="2"/>
                <c:pt idx="0">
                  <c:v>0.37341772151898733</c:v>
                </c:pt>
                <c:pt idx="1">
                  <c:v>0.379746835443038</c:v>
                </c:pt>
              </c:numCache>
            </c:numRef>
          </c:val>
          <c:extLst>
            <c:ext xmlns:c16="http://schemas.microsoft.com/office/drawing/2014/chart" uri="{C3380CC4-5D6E-409C-BE32-E72D297353CC}">
              <c16:uniqueId val="{00000002-94D0-47AD-91E4-1982DEF6D410}"/>
            </c:ext>
          </c:extLst>
        </c:ser>
        <c:ser>
          <c:idx val="3"/>
          <c:order val="3"/>
          <c:tx>
            <c:strRef>
              <c:f>Arkusz1!$E$1</c:f>
              <c:strCache>
                <c:ptCount val="1"/>
                <c:pt idx="0">
                  <c:v>Zdecydowanie nie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Finansowym</c:v>
                </c:pt>
                <c:pt idx="1">
                  <c:v>Organizacyjnym</c:v>
                </c:pt>
              </c:strCache>
            </c:strRef>
          </c:cat>
          <c:val>
            <c:numRef>
              <c:f>Arkusz1!$E$2:$E$3</c:f>
              <c:numCache>
                <c:formatCode>0.0%</c:formatCode>
                <c:ptCount val="2"/>
                <c:pt idx="0">
                  <c:v>0.55379746835443033</c:v>
                </c:pt>
                <c:pt idx="1">
                  <c:v>0.50632911392405067</c:v>
                </c:pt>
              </c:numCache>
            </c:numRef>
          </c:val>
          <c:extLst>
            <c:ext xmlns:c16="http://schemas.microsoft.com/office/drawing/2014/chart" uri="{C3380CC4-5D6E-409C-BE32-E72D297353CC}">
              <c16:uniqueId val="{00000003-94D0-47AD-91E4-1982DEF6D410}"/>
            </c:ext>
          </c:extLst>
        </c:ser>
        <c:ser>
          <c:idx val="4"/>
          <c:order val="4"/>
          <c:tx>
            <c:strRef>
              <c:f>Arkusz1!$F$1</c:f>
              <c:strCache>
                <c:ptCount val="1"/>
                <c:pt idx="0">
                  <c:v>Trudno powiedzieć</c:v>
                </c:pt>
              </c:strCache>
            </c:strRef>
          </c:tx>
          <c:spPr>
            <a:solidFill>
              <a:schemeClr val="accent6">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Finansowym</c:v>
                </c:pt>
                <c:pt idx="1">
                  <c:v>Organizacyjnym</c:v>
                </c:pt>
              </c:strCache>
            </c:strRef>
          </c:cat>
          <c:val>
            <c:numRef>
              <c:f>Arkusz1!$F$2:$F$3</c:f>
              <c:numCache>
                <c:formatCode>0.0%</c:formatCode>
                <c:ptCount val="2"/>
                <c:pt idx="0">
                  <c:v>6.3291139240506333E-2</c:v>
                </c:pt>
                <c:pt idx="1">
                  <c:v>6.3291139240506333E-2</c:v>
                </c:pt>
              </c:numCache>
            </c:numRef>
          </c:val>
          <c:extLst>
            <c:ext xmlns:c16="http://schemas.microsoft.com/office/drawing/2014/chart" uri="{C3380CC4-5D6E-409C-BE32-E72D297353CC}">
              <c16:uniqueId val="{00000004-94D0-47AD-91E4-1982DEF6D410}"/>
            </c:ext>
          </c:extLst>
        </c:ser>
        <c:dLbls>
          <c:showLegendKey val="0"/>
          <c:showVal val="0"/>
          <c:showCatName val="0"/>
          <c:showSerName val="0"/>
          <c:showPercent val="0"/>
          <c:showBubbleSize val="0"/>
        </c:dLbls>
        <c:gapWidth val="150"/>
        <c:overlap val="100"/>
        <c:axId val="1970622384"/>
        <c:axId val="1970593008"/>
      </c:barChart>
      <c:catAx>
        <c:axId val="197062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593008"/>
        <c:crosses val="autoZero"/>
        <c:auto val="1"/>
        <c:lblAlgn val="ctr"/>
        <c:lblOffset val="100"/>
        <c:noMultiLvlLbl val="0"/>
      </c:catAx>
      <c:valAx>
        <c:axId val="1970593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62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 edukacja.xlsx]Trwałość'!$A$2:$A$6</c:f>
              <c:strCache>
                <c:ptCount val="5"/>
                <c:pt idx="0">
                  <c:v>Zdecydowanie tak</c:v>
                </c:pt>
                <c:pt idx="1">
                  <c:v>Raczej tak</c:v>
                </c:pt>
                <c:pt idx="2">
                  <c:v>Trudno powiedzieć</c:v>
                </c:pt>
                <c:pt idx="3">
                  <c:v>Raczej nie</c:v>
                </c:pt>
                <c:pt idx="4">
                  <c:v>Zdecydowanie nie</c:v>
                </c:pt>
              </c:strCache>
            </c:strRef>
          </c:cat>
          <c:val>
            <c:numRef>
              <c:f>'[Wykresy edukacja.xlsx]Trwałość'!$B$2:$B$6</c:f>
              <c:numCache>
                <c:formatCode>0.0%</c:formatCode>
                <c:ptCount val="5"/>
                <c:pt idx="0">
                  <c:v>0.61456102783725908</c:v>
                </c:pt>
                <c:pt idx="1">
                  <c:v>0.30192719486081371</c:v>
                </c:pt>
                <c:pt idx="2">
                  <c:v>7.4946466809421838E-2</c:v>
                </c:pt>
                <c:pt idx="3">
                  <c:v>8.5653104925053538E-3</c:v>
                </c:pt>
                <c:pt idx="4">
                  <c:v>0</c:v>
                </c:pt>
              </c:numCache>
            </c:numRef>
          </c:val>
          <c:extLst>
            <c:ext xmlns:c16="http://schemas.microsoft.com/office/drawing/2014/chart" uri="{C3380CC4-5D6E-409C-BE32-E72D297353CC}">
              <c16:uniqueId val="{00000000-F34C-46E1-8E10-24E2C5E4B7E2}"/>
            </c:ext>
          </c:extLst>
        </c:ser>
        <c:dLbls>
          <c:dLblPos val="outEnd"/>
          <c:showLegendKey val="0"/>
          <c:showVal val="1"/>
          <c:showCatName val="0"/>
          <c:showSerName val="0"/>
          <c:showPercent val="0"/>
          <c:showBubbleSize val="0"/>
        </c:dLbls>
        <c:gapWidth val="150"/>
        <c:axId val="1970602256"/>
        <c:axId val="1970607152"/>
      </c:barChart>
      <c:catAx>
        <c:axId val="197060225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07152"/>
        <c:crosses val="autoZero"/>
        <c:auto val="1"/>
        <c:lblAlgn val="ctr"/>
        <c:lblOffset val="100"/>
        <c:noMultiLvlLbl val="0"/>
      </c:catAx>
      <c:valAx>
        <c:axId val="197060715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0225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Tak, w całości</c:v>
                </c:pt>
                <c:pt idx="1">
                  <c:v>Tak, częściowo</c:v>
                </c:pt>
                <c:pt idx="2">
                  <c:v>Nie</c:v>
                </c:pt>
                <c:pt idx="3">
                  <c:v>Trudno powiedzieć</c:v>
                </c:pt>
              </c:strCache>
            </c:strRef>
          </c:cat>
          <c:val>
            <c:numRef>
              <c:f>Arkusz1!$B$2:$B$5</c:f>
              <c:numCache>
                <c:formatCode>0.0%</c:formatCode>
                <c:ptCount val="4"/>
                <c:pt idx="0">
                  <c:v>0.53640416047548289</c:v>
                </c:pt>
                <c:pt idx="1">
                  <c:v>0.30312035661218423</c:v>
                </c:pt>
                <c:pt idx="2">
                  <c:v>8.9153046062407128E-3</c:v>
                </c:pt>
                <c:pt idx="3">
                  <c:v>0.15156017830609211</c:v>
                </c:pt>
              </c:numCache>
            </c:numRef>
          </c:val>
          <c:extLst>
            <c:ext xmlns:c16="http://schemas.microsoft.com/office/drawing/2014/chart" uri="{C3380CC4-5D6E-409C-BE32-E72D297353CC}">
              <c16:uniqueId val="{00000000-5FCB-4D3C-BF25-EA7B189F60ED}"/>
            </c:ext>
          </c:extLst>
        </c:ser>
        <c:dLbls>
          <c:showLegendKey val="0"/>
          <c:showVal val="0"/>
          <c:showCatName val="0"/>
          <c:showSerName val="0"/>
          <c:showPercent val="0"/>
          <c:showBubbleSize val="0"/>
        </c:dLbls>
        <c:gapWidth val="150"/>
        <c:axId val="1970615856"/>
        <c:axId val="1970621296"/>
      </c:barChart>
      <c:catAx>
        <c:axId val="197061585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21296"/>
        <c:crosses val="autoZero"/>
        <c:auto val="1"/>
        <c:lblAlgn val="ctr"/>
        <c:lblOffset val="100"/>
        <c:noMultiLvlLbl val="0"/>
      </c:catAx>
      <c:valAx>
        <c:axId val="197062129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1585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52930883639543E-2"/>
          <c:y val="4.3667727374786115E-2"/>
          <c:w val="0.88048410615339745"/>
          <c:h val="0.78473931499303329"/>
        </c:manualLayout>
      </c:layout>
      <c:barChart>
        <c:barDir val="col"/>
        <c:grouping val="clustered"/>
        <c:varyColors val="0"/>
        <c:ser>
          <c:idx val="0"/>
          <c:order val="0"/>
          <c:tx>
            <c:strRef>
              <c:f>Arkusz1!$B$1</c:f>
              <c:strCache>
                <c:ptCount val="1"/>
                <c:pt idx="0">
                  <c:v>Seria 1</c:v>
                </c:pt>
              </c:strCache>
            </c:strRef>
          </c:tx>
          <c:spPr>
            <a:solidFill>
              <a:schemeClr val="accent6"/>
            </a:solidFill>
          </c:spPr>
          <c:invertIfNegative val="0"/>
          <c:dPt>
            <c:idx val="2"/>
            <c:invertIfNegative val="0"/>
            <c:bubble3D val="0"/>
            <c:spPr>
              <a:solidFill>
                <a:schemeClr val="accent6"/>
              </a:solidFill>
              <a:ln>
                <a:solidFill>
                  <a:schemeClr val="accent1"/>
                </a:solidFill>
              </a:ln>
            </c:spPr>
            <c:extLst>
              <c:ext xmlns:c16="http://schemas.microsoft.com/office/drawing/2014/chart" uri="{C3380CC4-5D6E-409C-BE32-E72D297353CC}">
                <c16:uniqueId val="{00000001-B9EF-4D3E-B236-5BD35D0D7E8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Poniżej 1 roku</c:v>
                </c:pt>
                <c:pt idx="1">
                  <c:v>1 rok</c:v>
                </c:pt>
                <c:pt idx="2">
                  <c:v>2 lata</c:v>
                </c:pt>
                <c:pt idx="3">
                  <c:v>3 lata</c:v>
                </c:pt>
                <c:pt idx="4">
                  <c:v>Powyżej 3 lat</c:v>
                </c:pt>
              </c:strCache>
            </c:strRef>
          </c:cat>
          <c:val>
            <c:numRef>
              <c:f>Arkusz1!$B$2:$B$6</c:f>
              <c:numCache>
                <c:formatCode>0.0%</c:formatCode>
                <c:ptCount val="5"/>
                <c:pt idx="0">
                  <c:v>9.0090090090090089E-3</c:v>
                </c:pt>
                <c:pt idx="1">
                  <c:v>5.4054054054054057E-2</c:v>
                </c:pt>
                <c:pt idx="2">
                  <c:v>0.18618618618618618</c:v>
                </c:pt>
                <c:pt idx="3">
                  <c:v>0.26726726726726729</c:v>
                </c:pt>
                <c:pt idx="4">
                  <c:v>0.48348348348348347</c:v>
                </c:pt>
              </c:numCache>
            </c:numRef>
          </c:val>
          <c:extLst>
            <c:ext xmlns:c16="http://schemas.microsoft.com/office/drawing/2014/chart" uri="{C3380CC4-5D6E-409C-BE32-E72D297353CC}">
              <c16:uniqueId val="{00000002-B9EF-4D3E-B236-5BD35D0D7E85}"/>
            </c:ext>
          </c:extLst>
        </c:ser>
        <c:dLbls>
          <c:showLegendKey val="0"/>
          <c:showVal val="0"/>
          <c:showCatName val="0"/>
          <c:showSerName val="0"/>
          <c:showPercent val="0"/>
          <c:showBubbleSize val="0"/>
        </c:dLbls>
        <c:gapWidth val="150"/>
        <c:axId val="1970598992"/>
        <c:axId val="1970599536"/>
      </c:barChart>
      <c:catAx>
        <c:axId val="1970598992"/>
        <c:scaling>
          <c:orientation val="minMax"/>
        </c:scaling>
        <c:delete val="0"/>
        <c:axPos val="b"/>
        <c:numFmt formatCode="General" sourceLinked="0"/>
        <c:majorTickMark val="out"/>
        <c:minorTickMark val="none"/>
        <c:tickLblPos val="nextTo"/>
        <c:crossAx val="1970599536"/>
        <c:crosses val="autoZero"/>
        <c:auto val="1"/>
        <c:lblAlgn val="ctr"/>
        <c:lblOffset val="100"/>
        <c:noMultiLvlLbl val="0"/>
      </c:catAx>
      <c:valAx>
        <c:axId val="1970599536"/>
        <c:scaling>
          <c:orientation val="minMax"/>
        </c:scaling>
        <c:delete val="0"/>
        <c:axPos val="l"/>
        <c:majorGridlines/>
        <c:numFmt formatCode="0.0%" sourceLinked="1"/>
        <c:majorTickMark val="out"/>
        <c:minorTickMark val="none"/>
        <c:tickLblPos val="nextTo"/>
        <c:crossAx val="197059899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Arkusz1!$B$1</c:f>
              <c:strCache>
                <c:ptCount val="1"/>
                <c:pt idx="0">
                  <c:v>12.1.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3 lata</c:v>
                </c:pt>
                <c:pt idx="1">
                  <c:v>Powyżej 3 lat</c:v>
                </c:pt>
              </c:strCache>
            </c:strRef>
          </c:cat>
          <c:val>
            <c:numRef>
              <c:f>Arkusz1!$B$2:$B$3</c:f>
              <c:numCache>
                <c:formatCode>0.0%</c:formatCode>
                <c:ptCount val="2"/>
                <c:pt idx="0">
                  <c:v>3.5999999999999997E-2</c:v>
                </c:pt>
                <c:pt idx="1">
                  <c:v>0.96399999999999997</c:v>
                </c:pt>
              </c:numCache>
            </c:numRef>
          </c:val>
          <c:extLst>
            <c:ext xmlns:c16="http://schemas.microsoft.com/office/drawing/2014/chart" uri="{C3380CC4-5D6E-409C-BE32-E72D297353CC}">
              <c16:uniqueId val="{00000000-50A4-4013-92C8-2A7233587E9E}"/>
            </c:ext>
          </c:extLst>
        </c:ser>
        <c:dLbls>
          <c:showLegendKey val="0"/>
          <c:showVal val="0"/>
          <c:showCatName val="0"/>
          <c:showSerName val="0"/>
          <c:showPercent val="0"/>
          <c:showBubbleSize val="0"/>
        </c:dLbls>
        <c:gapWidth val="150"/>
        <c:axId val="1970602800"/>
        <c:axId val="1970603344"/>
      </c:barChart>
      <c:catAx>
        <c:axId val="1970602800"/>
        <c:scaling>
          <c:orientation val="minMax"/>
        </c:scaling>
        <c:delete val="0"/>
        <c:axPos val="b"/>
        <c:numFmt formatCode="General" sourceLinked="0"/>
        <c:majorTickMark val="out"/>
        <c:minorTickMark val="none"/>
        <c:tickLblPos val="nextTo"/>
        <c:crossAx val="1970603344"/>
        <c:crosses val="autoZero"/>
        <c:auto val="1"/>
        <c:lblAlgn val="ctr"/>
        <c:lblOffset val="100"/>
        <c:noMultiLvlLbl val="0"/>
      </c:catAx>
      <c:valAx>
        <c:axId val="1970603344"/>
        <c:scaling>
          <c:orientation val="minMax"/>
        </c:scaling>
        <c:delete val="0"/>
        <c:axPos val="l"/>
        <c:majorGridlines/>
        <c:numFmt formatCode="0.0%" sourceLinked="1"/>
        <c:majorTickMark val="out"/>
        <c:minorTickMark val="none"/>
        <c:tickLblPos val="nextTo"/>
        <c:crossAx val="197060280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12.2.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5 lat</c:v>
                </c:pt>
                <c:pt idx="1">
                  <c:v>Powyżej 5 lat</c:v>
                </c:pt>
              </c:strCache>
            </c:strRef>
          </c:cat>
          <c:val>
            <c:numRef>
              <c:f>Arkusz1!$B$2:$B$3</c:f>
              <c:numCache>
                <c:formatCode>0.0%</c:formatCode>
                <c:ptCount val="2"/>
                <c:pt idx="0">
                  <c:v>0.40540540540540543</c:v>
                </c:pt>
                <c:pt idx="1">
                  <c:v>0.59459459459459463</c:v>
                </c:pt>
              </c:numCache>
            </c:numRef>
          </c:val>
          <c:extLst>
            <c:ext xmlns:c16="http://schemas.microsoft.com/office/drawing/2014/chart" uri="{C3380CC4-5D6E-409C-BE32-E72D297353CC}">
              <c16:uniqueId val="{00000000-C4CB-429E-B964-8BCA2FE09FC5}"/>
            </c:ext>
          </c:extLst>
        </c:ser>
        <c:dLbls>
          <c:showLegendKey val="0"/>
          <c:showVal val="0"/>
          <c:showCatName val="0"/>
          <c:showSerName val="0"/>
          <c:showPercent val="0"/>
          <c:showBubbleSize val="0"/>
        </c:dLbls>
        <c:gapWidth val="150"/>
        <c:axId val="1970618576"/>
        <c:axId val="1970607696"/>
      </c:barChart>
      <c:catAx>
        <c:axId val="1970618576"/>
        <c:scaling>
          <c:orientation val="minMax"/>
        </c:scaling>
        <c:delete val="0"/>
        <c:axPos val="b"/>
        <c:numFmt formatCode="General" sourceLinked="0"/>
        <c:majorTickMark val="out"/>
        <c:minorTickMark val="none"/>
        <c:tickLblPos val="nextTo"/>
        <c:crossAx val="1970607696"/>
        <c:crosses val="autoZero"/>
        <c:auto val="1"/>
        <c:lblAlgn val="ctr"/>
        <c:lblOffset val="100"/>
        <c:noMultiLvlLbl val="0"/>
      </c:catAx>
      <c:valAx>
        <c:axId val="1970607696"/>
        <c:scaling>
          <c:orientation val="minMax"/>
        </c:scaling>
        <c:delete val="0"/>
        <c:axPos val="l"/>
        <c:majorGridlines/>
        <c:numFmt formatCode="0.0%" sourceLinked="1"/>
        <c:majorTickMark val="out"/>
        <c:minorTickMark val="none"/>
        <c:tickLblPos val="nextTo"/>
        <c:crossAx val="1970618576"/>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 edukacja.xlsx]Trwałość'!$A$44:$A$48</c:f>
              <c:strCache>
                <c:ptCount val="5"/>
                <c:pt idx="0">
                  <c:v>Zdecydowanie duża</c:v>
                </c:pt>
                <c:pt idx="1">
                  <c:v>Raczej duża</c:v>
                </c:pt>
                <c:pt idx="2">
                  <c:v>Przeciętna</c:v>
                </c:pt>
                <c:pt idx="3">
                  <c:v>Raczej mała</c:v>
                </c:pt>
                <c:pt idx="4">
                  <c:v>Zdecydowanie mała</c:v>
                </c:pt>
              </c:strCache>
            </c:strRef>
          </c:cat>
          <c:val>
            <c:numRef>
              <c:f>'[Wykresy edukacja.xlsx]Trwałość'!$B$44:$B$48</c:f>
              <c:numCache>
                <c:formatCode>0.0%</c:formatCode>
                <c:ptCount val="5"/>
                <c:pt idx="0">
                  <c:v>0.35974304068522484</c:v>
                </c:pt>
                <c:pt idx="1">
                  <c:v>0.48394004282655245</c:v>
                </c:pt>
                <c:pt idx="2">
                  <c:v>9.6359743040685231E-2</c:v>
                </c:pt>
                <c:pt idx="3">
                  <c:v>1.0706638115631691E-2</c:v>
                </c:pt>
                <c:pt idx="4">
                  <c:v>4.9250535331905779E-2</c:v>
                </c:pt>
              </c:numCache>
            </c:numRef>
          </c:val>
          <c:extLst>
            <c:ext xmlns:c16="http://schemas.microsoft.com/office/drawing/2014/chart" uri="{C3380CC4-5D6E-409C-BE32-E72D297353CC}">
              <c16:uniqueId val="{00000000-64CA-4F66-97A7-7ABA21F07F64}"/>
            </c:ext>
          </c:extLst>
        </c:ser>
        <c:dLbls>
          <c:dLblPos val="outEnd"/>
          <c:showLegendKey val="0"/>
          <c:showVal val="1"/>
          <c:showCatName val="0"/>
          <c:showSerName val="0"/>
          <c:showPercent val="0"/>
          <c:showBubbleSize val="0"/>
        </c:dLbls>
        <c:gapWidth val="150"/>
        <c:axId val="1970609328"/>
        <c:axId val="1970603888"/>
      </c:barChart>
      <c:catAx>
        <c:axId val="197060932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03888"/>
        <c:crosses val="autoZero"/>
        <c:auto val="1"/>
        <c:lblAlgn val="ctr"/>
        <c:lblOffset val="100"/>
        <c:noMultiLvlLbl val="0"/>
      </c:catAx>
      <c:valAx>
        <c:axId val="197060388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09328"/>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Zdecydowanie niewystarczająca</c:v>
                </c:pt>
                <c:pt idx="1">
                  <c:v>Raczej niewystarczająca</c:v>
                </c:pt>
                <c:pt idx="2">
                  <c:v>Nie mam zdania</c:v>
                </c:pt>
                <c:pt idx="3">
                  <c:v>Raczej wystarczająca</c:v>
                </c:pt>
                <c:pt idx="4">
                  <c:v>Zdecydowanie wystarczająca</c:v>
                </c:pt>
              </c:strCache>
            </c:strRef>
          </c:cat>
          <c:val>
            <c:numRef>
              <c:f>Arkusz1!$B$2:$B$6</c:f>
              <c:numCache>
                <c:formatCode>0.0%</c:formatCode>
                <c:ptCount val="5"/>
                <c:pt idx="0">
                  <c:v>2.1413276231263382E-2</c:v>
                </c:pt>
                <c:pt idx="1">
                  <c:v>7.0663811563169171E-2</c:v>
                </c:pt>
                <c:pt idx="2">
                  <c:v>8.5653104925053528E-2</c:v>
                </c:pt>
                <c:pt idx="3">
                  <c:v>0.52462526766595285</c:v>
                </c:pt>
                <c:pt idx="4">
                  <c:v>0.29764453961456105</c:v>
                </c:pt>
              </c:numCache>
            </c:numRef>
          </c:val>
          <c:extLst>
            <c:ext xmlns:c16="http://schemas.microsoft.com/office/drawing/2014/chart" uri="{C3380CC4-5D6E-409C-BE32-E72D297353CC}">
              <c16:uniqueId val="{00000000-97B6-46D6-85C4-39679D2BB657}"/>
            </c:ext>
          </c:extLst>
        </c:ser>
        <c:dLbls>
          <c:showLegendKey val="0"/>
          <c:showVal val="0"/>
          <c:showCatName val="0"/>
          <c:showSerName val="0"/>
          <c:showPercent val="0"/>
          <c:showBubbleSize val="0"/>
        </c:dLbls>
        <c:gapWidth val="219"/>
        <c:overlap val="-27"/>
        <c:axId val="1970596816"/>
        <c:axId val="1970601712"/>
      </c:barChart>
      <c:catAx>
        <c:axId val="197059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601712"/>
        <c:crosses val="autoZero"/>
        <c:auto val="1"/>
        <c:lblAlgn val="ctr"/>
        <c:lblOffset val="100"/>
        <c:noMultiLvlLbl val="0"/>
      </c:catAx>
      <c:valAx>
        <c:axId val="1970601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59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 edukacja.xlsx]Trwałość'!$A$32:$A$36</c:f>
              <c:strCache>
                <c:ptCount val="5"/>
                <c:pt idx="0">
                  <c:v>Zdecydowanie wysokie</c:v>
                </c:pt>
                <c:pt idx="1">
                  <c:v>Wysokie</c:v>
                </c:pt>
                <c:pt idx="2">
                  <c:v>Przeciętne</c:v>
                </c:pt>
                <c:pt idx="3">
                  <c:v>Raczej niewysokie</c:v>
                </c:pt>
                <c:pt idx="4">
                  <c:v>Zdecydowanie niewysokie</c:v>
                </c:pt>
              </c:strCache>
            </c:strRef>
          </c:cat>
          <c:val>
            <c:numRef>
              <c:f>'[Wykresy edukacja.xlsx]Trwałość'!$B$32:$B$36</c:f>
              <c:numCache>
                <c:formatCode>0.0%</c:formatCode>
                <c:ptCount val="5"/>
                <c:pt idx="0">
                  <c:v>4.9250535331905779E-2</c:v>
                </c:pt>
                <c:pt idx="1">
                  <c:v>0.4089935760171306</c:v>
                </c:pt>
                <c:pt idx="2">
                  <c:v>0.4475374732334047</c:v>
                </c:pt>
                <c:pt idx="3">
                  <c:v>6.852248394004283E-2</c:v>
                </c:pt>
                <c:pt idx="4">
                  <c:v>2.569593147751606E-2</c:v>
                </c:pt>
              </c:numCache>
            </c:numRef>
          </c:val>
          <c:extLst>
            <c:ext xmlns:c16="http://schemas.microsoft.com/office/drawing/2014/chart" uri="{C3380CC4-5D6E-409C-BE32-E72D297353CC}">
              <c16:uniqueId val="{00000000-0036-467F-B28F-EACF01567039}"/>
            </c:ext>
          </c:extLst>
        </c:ser>
        <c:dLbls>
          <c:dLblPos val="outEnd"/>
          <c:showLegendKey val="0"/>
          <c:showVal val="1"/>
          <c:showCatName val="0"/>
          <c:showSerName val="0"/>
          <c:showPercent val="0"/>
          <c:showBubbleSize val="0"/>
        </c:dLbls>
        <c:gapWidth val="150"/>
        <c:axId val="1970604432"/>
        <c:axId val="1970619120"/>
      </c:barChart>
      <c:catAx>
        <c:axId val="197060443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19120"/>
        <c:crosses val="autoZero"/>
        <c:auto val="1"/>
        <c:lblAlgn val="ctr"/>
        <c:lblOffset val="100"/>
        <c:noMultiLvlLbl val="0"/>
      </c:catAx>
      <c:valAx>
        <c:axId val="197061912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0443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 edukacja.xlsx]niezamierzone efekty'!$A$23:$A$26</c:f>
              <c:strCache>
                <c:ptCount val="4"/>
                <c:pt idx="0">
                  <c:v>Tak, pozytywne</c:v>
                </c:pt>
                <c:pt idx="1">
                  <c:v>Tak, negatywne</c:v>
                </c:pt>
                <c:pt idx="2">
                  <c:v>Nie</c:v>
                </c:pt>
                <c:pt idx="3">
                  <c:v>Trudno powiedzieć</c:v>
                </c:pt>
              </c:strCache>
            </c:strRef>
          </c:cat>
          <c:val>
            <c:numRef>
              <c:f>'[Wykresy edukacja.xlsx]niezamierzone efekty'!$B$23:$B$26</c:f>
              <c:numCache>
                <c:formatCode>0.0%</c:formatCode>
                <c:ptCount val="4"/>
                <c:pt idx="0">
                  <c:v>0.06</c:v>
                </c:pt>
                <c:pt idx="1">
                  <c:v>0.01</c:v>
                </c:pt>
                <c:pt idx="2">
                  <c:v>0.54</c:v>
                </c:pt>
                <c:pt idx="3">
                  <c:v>0.39</c:v>
                </c:pt>
              </c:numCache>
            </c:numRef>
          </c:val>
          <c:extLst>
            <c:ext xmlns:c16="http://schemas.microsoft.com/office/drawing/2014/chart" uri="{C3380CC4-5D6E-409C-BE32-E72D297353CC}">
              <c16:uniqueId val="{00000000-9D85-4D09-8705-81C62FCECACF}"/>
            </c:ext>
          </c:extLst>
        </c:ser>
        <c:dLbls>
          <c:dLblPos val="outEnd"/>
          <c:showLegendKey val="0"/>
          <c:showVal val="1"/>
          <c:showCatName val="0"/>
          <c:showSerName val="0"/>
          <c:showPercent val="0"/>
          <c:showBubbleSize val="0"/>
        </c:dLbls>
        <c:gapWidth val="150"/>
        <c:axId val="1970604976"/>
        <c:axId val="1970605520"/>
      </c:barChart>
      <c:catAx>
        <c:axId val="197060497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05520"/>
        <c:crosses val="autoZero"/>
        <c:auto val="1"/>
        <c:lblAlgn val="ctr"/>
        <c:lblOffset val="100"/>
        <c:noMultiLvlLbl val="0"/>
      </c:catAx>
      <c:valAx>
        <c:axId val="197060552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0497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 edukacja.xlsx]niezamierzone efekty'!$A$2:$A$6</c:f>
              <c:strCache>
                <c:ptCount val="5"/>
                <c:pt idx="0">
                  <c:v>Zdecydowanie tak</c:v>
                </c:pt>
                <c:pt idx="1">
                  <c:v>Raczej tak</c:v>
                </c:pt>
                <c:pt idx="2">
                  <c:v>Trudno powiedzieć</c:v>
                </c:pt>
                <c:pt idx="3">
                  <c:v>Raczej nie</c:v>
                </c:pt>
                <c:pt idx="4">
                  <c:v>Zdecydowanie nie</c:v>
                </c:pt>
              </c:strCache>
            </c:strRef>
          </c:cat>
          <c:val>
            <c:numRef>
              <c:f>'[Wykresy edukacja.xlsx]niezamierzone efekty'!$B$2:$B$6</c:f>
              <c:numCache>
                <c:formatCode>0.0%</c:formatCode>
                <c:ptCount val="5"/>
                <c:pt idx="0">
                  <c:v>1.0706638115631691E-2</c:v>
                </c:pt>
                <c:pt idx="1">
                  <c:v>6.852248394004283E-2</c:v>
                </c:pt>
                <c:pt idx="2">
                  <c:v>0.26552462526766596</c:v>
                </c:pt>
                <c:pt idx="3">
                  <c:v>0.2955032119914347</c:v>
                </c:pt>
                <c:pt idx="4">
                  <c:v>0.35974304068522484</c:v>
                </c:pt>
              </c:numCache>
            </c:numRef>
          </c:val>
          <c:extLst>
            <c:ext xmlns:c16="http://schemas.microsoft.com/office/drawing/2014/chart" uri="{C3380CC4-5D6E-409C-BE32-E72D297353CC}">
              <c16:uniqueId val="{00000000-5250-4D3C-90DA-7F4F5417DE06}"/>
            </c:ext>
          </c:extLst>
        </c:ser>
        <c:dLbls>
          <c:dLblPos val="outEnd"/>
          <c:showLegendKey val="0"/>
          <c:showVal val="1"/>
          <c:showCatName val="0"/>
          <c:showSerName val="0"/>
          <c:showPercent val="0"/>
          <c:showBubbleSize val="0"/>
        </c:dLbls>
        <c:gapWidth val="150"/>
        <c:axId val="1970606064"/>
        <c:axId val="1970614768"/>
      </c:barChart>
      <c:catAx>
        <c:axId val="197060606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14768"/>
        <c:crosses val="autoZero"/>
        <c:auto val="1"/>
        <c:lblAlgn val="ctr"/>
        <c:lblOffset val="100"/>
        <c:noMultiLvlLbl val="0"/>
      </c:catAx>
      <c:valAx>
        <c:axId val="197061476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0606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'niezamierzone efekty'!$A$18:$A$20</c:f>
              <c:strCache>
                <c:ptCount val="3"/>
                <c:pt idx="0">
                  <c:v>Niektóre spośród podmiotów same zabiegały o to, by uczestniczyć w projekcie</c:v>
                </c:pt>
                <c:pt idx="1">
                  <c:v>Wybierając placówki do udziału w projekcie dobieraliśmy takie podmioty, które znajdują się w najtrudniejszej sytuacji</c:v>
                </c:pt>
                <c:pt idx="2">
                  <c:v>Wybierając placówki do udziału w projekcie dobieraliśmy takie podmioty, które poprzez udział mogły osiągnąć największe efekty</c:v>
                </c:pt>
              </c:strCache>
            </c:strRef>
          </c:cat>
          <c:val>
            <c:numRef>
              <c:f>'niezamierzone efekty'!$B$18:$B$20</c:f>
              <c:numCache>
                <c:formatCode>0.0%</c:formatCode>
                <c:ptCount val="3"/>
                <c:pt idx="0">
                  <c:v>0.39</c:v>
                </c:pt>
                <c:pt idx="1">
                  <c:v>0.45</c:v>
                </c:pt>
                <c:pt idx="2">
                  <c:v>0.82</c:v>
                </c:pt>
              </c:numCache>
            </c:numRef>
          </c:val>
          <c:extLst>
            <c:ext xmlns:c16="http://schemas.microsoft.com/office/drawing/2014/chart" uri="{C3380CC4-5D6E-409C-BE32-E72D297353CC}">
              <c16:uniqueId val="{00000000-4396-4764-AB3D-CBED9391B6D3}"/>
            </c:ext>
          </c:extLst>
        </c:ser>
        <c:dLbls>
          <c:dLblPos val="outEnd"/>
          <c:showLegendKey val="0"/>
          <c:showVal val="1"/>
          <c:showCatName val="0"/>
          <c:showSerName val="0"/>
          <c:showPercent val="0"/>
          <c:showBubbleSize val="0"/>
        </c:dLbls>
        <c:gapWidth val="150"/>
        <c:axId val="1970606608"/>
        <c:axId val="1970608784"/>
      </c:barChart>
      <c:catAx>
        <c:axId val="1970606608"/>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08784"/>
        <c:crosses val="autoZero"/>
        <c:auto val="1"/>
        <c:lblAlgn val="ctr"/>
        <c:lblOffset val="100"/>
        <c:noMultiLvlLbl val="0"/>
      </c:catAx>
      <c:valAx>
        <c:axId val="1970608784"/>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06608"/>
        <c:crosses val="autoZero"/>
        <c:crossBetween val="between"/>
        <c:minorUnit val="0.15000000000000002"/>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Arkusz1!$B$1</c:f>
              <c:strCache>
                <c:ptCount val="1"/>
                <c:pt idx="0">
                  <c:v>Sprzedaż</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0.0%</c:formatCode>
                <c:ptCount val="2"/>
                <c:pt idx="0">
                  <c:v>0.47878787878787876</c:v>
                </c:pt>
                <c:pt idx="1">
                  <c:v>0.52121212121212124</c:v>
                </c:pt>
              </c:numCache>
            </c:numRef>
          </c:val>
          <c:extLst>
            <c:ext xmlns:c16="http://schemas.microsoft.com/office/drawing/2014/chart" uri="{C3380CC4-5D6E-409C-BE32-E72D297353CC}">
              <c16:uniqueId val="{00000000-49D7-4FDD-A69C-F2ED4DE15AB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Technologie informacyjne i komunikacyjne</c:v>
                </c:pt>
                <c:pt idx="1">
                  <c:v>Medycyna</c:v>
                </c:pt>
                <c:pt idx="2">
                  <c:v>Energetyka</c:v>
                </c:pt>
                <c:pt idx="3">
                  <c:v>Przemysły wschodzące</c:v>
                </c:pt>
                <c:pt idx="4">
                  <c:v>Zielona gospodarka</c:v>
                </c:pt>
              </c:strCache>
            </c:strRef>
          </c:cat>
          <c:val>
            <c:numRef>
              <c:f>Arkusz1!$B$2:$B$6</c:f>
              <c:numCache>
                <c:formatCode>0.0%</c:formatCode>
                <c:ptCount val="5"/>
                <c:pt idx="0">
                  <c:v>0.73684210526315785</c:v>
                </c:pt>
                <c:pt idx="1">
                  <c:v>0.17543859649122806</c:v>
                </c:pt>
                <c:pt idx="2">
                  <c:v>0.15789473684210525</c:v>
                </c:pt>
                <c:pt idx="3">
                  <c:v>0.10526315789473684</c:v>
                </c:pt>
                <c:pt idx="4" formatCode="0.00%">
                  <c:v>3.5000000000000003E-2</c:v>
                </c:pt>
              </c:numCache>
            </c:numRef>
          </c:val>
          <c:extLst>
            <c:ext xmlns:c16="http://schemas.microsoft.com/office/drawing/2014/chart" uri="{C3380CC4-5D6E-409C-BE32-E72D297353CC}">
              <c16:uniqueId val="{00000000-A94A-4A25-BB05-B2DD56E518E0}"/>
            </c:ext>
          </c:extLst>
        </c:ser>
        <c:dLbls>
          <c:showLegendKey val="0"/>
          <c:showVal val="0"/>
          <c:showCatName val="0"/>
          <c:showSerName val="0"/>
          <c:showPercent val="0"/>
          <c:showBubbleSize val="0"/>
        </c:dLbls>
        <c:gapWidth val="150"/>
        <c:axId val="1970609872"/>
        <c:axId val="1970611504"/>
      </c:barChart>
      <c:catAx>
        <c:axId val="197060987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11504"/>
        <c:crosses val="autoZero"/>
        <c:auto val="1"/>
        <c:lblAlgn val="ctr"/>
        <c:lblOffset val="100"/>
        <c:noMultiLvlLbl val="0"/>
      </c:catAx>
      <c:valAx>
        <c:axId val="197061150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0987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Zdecydowanie tak</c:v>
                </c:pt>
                <c:pt idx="1">
                  <c:v>Raczej tak</c:v>
                </c:pt>
                <c:pt idx="2">
                  <c:v>Trudno powiedzieć</c:v>
                </c:pt>
                <c:pt idx="3">
                  <c:v>Raczej nie</c:v>
                </c:pt>
                <c:pt idx="4">
                  <c:v>Zdecydowanie nie</c:v>
                </c:pt>
              </c:strCache>
            </c:strRef>
          </c:cat>
          <c:val>
            <c:numRef>
              <c:f>Arkusz1!$B$2:$B$6</c:f>
              <c:numCache>
                <c:formatCode>0.0%</c:formatCode>
                <c:ptCount val="5"/>
                <c:pt idx="0">
                  <c:v>0.15789473684210525</c:v>
                </c:pt>
                <c:pt idx="1">
                  <c:v>0.21052631578947367</c:v>
                </c:pt>
                <c:pt idx="2">
                  <c:v>0.49122807017543857</c:v>
                </c:pt>
                <c:pt idx="3">
                  <c:v>8.771929824561403E-2</c:v>
                </c:pt>
                <c:pt idx="4" formatCode="0.00%">
                  <c:v>5.2631578947368418E-2</c:v>
                </c:pt>
              </c:numCache>
            </c:numRef>
          </c:val>
          <c:extLst>
            <c:ext xmlns:c16="http://schemas.microsoft.com/office/drawing/2014/chart" uri="{C3380CC4-5D6E-409C-BE32-E72D297353CC}">
              <c16:uniqueId val="{00000000-A94A-4A25-BB05-B2DD56E518E0}"/>
            </c:ext>
          </c:extLst>
        </c:ser>
        <c:dLbls>
          <c:showLegendKey val="0"/>
          <c:showVal val="0"/>
          <c:showCatName val="0"/>
          <c:showSerName val="0"/>
          <c:showPercent val="0"/>
          <c:showBubbleSize val="0"/>
        </c:dLbls>
        <c:gapWidth val="150"/>
        <c:axId val="1970612592"/>
        <c:axId val="1970613136"/>
      </c:barChart>
      <c:catAx>
        <c:axId val="197061259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13136"/>
        <c:crosses val="autoZero"/>
        <c:auto val="1"/>
        <c:lblAlgn val="ctr"/>
        <c:lblOffset val="100"/>
        <c:noMultiLvlLbl val="0"/>
      </c:catAx>
      <c:valAx>
        <c:axId val="197061313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1259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Raczej tak</c:v>
                </c:pt>
                <c:pt idx="1">
                  <c:v>Trudno powiedzieć</c:v>
                </c:pt>
              </c:strCache>
            </c:strRef>
          </c:cat>
          <c:val>
            <c:numRef>
              <c:f>Arkusz1!$B$2:$B$3</c:f>
              <c:numCache>
                <c:formatCode>0.0%</c:formatCode>
                <c:ptCount val="2"/>
                <c:pt idx="0">
                  <c:v>0.27272727272727271</c:v>
                </c:pt>
                <c:pt idx="1">
                  <c:v>0.72727272727272729</c:v>
                </c:pt>
              </c:numCache>
            </c:numRef>
          </c:val>
          <c:extLst>
            <c:ext xmlns:c16="http://schemas.microsoft.com/office/drawing/2014/chart" uri="{C3380CC4-5D6E-409C-BE32-E72D297353CC}">
              <c16:uniqueId val="{00000000-A94A-4A25-BB05-B2DD56E518E0}"/>
            </c:ext>
          </c:extLst>
        </c:ser>
        <c:dLbls>
          <c:showLegendKey val="0"/>
          <c:showVal val="0"/>
          <c:showCatName val="0"/>
          <c:showSerName val="0"/>
          <c:showPercent val="0"/>
          <c:showBubbleSize val="0"/>
        </c:dLbls>
        <c:gapWidth val="150"/>
        <c:axId val="1970616400"/>
        <c:axId val="1970617488"/>
      </c:barChart>
      <c:catAx>
        <c:axId val="197061640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17488"/>
        <c:crosses val="autoZero"/>
        <c:auto val="1"/>
        <c:lblAlgn val="ctr"/>
        <c:lblOffset val="100"/>
        <c:noMultiLvlLbl val="0"/>
      </c:catAx>
      <c:valAx>
        <c:axId val="197061748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1640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komplementarność!$A$7:$A$11</c:f>
              <c:strCache>
                <c:ptCount val="5"/>
                <c:pt idx="0">
                  <c:v>Zdecydowanie tak</c:v>
                </c:pt>
                <c:pt idx="1">
                  <c:v>Raczej tak</c:v>
                </c:pt>
                <c:pt idx="2">
                  <c:v>Trudno powiedzieć</c:v>
                </c:pt>
                <c:pt idx="3">
                  <c:v>Raczej nie</c:v>
                </c:pt>
                <c:pt idx="4">
                  <c:v>Zdecydowanie nie</c:v>
                </c:pt>
              </c:strCache>
            </c:strRef>
          </c:cat>
          <c:val>
            <c:numRef>
              <c:f>komplementarność!$B$7:$B$11</c:f>
              <c:numCache>
                <c:formatCode>0.0%</c:formatCode>
                <c:ptCount val="5"/>
                <c:pt idx="0">
                  <c:v>2.1582733812949641E-2</c:v>
                </c:pt>
                <c:pt idx="1">
                  <c:v>7.1942446043165471E-3</c:v>
                </c:pt>
                <c:pt idx="2">
                  <c:v>8.6330935251798566E-2</c:v>
                </c:pt>
                <c:pt idx="3">
                  <c:v>0.57553956834532372</c:v>
                </c:pt>
                <c:pt idx="4">
                  <c:v>0.30935251798561153</c:v>
                </c:pt>
              </c:numCache>
            </c:numRef>
          </c:val>
          <c:extLst>
            <c:ext xmlns:c16="http://schemas.microsoft.com/office/drawing/2014/chart" uri="{C3380CC4-5D6E-409C-BE32-E72D297353CC}">
              <c16:uniqueId val="{00000000-8F63-40D0-B2E2-B2AFCA864A0C}"/>
            </c:ext>
          </c:extLst>
        </c:ser>
        <c:dLbls>
          <c:showLegendKey val="0"/>
          <c:showVal val="0"/>
          <c:showCatName val="0"/>
          <c:showSerName val="0"/>
          <c:showPercent val="0"/>
          <c:showBubbleSize val="0"/>
        </c:dLbls>
        <c:gapWidth val="150"/>
        <c:axId val="1970619664"/>
        <c:axId val="1970620208"/>
      </c:barChart>
      <c:catAx>
        <c:axId val="197061966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20208"/>
        <c:crosses val="autoZero"/>
        <c:auto val="1"/>
        <c:lblAlgn val="ctr"/>
        <c:lblOffset val="100"/>
        <c:noMultiLvlLbl val="0"/>
      </c:catAx>
      <c:valAx>
        <c:axId val="197062020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1966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komplementarność!$A$14:$A$18</c:f>
              <c:strCache>
                <c:ptCount val="5"/>
                <c:pt idx="0">
                  <c:v>Zdecydowanie tak</c:v>
                </c:pt>
                <c:pt idx="1">
                  <c:v>Raczej tak</c:v>
                </c:pt>
                <c:pt idx="2">
                  <c:v>Trudno powiedzieć</c:v>
                </c:pt>
                <c:pt idx="3">
                  <c:v>Raczej nie</c:v>
                </c:pt>
                <c:pt idx="4">
                  <c:v>Zdecydowanie nie</c:v>
                </c:pt>
              </c:strCache>
            </c:strRef>
          </c:cat>
          <c:val>
            <c:numRef>
              <c:f>komplementarność!$B$14:$B$18</c:f>
              <c:numCache>
                <c:formatCode>0.0%</c:formatCode>
                <c:ptCount val="5"/>
                <c:pt idx="0">
                  <c:v>0.12865497076023391</c:v>
                </c:pt>
                <c:pt idx="1">
                  <c:v>0.11695906432748537</c:v>
                </c:pt>
                <c:pt idx="2">
                  <c:v>0.58479532163742687</c:v>
                </c:pt>
                <c:pt idx="3">
                  <c:v>0.16959064327485379</c:v>
                </c:pt>
                <c:pt idx="4">
                  <c:v>0</c:v>
                </c:pt>
              </c:numCache>
            </c:numRef>
          </c:val>
          <c:extLst>
            <c:ext xmlns:c16="http://schemas.microsoft.com/office/drawing/2014/chart" uri="{C3380CC4-5D6E-409C-BE32-E72D297353CC}">
              <c16:uniqueId val="{00000000-B588-43F0-BE76-68DE2C811732}"/>
            </c:ext>
          </c:extLst>
        </c:ser>
        <c:dLbls>
          <c:showLegendKey val="0"/>
          <c:showVal val="0"/>
          <c:showCatName val="0"/>
          <c:showSerName val="0"/>
          <c:showPercent val="0"/>
          <c:showBubbleSize val="0"/>
        </c:dLbls>
        <c:gapWidth val="150"/>
        <c:axId val="1970620752"/>
        <c:axId val="1905360192"/>
      </c:barChart>
      <c:catAx>
        <c:axId val="197062075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60192"/>
        <c:crosses val="autoZero"/>
        <c:auto val="1"/>
        <c:lblAlgn val="ctr"/>
        <c:lblOffset val="100"/>
        <c:noMultiLvlLbl val="0"/>
      </c:catAx>
      <c:valAx>
        <c:axId val="190536019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2075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1</c:v>
                </c:pt>
                <c:pt idx="1">
                  <c:v>2</c:v>
                </c:pt>
                <c:pt idx="2">
                  <c:v>3</c:v>
                </c:pt>
                <c:pt idx="3">
                  <c:v>4</c:v>
                </c:pt>
                <c:pt idx="4">
                  <c:v>5</c:v>
                </c:pt>
              </c:numCache>
            </c:numRef>
          </c:cat>
          <c:val>
            <c:numRef>
              <c:f>Arkusz1!$B$2:$B$6</c:f>
              <c:numCache>
                <c:formatCode>0.0%</c:formatCode>
                <c:ptCount val="5"/>
                <c:pt idx="0">
                  <c:v>2.6809651474530832E-3</c:v>
                </c:pt>
                <c:pt idx="1">
                  <c:v>1.0723860589812333E-2</c:v>
                </c:pt>
                <c:pt idx="2">
                  <c:v>6.1662198391420911E-2</c:v>
                </c:pt>
                <c:pt idx="3">
                  <c:v>0.14745308310991956</c:v>
                </c:pt>
                <c:pt idx="4">
                  <c:v>0.77747989276139406</c:v>
                </c:pt>
              </c:numCache>
            </c:numRef>
          </c:val>
          <c:extLst>
            <c:ext xmlns:c16="http://schemas.microsoft.com/office/drawing/2014/chart" uri="{C3380CC4-5D6E-409C-BE32-E72D297353CC}">
              <c16:uniqueId val="{00000000-EEFF-4F8B-B644-B3B746C32CE2}"/>
            </c:ext>
          </c:extLst>
        </c:ser>
        <c:dLbls>
          <c:showLegendKey val="0"/>
          <c:showVal val="0"/>
          <c:showCatName val="0"/>
          <c:showSerName val="0"/>
          <c:showPercent val="0"/>
          <c:showBubbleSize val="0"/>
        </c:dLbls>
        <c:gapWidth val="219"/>
        <c:overlap val="-27"/>
        <c:axId val="1970608240"/>
        <c:axId val="1970622928"/>
      </c:barChart>
      <c:catAx>
        <c:axId val="197060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622928"/>
        <c:crosses val="autoZero"/>
        <c:auto val="1"/>
        <c:lblAlgn val="ctr"/>
        <c:lblOffset val="100"/>
        <c:noMultiLvlLbl val="0"/>
      </c:catAx>
      <c:valAx>
        <c:axId val="1970622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60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komplementarność!$A$25:$A$29</c:f>
              <c:strCache>
                <c:ptCount val="5"/>
                <c:pt idx="0">
                  <c:v>Zdecydowanie tak</c:v>
                </c:pt>
                <c:pt idx="1">
                  <c:v>Raczej tak</c:v>
                </c:pt>
                <c:pt idx="2">
                  <c:v>Trudno powiedzieć</c:v>
                </c:pt>
                <c:pt idx="3">
                  <c:v>Raczej nie</c:v>
                </c:pt>
                <c:pt idx="4">
                  <c:v>Zdecydowanie nie</c:v>
                </c:pt>
              </c:strCache>
            </c:strRef>
          </c:cat>
          <c:val>
            <c:numRef>
              <c:f>komplementarność!$B$25:$B$29</c:f>
              <c:numCache>
                <c:formatCode>0.0%</c:formatCode>
                <c:ptCount val="5"/>
                <c:pt idx="0">
                  <c:v>0.18181818181818182</c:v>
                </c:pt>
                <c:pt idx="1">
                  <c:v>0.25</c:v>
                </c:pt>
                <c:pt idx="2">
                  <c:v>0.38636363636363635</c:v>
                </c:pt>
                <c:pt idx="3">
                  <c:v>0.17045454545454544</c:v>
                </c:pt>
                <c:pt idx="4">
                  <c:v>1.1363636363636364E-2</c:v>
                </c:pt>
              </c:numCache>
            </c:numRef>
          </c:val>
          <c:extLst>
            <c:ext xmlns:c16="http://schemas.microsoft.com/office/drawing/2014/chart" uri="{C3380CC4-5D6E-409C-BE32-E72D297353CC}">
              <c16:uniqueId val="{00000000-E6FA-4161-B43A-2EE5D4713BA5}"/>
            </c:ext>
          </c:extLst>
        </c:ser>
        <c:dLbls>
          <c:dLblPos val="outEnd"/>
          <c:showLegendKey val="0"/>
          <c:showVal val="1"/>
          <c:showCatName val="0"/>
          <c:showSerName val="0"/>
          <c:showPercent val="0"/>
          <c:showBubbleSize val="0"/>
        </c:dLbls>
        <c:gapWidth val="150"/>
        <c:axId val="1905348224"/>
        <c:axId val="1905349312"/>
      </c:barChart>
      <c:catAx>
        <c:axId val="190534822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49312"/>
        <c:crosses val="autoZero"/>
        <c:auto val="1"/>
        <c:lblAlgn val="ctr"/>
        <c:lblOffset val="100"/>
        <c:noMultiLvlLbl val="0"/>
      </c:catAx>
      <c:valAx>
        <c:axId val="190534931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4822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komplementarność!$A$39:$A$43</c:f>
              <c:strCache>
                <c:ptCount val="5"/>
                <c:pt idx="0">
                  <c:v>Zdecydowanie tak</c:v>
                </c:pt>
                <c:pt idx="1">
                  <c:v>Raczej tak</c:v>
                </c:pt>
                <c:pt idx="2">
                  <c:v>Trudno powiedzieć</c:v>
                </c:pt>
                <c:pt idx="3">
                  <c:v>Raczej nie</c:v>
                </c:pt>
                <c:pt idx="4">
                  <c:v>Zdecydowanie nie</c:v>
                </c:pt>
              </c:strCache>
            </c:strRef>
          </c:cat>
          <c:val>
            <c:numRef>
              <c:f>komplementarność!$B$39:$B$43</c:f>
              <c:numCache>
                <c:formatCode>0.0%</c:formatCode>
                <c:ptCount val="5"/>
                <c:pt idx="0">
                  <c:v>0.16867469879518071</c:v>
                </c:pt>
                <c:pt idx="1">
                  <c:v>0.26506024096385544</c:v>
                </c:pt>
                <c:pt idx="2">
                  <c:v>0.39759036144578314</c:v>
                </c:pt>
                <c:pt idx="3">
                  <c:v>0.14457831325301204</c:v>
                </c:pt>
                <c:pt idx="4">
                  <c:v>2.4096385542168676E-2</c:v>
                </c:pt>
              </c:numCache>
            </c:numRef>
          </c:val>
          <c:extLst>
            <c:ext xmlns:c16="http://schemas.microsoft.com/office/drawing/2014/chart" uri="{C3380CC4-5D6E-409C-BE32-E72D297353CC}">
              <c16:uniqueId val="{00000000-8E4C-4BA4-8526-F93A7F0B0920}"/>
            </c:ext>
          </c:extLst>
        </c:ser>
        <c:dLbls>
          <c:dLblPos val="outEnd"/>
          <c:showLegendKey val="0"/>
          <c:showVal val="1"/>
          <c:showCatName val="0"/>
          <c:showSerName val="0"/>
          <c:showPercent val="0"/>
          <c:showBubbleSize val="0"/>
        </c:dLbls>
        <c:gapWidth val="150"/>
        <c:axId val="1905356384"/>
        <c:axId val="1905356928"/>
      </c:barChart>
      <c:catAx>
        <c:axId val="190535638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56928"/>
        <c:crosses val="autoZero"/>
        <c:auto val="1"/>
        <c:lblAlgn val="ctr"/>
        <c:lblOffset val="100"/>
        <c:noMultiLvlLbl val="0"/>
      </c:catAx>
      <c:valAx>
        <c:axId val="190535692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5638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komplementarność!$A$32:$A$36</c:f>
              <c:strCache>
                <c:ptCount val="5"/>
                <c:pt idx="0">
                  <c:v>Zdecydowanie pozytywnie</c:v>
                </c:pt>
                <c:pt idx="1">
                  <c:v>Raczej pozytywnie</c:v>
                </c:pt>
                <c:pt idx="2">
                  <c:v>Trudno powiedzieć</c:v>
                </c:pt>
                <c:pt idx="3">
                  <c:v>Raczej negatywnie</c:v>
                </c:pt>
                <c:pt idx="4">
                  <c:v>Zdecydowanie negatywnie</c:v>
                </c:pt>
              </c:strCache>
            </c:strRef>
          </c:cat>
          <c:val>
            <c:numRef>
              <c:f>komplementarność!$B$32:$B$36</c:f>
              <c:numCache>
                <c:formatCode>0.0%</c:formatCode>
                <c:ptCount val="5"/>
                <c:pt idx="0">
                  <c:v>0.15957446808510639</c:v>
                </c:pt>
                <c:pt idx="1">
                  <c:v>0.23404255319148937</c:v>
                </c:pt>
                <c:pt idx="2">
                  <c:v>0.51063829787234039</c:v>
                </c:pt>
                <c:pt idx="3">
                  <c:v>7.4468085106382975E-2</c:v>
                </c:pt>
                <c:pt idx="4">
                  <c:v>2.1276595744680851E-2</c:v>
                </c:pt>
              </c:numCache>
            </c:numRef>
          </c:val>
          <c:extLst>
            <c:ext xmlns:c16="http://schemas.microsoft.com/office/drawing/2014/chart" uri="{C3380CC4-5D6E-409C-BE32-E72D297353CC}">
              <c16:uniqueId val="{00000000-74C8-4562-8B02-250183997F04}"/>
            </c:ext>
          </c:extLst>
        </c:ser>
        <c:dLbls>
          <c:dLblPos val="outEnd"/>
          <c:showLegendKey val="0"/>
          <c:showVal val="1"/>
          <c:showCatName val="0"/>
          <c:showSerName val="0"/>
          <c:showPercent val="0"/>
          <c:showBubbleSize val="0"/>
        </c:dLbls>
        <c:gapWidth val="150"/>
        <c:axId val="1905348768"/>
        <c:axId val="1905357472"/>
      </c:barChart>
      <c:catAx>
        <c:axId val="190534876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57472"/>
        <c:crosses val="autoZero"/>
        <c:auto val="1"/>
        <c:lblAlgn val="ctr"/>
        <c:lblOffset val="100"/>
        <c:noMultiLvlLbl val="0"/>
      </c:catAx>
      <c:valAx>
        <c:axId val="190535747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48768"/>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49173575985121065"/>
          <c:y val="2.5596276905177427E-2"/>
          <c:w val="0.44591315986163982"/>
          <c:h val="0.87655228960254317"/>
        </c:manualLayout>
      </c:layout>
      <c:barChart>
        <c:barDir val="bar"/>
        <c:grouping val="percentStacked"/>
        <c:varyColors val="0"/>
        <c:ser>
          <c:idx val="0"/>
          <c:order val="0"/>
          <c:tx>
            <c:strRef>
              <c:f>'zasady horyzontalne'!$B$13</c:f>
              <c:strCache>
                <c:ptCount val="1"/>
                <c:pt idx="0">
                  <c:v>Tak</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'zasady horyzontalne'!$A$14:$A$21</c:f>
              <c:strCache>
                <c:ptCount val="8"/>
                <c:pt idx="0">
                  <c:v>Stosowanie w materiałach informacyjnych i edukacyjnych sformułowań, które sprzyjały promowaniu równości płci (np. psycholodzy i psycholożki)</c:v>
                </c:pt>
                <c:pt idx="1">
                  <c:v>Zaangażowanie obojga rodziców w życie przedszkola</c:v>
                </c:pt>
                <c:pt idx="2">
                  <c:v>Używanie niestereotypowego i zróżnicowanego przekazu w materiałach informacyjnych, promocyjnych dot. realizowanego projektu</c:v>
                </c:pt>
                <c:pt idx="3">
                  <c:v>Prowadzenie zajęć przełamujących stereotypy</c:v>
                </c:pt>
                <c:pt idx="4">
                  <c:v>Uwzględnianie w ramach organizowanych zajęć tematyki równości płci</c:v>
                </c:pt>
                <c:pt idx="5">
                  <c:v>Przeszkolenie personelu projektu w zakresie zasady równości szans kobiet i mężczyzn</c:v>
                </c:pt>
                <c:pt idx="6">
                  <c:v>Uwzględnienie udziału zarówno kobiet, jak i mężczyzn w realizowanym projekcie</c:v>
                </c:pt>
                <c:pt idx="7">
                  <c:v>Organizacja pracy przedszkola w taki sposób, by umożliwić rodzicom godzenie życia zawodowego i rodzinnego (no. poprzez wydłużenie czasu pracy przedszkola)</c:v>
                </c:pt>
              </c:strCache>
            </c:strRef>
          </c:cat>
          <c:val>
            <c:numRef>
              <c:f>'zasady horyzontalne'!$B$14:$B$21</c:f>
              <c:numCache>
                <c:formatCode>0.0%</c:formatCode>
                <c:ptCount val="8"/>
                <c:pt idx="0">
                  <c:v>0.33</c:v>
                </c:pt>
                <c:pt idx="1">
                  <c:v>0.35</c:v>
                </c:pt>
                <c:pt idx="2">
                  <c:v>0.47</c:v>
                </c:pt>
                <c:pt idx="3">
                  <c:v>0.5</c:v>
                </c:pt>
                <c:pt idx="4">
                  <c:v>0.57999999999999996</c:v>
                </c:pt>
                <c:pt idx="5">
                  <c:v>0.62</c:v>
                </c:pt>
                <c:pt idx="6">
                  <c:v>0.62</c:v>
                </c:pt>
                <c:pt idx="7">
                  <c:v>0.67</c:v>
                </c:pt>
              </c:numCache>
            </c:numRef>
          </c:val>
          <c:extLst>
            <c:ext xmlns:c16="http://schemas.microsoft.com/office/drawing/2014/chart" uri="{C3380CC4-5D6E-409C-BE32-E72D297353CC}">
              <c16:uniqueId val="{00000000-CD09-4C50-9A9E-3CAD0A42A4E9}"/>
            </c:ext>
          </c:extLst>
        </c:ser>
        <c:ser>
          <c:idx val="1"/>
          <c:order val="1"/>
          <c:tx>
            <c:strRef>
              <c:f>'zasady horyzontalne'!$C$13</c:f>
              <c:strCache>
                <c:ptCount val="1"/>
                <c:pt idx="0">
                  <c:v>Nie</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'zasady horyzontalne'!$A$14:$A$21</c:f>
              <c:strCache>
                <c:ptCount val="8"/>
                <c:pt idx="0">
                  <c:v>Stosowanie w materiałach informacyjnych i edukacyjnych sformułowań, które sprzyjały promowaniu równości płci (np. psycholodzy i psycholożki)</c:v>
                </c:pt>
                <c:pt idx="1">
                  <c:v>Zaangażowanie obojga rodziców w życie przedszkola</c:v>
                </c:pt>
                <c:pt idx="2">
                  <c:v>Używanie niestereotypowego i zróżnicowanego przekazu w materiałach informacyjnych, promocyjnych dot. realizowanego projektu</c:v>
                </c:pt>
                <c:pt idx="3">
                  <c:v>Prowadzenie zajęć przełamujących stereotypy</c:v>
                </c:pt>
                <c:pt idx="4">
                  <c:v>Uwzględnianie w ramach organizowanych zajęć tematyki równości płci</c:v>
                </c:pt>
                <c:pt idx="5">
                  <c:v>Przeszkolenie personelu projektu w zakresie zasady równości szans kobiet i mężczyzn</c:v>
                </c:pt>
                <c:pt idx="6">
                  <c:v>Uwzględnienie udziału zarówno kobiet, jak i mężczyzn w realizowanym projekcie</c:v>
                </c:pt>
                <c:pt idx="7">
                  <c:v>Organizacja pracy przedszkola w taki sposób, by umożliwić rodzicom godzenie życia zawodowego i rodzinnego (no. poprzez wydłużenie czasu pracy przedszkola)</c:v>
                </c:pt>
              </c:strCache>
            </c:strRef>
          </c:cat>
          <c:val>
            <c:numRef>
              <c:f>'zasady horyzontalne'!$C$14:$C$21</c:f>
              <c:numCache>
                <c:formatCode>0.0%</c:formatCode>
                <c:ptCount val="8"/>
                <c:pt idx="0">
                  <c:v>0.67</c:v>
                </c:pt>
                <c:pt idx="1">
                  <c:v>0.65</c:v>
                </c:pt>
                <c:pt idx="2">
                  <c:v>0.53</c:v>
                </c:pt>
                <c:pt idx="3">
                  <c:v>0.5</c:v>
                </c:pt>
                <c:pt idx="4">
                  <c:v>0.42</c:v>
                </c:pt>
                <c:pt idx="5">
                  <c:v>0.38</c:v>
                </c:pt>
                <c:pt idx="6">
                  <c:v>0.38</c:v>
                </c:pt>
                <c:pt idx="7">
                  <c:v>0.33</c:v>
                </c:pt>
              </c:numCache>
            </c:numRef>
          </c:val>
          <c:extLst>
            <c:ext xmlns:c16="http://schemas.microsoft.com/office/drawing/2014/chart" uri="{C3380CC4-5D6E-409C-BE32-E72D297353CC}">
              <c16:uniqueId val="{00000001-CD09-4C50-9A9E-3CAD0A42A4E9}"/>
            </c:ext>
          </c:extLst>
        </c:ser>
        <c:dLbls>
          <c:dLblPos val="ctr"/>
          <c:showLegendKey val="0"/>
          <c:showVal val="1"/>
          <c:showCatName val="0"/>
          <c:showSerName val="0"/>
          <c:showPercent val="0"/>
          <c:showBubbleSize val="0"/>
        </c:dLbls>
        <c:gapWidth val="150"/>
        <c:overlap val="100"/>
        <c:axId val="1905361280"/>
        <c:axId val="1905349856"/>
      </c:barChart>
      <c:catAx>
        <c:axId val="190536128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1905349856"/>
        <c:crosses val="autoZero"/>
        <c:auto val="1"/>
        <c:lblAlgn val="ctr"/>
        <c:lblOffset val="100"/>
        <c:noMultiLvlLbl val="0"/>
      </c:catAx>
      <c:valAx>
        <c:axId val="1905349856"/>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61280"/>
        <c:crosses val="autoZero"/>
        <c:crossBetween val="between"/>
      </c:valAx>
      <c:spPr>
        <a:solidFill>
          <a:schemeClr val="bg1"/>
        </a:solidFill>
        <a:ln>
          <a:noFill/>
        </a:ln>
        <a:effectLst/>
      </c:spPr>
    </c:plotArea>
    <c:legend>
      <c:legendPos val="r"/>
      <c:layout>
        <c:manualLayout>
          <c:xMode val="edge"/>
          <c:yMode val="edge"/>
          <c:x val="0.25784863812553233"/>
          <c:y val="0.95123222162674692"/>
          <c:w val="0.49049573273539482"/>
          <c:h val="4.692455327900765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53550705490672723"/>
          <c:y val="2.9158383035122599E-2"/>
          <c:w val="0.41220084905494203"/>
          <c:h val="0.85937268775796649"/>
        </c:manualLayout>
      </c:layout>
      <c:barChart>
        <c:barDir val="bar"/>
        <c:grouping val="percentStacked"/>
        <c:varyColors val="0"/>
        <c:ser>
          <c:idx val="0"/>
          <c:order val="0"/>
          <c:tx>
            <c:strRef>
              <c:f>'zasady horyzontalne'!$B$2</c:f>
              <c:strCache>
                <c:ptCount val="1"/>
                <c:pt idx="0">
                  <c:v>Tak</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'zasady horyzontalne'!$A$3:$A$10</c:f>
              <c:strCache>
                <c:ptCount val="8"/>
                <c:pt idx="0">
                  <c:v>Przygotowanie infrastruktury z uwzględnieniem braku barier architektonicznych</c:v>
                </c:pt>
                <c:pt idx="1">
                  <c:v>Zaangażowanie do realizacji projektu osób z grup marginalizowanych (np. z niepełnosprawnościami)</c:v>
                </c:pt>
                <c:pt idx="2">
                  <c:v>Organizacja stanowiska nauki przystosowanego dla osób z niepełnosprawnościami</c:v>
                </c:pt>
                <c:pt idx="3">
                  <c:v>Organizacja wydarzeń w ramach projektu w miejscach pozbawionych barier architektonicznych</c:v>
                </c:pt>
                <c:pt idx="4">
                  <c:v>Zaangażowanie do uczestnictwa w projekcie osób z grup marginalizowanych (np. z niepełnosprawnościami)</c:v>
                </c:pt>
                <c:pt idx="5">
                  <c:v>Dostosowanie miejsca przedszkolnego do potrzeb dzieci z niepełnosprawnościami</c:v>
                </c:pt>
                <c:pt idx="6">
                  <c:v>Dostosowanie prowadzonych zajęć do potrzeb dzieci z niepełnosprawnościami</c:v>
                </c:pt>
                <c:pt idx="7">
                  <c:v>Stosowanie klauzul społecznych w udzielanych zamówieniach publicznych </c:v>
                </c:pt>
              </c:strCache>
            </c:strRef>
          </c:cat>
          <c:val>
            <c:numRef>
              <c:f>'zasady horyzontalne'!$B$3:$B$10</c:f>
              <c:numCache>
                <c:formatCode>0.0%</c:formatCode>
                <c:ptCount val="8"/>
                <c:pt idx="0">
                  <c:v>0.04</c:v>
                </c:pt>
                <c:pt idx="1">
                  <c:v>0.14000000000000001</c:v>
                </c:pt>
                <c:pt idx="2">
                  <c:v>0.27</c:v>
                </c:pt>
                <c:pt idx="3">
                  <c:v>0.48</c:v>
                </c:pt>
                <c:pt idx="4">
                  <c:v>0.52</c:v>
                </c:pt>
                <c:pt idx="5">
                  <c:v>0.57999999999999996</c:v>
                </c:pt>
                <c:pt idx="6">
                  <c:v>0.67</c:v>
                </c:pt>
                <c:pt idx="7">
                  <c:v>0.89</c:v>
                </c:pt>
              </c:numCache>
            </c:numRef>
          </c:val>
          <c:extLst>
            <c:ext xmlns:c16="http://schemas.microsoft.com/office/drawing/2014/chart" uri="{C3380CC4-5D6E-409C-BE32-E72D297353CC}">
              <c16:uniqueId val="{00000000-6BA7-43EF-8422-BC92D5E70D06}"/>
            </c:ext>
          </c:extLst>
        </c:ser>
        <c:ser>
          <c:idx val="1"/>
          <c:order val="1"/>
          <c:tx>
            <c:strRef>
              <c:f>'zasady horyzontalne'!$C$2</c:f>
              <c:strCache>
                <c:ptCount val="1"/>
                <c:pt idx="0">
                  <c:v>Nie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'zasady horyzontalne'!$A$3:$A$10</c:f>
              <c:strCache>
                <c:ptCount val="8"/>
                <c:pt idx="0">
                  <c:v>Przygotowanie infrastruktury z uwzględnieniem braku barier architektonicznych</c:v>
                </c:pt>
                <c:pt idx="1">
                  <c:v>Zaangażowanie do realizacji projektu osób z grup marginalizowanych (np. z niepełnosprawnościami)</c:v>
                </c:pt>
                <c:pt idx="2">
                  <c:v>Organizacja stanowiska nauki przystosowanego dla osób z niepełnosprawnościami</c:v>
                </c:pt>
                <c:pt idx="3">
                  <c:v>Organizacja wydarzeń w ramach projektu w miejscach pozbawionych barier architektonicznych</c:v>
                </c:pt>
                <c:pt idx="4">
                  <c:v>Zaangażowanie do uczestnictwa w projekcie osób z grup marginalizowanych (np. z niepełnosprawnościami)</c:v>
                </c:pt>
                <c:pt idx="5">
                  <c:v>Dostosowanie miejsca przedszkolnego do potrzeb dzieci z niepełnosprawnościami</c:v>
                </c:pt>
                <c:pt idx="6">
                  <c:v>Dostosowanie prowadzonych zajęć do potrzeb dzieci z niepełnosprawnościami</c:v>
                </c:pt>
                <c:pt idx="7">
                  <c:v>Stosowanie klauzul społecznych w udzielanych zamówieniach publicznych </c:v>
                </c:pt>
              </c:strCache>
            </c:strRef>
          </c:cat>
          <c:val>
            <c:numRef>
              <c:f>'zasady horyzontalne'!$C$3:$C$10</c:f>
              <c:numCache>
                <c:formatCode>0.0%</c:formatCode>
                <c:ptCount val="8"/>
                <c:pt idx="0">
                  <c:v>0.96</c:v>
                </c:pt>
                <c:pt idx="1">
                  <c:v>0.86</c:v>
                </c:pt>
                <c:pt idx="2">
                  <c:v>0.57999999999999996</c:v>
                </c:pt>
                <c:pt idx="3">
                  <c:v>0.52</c:v>
                </c:pt>
                <c:pt idx="4">
                  <c:v>0.48</c:v>
                </c:pt>
                <c:pt idx="5">
                  <c:v>0.42</c:v>
                </c:pt>
                <c:pt idx="6">
                  <c:v>0.33</c:v>
                </c:pt>
                <c:pt idx="7">
                  <c:v>0.11</c:v>
                </c:pt>
              </c:numCache>
            </c:numRef>
          </c:val>
          <c:extLst>
            <c:ext xmlns:c16="http://schemas.microsoft.com/office/drawing/2014/chart" uri="{C3380CC4-5D6E-409C-BE32-E72D297353CC}">
              <c16:uniqueId val="{00000001-6BA7-43EF-8422-BC92D5E70D06}"/>
            </c:ext>
          </c:extLst>
        </c:ser>
        <c:dLbls>
          <c:dLblPos val="ctr"/>
          <c:showLegendKey val="0"/>
          <c:showVal val="1"/>
          <c:showCatName val="0"/>
          <c:showSerName val="0"/>
          <c:showPercent val="0"/>
          <c:showBubbleSize val="0"/>
        </c:dLbls>
        <c:gapWidth val="150"/>
        <c:overlap val="100"/>
        <c:axId val="1905350400"/>
        <c:axId val="1905365088"/>
      </c:barChart>
      <c:catAx>
        <c:axId val="190535040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905365088"/>
        <c:crosses val="autoZero"/>
        <c:auto val="1"/>
        <c:lblAlgn val="ctr"/>
        <c:lblOffset val="100"/>
        <c:noMultiLvlLbl val="0"/>
      </c:catAx>
      <c:valAx>
        <c:axId val="1905365088"/>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50400"/>
        <c:crosses val="autoZero"/>
        <c:crossBetween val="between"/>
      </c:valAx>
      <c:spPr>
        <a:solidFill>
          <a:schemeClr val="bg1"/>
        </a:solidFill>
        <a:ln>
          <a:noFill/>
        </a:ln>
        <a:effectLst/>
      </c:spPr>
    </c:plotArea>
    <c:legend>
      <c:legendPos val="r"/>
      <c:layout>
        <c:manualLayout>
          <c:xMode val="edge"/>
          <c:yMode val="edge"/>
          <c:x val="0.27473251246278779"/>
          <c:y val="0.94245738169408722"/>
          <c:w val="0.4299654741143934"/>
          <c:h val="5.610557129662967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44873998132783738"/>
          <c:y val="4.4044044044044044E-2"/>
          <c:w val="0.50791646849512939"/>
          <c:h val="0.80760098681358528"/>
        </c:manualLayout>
      </c:layout>
      <c:barChart>
        <c:barDir val="bar"/>
        <c:grouping val="percentStacked"/>
        <c:varyColors val="0"/>
        <c:ser>
          <c:idx val="0"/>
          <c:order val="0"/>
          <c:tx>
            <c:strRef>
              <c:f>'zasady horyzontalne'!$B$24</c:f>
              <c:strCache>
                <c:ptCount val="1"/>
                <c:pt idx="0">
                  <c:v>Tak</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'zasady horyzontalne'!$A$25:$A$29</c:f>
              <c:strCache>
                <c:ptCount val="5"/>
                <c:pt idx="0">
                  <c:v>Stosowanie klauzul środowiskowych w udzielanych zamówieniach publicznych (tzw. zielone zamówienia publiczne)</c:v>
                </c:pt>
                <c:pt idx="1">
                  <c:v>Ograniczenie zużycia plastiku (np. stosowanie naczyń wielorazowych zamiast plastikowych podczas poczęstunku)</c:v>
                </c:pt>
                <c:pt idx="2">
                  <c:v>Stosowanie energooszczędnych rozwiązań w miejscu organizacji projektu</c:v>
                </c:pt>
                <c:pt idx="3">
                  <c:v>Działania edukacyjne z zakresu świadomości ekologicznej</c:v>
                </c:pt>
                <c:pt idx="4">
                  <c:v>Segregowanie odpadów</c:v>
                </c:pt>
              </c:strCache>
            </c:strRef>
          </c:cat>
          <c:val>
            <c:numRef>
              <c:f>'zasady horyzontalne'!$B$25:$B$29</c:f>
              <c:numCache>
                <c:formatCode>0.0%</c:formatCode>
                <c:ptCount val="5"/>
                <c:pt idx="0">
                  <c:v>0.04</c:v>
                </c:pt>
                <c:pt idx="1">
                  <c:v>0.31</c:v>
                </c:pt>
                <c:pt idx="2">
                  <c:v>0.5</c:v>
                </c:pt>
                <c:pt idx="3">
                  <c:v>0.5</c:v>
                </c:pt>
                <c:pt idx="4">
                  <c:v>0.56000000000000005</c:v>
                </c:pt>
              </c:numCache>
            </c:numRef>
          </c:val>
          <c:extLst>
            <c:ext xmlns:c16="http://schemas.microsoft.com/office/drawing/2014/chart" uri="{C3380CC4-5D6E-409C-BE32-E72D297353CC}">
              <c16:uniqueId val="{00000000-3188-49C7-94F1-B96DC4161EB6}"/>
            </c:ext>
          </c:extLst>
        </c:ser>
        <c:ser>
          <c:idx val="1"/>
          <c:order val="1"/>
          <c:tx>
            <c:strRef>
              <c:f>'zasady horyzontalne'!$C$24</c:f>
              <c:strCache>
                <c:ptCount val="1"/>
                <c:pt idx="0">
                  <c:v>Nie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'zasady horyzontalne'!$A$25:$A$29</c:f>
              <c:strCache>
                <c:ptCount val="5"/>
                <c:pt idx="0">
                  <c:v>Stosowanie klauzul środowiskowych w udzielanych zamówieniach publicznych (tzw. zielone zamówienia publiczne)</c:v>
                </c:pt>
                <c:pt idx="1">
                  <c:v>Ograniczenie zużycia plastiku (np. stosowanie naczyń wielorazowych zamiast plastikowych podczas poczęstunku)</c:v>
                </c:pt>
                <c:pt idx="2">
                  <c:v>Stosowanie energooszczędnych rozwiązań w miejscu organizacji projektu</c:v>
                </c:pt>
                <c:pt idx="3">
                  <c:v>Działania edukacyjne z zakresu świadomości ekologicznej</c:v>
                </c:pt>
                <c:pt idx="4">
                  <c:v>Segregowanie odpadów</c:v>
                </c:pt>
              </c:strCache>
            </c:strRef>
          </c:cat>
          <c:val>
            <c:numRef>
              <c:f>'zasady horyzontalne'!$C$25:$C$29</c:f>
              <c:numCache>
                <c:formatCode>0.0%</c:formatCode>
                <c:ptCount val="5"/>
                <c:pt idx="0">
                  <c:v>0.96</c:v>
                </c:pt>
                <c:pt idx="1">
                  <c:v>0.69</c:v>
                </c:pt>
                <c:pt idx="2">
                  <c:v>0.5</c:v>
                </c:pt>
                <c:pt idx="3">
                  <c:v>0.5</c:v>
                </c:pt>
                <c:pt idx="4">
                  <c:v>0.44</c:v>
                </c:pt>
              </c:numCache>
            </c:numRef>
          </c:val>
          <c:extLst>
            <c:ext xmlns:c16="http://schemas.microsoft.com/office/drawing/2014/chart" uri="{C3380CC4-5D6E-409C-BE32-E72D297353CC}">
              <c16:uniqueId val="{00000001-3188-49C7-94F1-B96DC4161EB6}"/>
            </c:ext>
          </c:extLst>
        </c:ser>
        <c:dLbls>
          <c:dLblPos val="ctr"/>
          <c:showLegendKey val="0"/>
          <c:showVal val="1"/>
          <c:showCatName val="0"/>
          <c:showSerName val="0"/>
          <c:showPercent val="0"/>
          <c:showBubbleSize val="0"/>
        </c:dLbls>
        <c:gapWidth val="150"/>
        <c:overlap val="100"/>
        <c:axId val="1905360736"/>
        <c:axId val="1905353664"/>
      </c:barChart>
      <c:catAx>
        <c:axId val="1905360736"/>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53664"/>
        <c:crosses val="autoZero"/>
        <c:auto val="1"/>
        <c:lblAlgn val="ctr"/>
        <c:lblOffset val="100"/>
        <c:noMultiLvlLbl val="0"/>
      </c:catAx>
      <c:valAx>
        <c:axId val="1905353664"/>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60736"/>
        <c:crosses val="autoZero"/>
        <c:crossBetween val="between"/>
      </c:valAx>
      <c:spPr>
        <a:solidFill>
          <a:schemeClr val="bg1"/>
        </a:solidFill>
        <a:ln>
          <a:noFill/>
        </a:ln>
        <a:effectLst/>
      </c:spPr>
    </c:plotArea>
    <c:legend>
      <c:legendPos val="r"/>
      <c:layout>
        <c:manualLayout>
          <c:xMode val="edge"/>
          <c:yMode val="edge"/>
          <c:x val="0.29710387711603164"/>
          <c:y val="0.91208026924562347"/>
          <c:w val="0.49707956807412496"/>
          <c:h val="8.474805514175592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11.1.1 - ZIT</c:v>
                </c:pt>
                <c:pt idx="1">
                  <c:v>11.1.2 - RIT</c:v>
                </c:pt>
                <c:pt idx="2">
                  <c:v>11.1.3 - konkursowe</c:v>
                </c:pt>
              </c:strCache>
            </c:strRef>
          </c:cat>
          <c:val>
            <c:numRef>
              <c:f>Arkusz1!$B$2:$B$4</c:f>
              <c:numCache>
                <c:formatCode>General</c:formatCode>
                <c:ptCount val="3"/>
                <c:pt idx="2" formatCode="0.0%">
                  <c:v>1.7543859649122806E-2</c:v>
                </c:pt>
              </c:numCache>
            </c:numRef>
          </c:val>
          <c:extLst>
            <c:ext xmlns:c16="http://schemas.microsoft.com/office/drawing/2014/chart" uri="{C3380CC4-5D6E-409C-BE32-E72D297353CC}">
              <c16:uniqueId val="{00000000-FD8B-4802-9D72-B95A98596272}"/>
            </c:ext>
          </c:extLst>
        </c:ser>
        <c:ser>
          <c:idx val="1"/>
          <c:order val="1"/>
          <c:tx>
            <c:strRef>
              <c:f>Arkusz1!$C$1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11.1.1 - ZIT</c:v>
                </c:pt>
                <c:pt idx="1">
                  <c:v>11.1.2 - RIT</c:v>
                </c:pt>
                <c:pt idx="2">
                  <c:v>11.1.3 - konkursowe</c:v>
                </c:pt>
              </c:strCache>
            </c:strRef>
          </c:cat>
          <c:val>
            <c:numRef>
              <c:f>Arkusz1!$C$2:$C$4</c:f>
              <c:numCache>
                <c:formatCode>General</c:formatCode>
                <c:ptCount val="3"/>
                <c:pt idx="0" formatCode="0.0%">
                  <c:v>3.2258064516129031E-2</c:v>
                </c:pt>
              </c:numCache>
            </c:numRef>
          </c:val>
          <c:extLst>
            <c:ext xmlns:c16="http://schemas.microsoft.com/office/drawing/2014/chart" uri="{C3380CC4-5D6E-409C-BE32-E72D297353CC}">
              <c16:uniqueId val="{00000001-FD8B-4802-9D72-B95A98596272}"/>
            </c:ext>
          </c:extLst>
        </c:ser>
        <c:ser>
          <c:idx val="2"/>
          <c:order val="2"/>
          <c:tx>
            <c:strRef>
              <c:f>Arkusz1!$D$1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11.1.1 - ZIT</c:v>
                </c:pt>
                <c:pt idx="1">
                  <c:v>11.1.2 - RIT</c:v>
                </c:pt>
                <c:pt idx="2">
                  <c:v>11.1.3 - konkursowe</c:v>
                </c:pt>
              </c:strCache>
            </c:strRef>
          </c:cat>
          <c:val>
            <c:numRef>
              <c:f>Arkusz1!$D$2:$D$4</c:f>
              <c:numCache>
                <c:formatCode>0.0%</c:formatCode>
                <c:ptCount val="3"/>
                <c:pt idx="0">
                  <c:v>0.16129032258064516</c:v>
                </c:pt>
                <c:pt idx="1">
                  <c:v>0.19230769230769232</c:v>
                </c:pt>
                <c:pt idx="2">
                  <c:v>0.14035087719298245</c:v>
                </c:pt>
              </c:numCache>
            </c:numRef>
          </c:val>
          <c:extLst>
            <c:ext xmlns:c16="http://schemas.microsoft.com/office/drawing/2014/chart" uri="{C3380CC4-5D6E-409C-BE32-E72D297353CC}">
              <c16:uniqueId val="{00000002-FD8B-4802-9D72-B95A98596272}"/>
            </c:ext>
          </c:extLst>
        </c:ser>
        <c:ser>
          <c:idx val="3"/>
          <c:order val="3"/>
          <c:tx>
            <c:strRef>
              <c:f>Arkusz1!$E$1</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11.1.1 - ZIT</c:v>
                </c:pt>
                <c:pt idx="1">
                  <c:v>11.1.2 - RIT</c:v>
                </c:pt>
                <c:pt idx="2">
                  <c:v>11.1.3 - konkursowe</c:v>
                </c:pt>
              </c:strCache>
            </c:strRef>
          </c:cat>
          <c:val>
            <c:numRef>
              <c:f>Arkusz1!$E$2:$E$4</c:f>
              <c:numCache>
                <c:formatCode>0.0%</c:formatCode>
                <c:ptCount val="3"/>
                <c:pt idx="0">
                  <c:v>0.80645161290322576</c:v>
                </c:pt>
                <c:pt idx="1">
                  <c:v>0.80769230769230771</c:v>
                </c:pt>
                <c:pt idx="2">
                  <c:v>0.84210526315789469</c:v>
                </c:pt>
              </c:numCache>
            </c:numRef>
          </c:val>
          <c:extLst>
            <c:ext xmlns:c16="http://schemas.microsoft.com/office/drawing/2014/chart" uri="{C3380CC4-5D6E-409C-BE32-E72D297353CC}">
              <c16:uniqueId val="{00000003-FD8B-4802-9D72-B95A98596272}"/>
            </c:ext>
          </c:extLst>
        </c:ser>
        <c:dLbls>
          <c:showLegendKey val="0"/>
          <c:showVal val="0"/>
          <c:showCatName val="0"/>
          <c:showSerName val="0"/>
          <c:showPercent val="0"/>
          <c:showBubbleSize val="0"/>
        </c:dLbls>
        <c:gapWidth val="150"/>
        <c:axId val="1905359104"/>
        <c:axId val="1905350944"/>
      </c:barChart>
      <c:catAx>
        <c:axId val="1905359104"/>
        <c:scaling>
          <c:orientation val="minMax"/>
        </c:scaling>
        <c:delete val="0"/>
        <c:axPos val="b"/>
        <c:numFmt formatCode="General" sourceLinked="0"/>
        <c:majorTickMark val="out"/>
        <c:minorTickMark val="none"/>
        <c:tickLblPos val="nextTo"/>
        <c:crossAx val="1905350944"/>
        <c:crosses val="autoZero"/>
        <c:auto val="1"/>
        <c:lblAlgn val="ctr"/>
        <c:lblOffset val="100"/>
        <c:noMultiLvlLbl val="0"/>
      </c:catAx>
      <c:valAx>
        <c:axId val="1905350944"/>
        <c:scaling>
          <c:orientation val="minMax"/>
        </c:scaling>
        <c:delete val="1"/>
        <c:axPos val="l"/>
        <c:majorGridlines/>
        <c:numFmt formatCode="General" sourceLinked="1"/>
        <c:majorTickMark val="out"/>
        <c:minorTickMark val="none"/>
        <c:tickLblPos val="nextTo"/>
        <c:crossAx val="1905359104"/>
        <c:crosses val="autoZero"/>
        <c:crossBetween val="between"/>
      </c:valAx>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11.2.1 - ZIT</c:v>
                </c:pt>
                <c:pt idx="1">
                  <c:v>11.2.2 - RIT</c:v>
                </c:pt>
                <c:pt idx="2">
                  <c:v>11.2.3 - konkursowe</c:v>
                </c:pt>
              </c:strCache>
            </c:strRef>
          </c:cat>
          <c:val>
            <c:numRef>
              <c:f>Arkusz1!$B$2:$B$4</c:f>
              <c:numCache>
                <c:formatCode>General</c:formatCode>
                <c:ptCount val="3"/>
                <c:pt idx="0" formatCode="0.0%">
                  <c:v>5.5555555555555552E-2</c:v>
                </c:pt>
              </c:numCache>
            </c:numRef>
          </c:val>
          <c:extLst>
            <c:ext xmlns:c16="http://schemas.microsoft.com/office/drawing/2014/chart" uri="{C3380CC4-5D6E-409C-BE32-E72D297353CC}">
              <c16:uniqueId val="{00000000-765F-419E-BD47-4F5B3DD144C6}"/>
            </c:ext>
          </c:extLst>
        </c:ser>
        <c:ser>
          <c:idx val="1"/>
          <c:order val="1"/>
          <c:tx>
            <c:strRef>
              <c:f>Arkusz1!$C$1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11.2.1 - ZIT</c:v>
                </c:pt>
                <c:pt idx="1">
                  <c:v>11.2.2 - RIT</c:v>
                </c:pt>
                <c:pt idx="2">
                  <c:v>11.2.3 - konkursowe</c:v>
                </c:pt>
              </c:strCache>
            </c:strRef>
          </c:cat>
          <c:val>
            <c:numRef>
              <c:f>Arkusz1!$C$2:$C$4</c:f>
              <c:numCache>
                <c:formatCode>0.0%</c:formatCode>
                <c:ptCount val="3"/>
                <c:pt idx="1">
                  <c:v>6.6666666666666666E-2</c:v>
                </c:pt>
              </c:numCache>
            </c:numRef>
          </c:val>
          <c:extLst>
            <c:ext xmlns:c16="http://schemas.microsoft.com/office/drawing/2014/chart" uri="{C3380CC4-5D6E-409C-BE32-E72D297353CC}">
              <c16:uniqueId val="{00000001-765F-419E-BD47-4F5B3DD144C6}"/>
            </c:ext>
          </c:extLst>
        </c:ser>
        <c:ser>
          <c:idx val="2"/>
          <c:order val="2"/>
          <c:tx>
            <c:strRef>
              <c:f>Arkusz1!$D$1</c:f>
              <c:strCache>
                <c:ptCount val="1"/>
                <c:pt idx="0">
                  <c:v>3</c:v>
                </c:pt>
              </c:strCache>
            </c:strRef>
          </c:tx>
          <c:invertIfNegative val="0"/>
          <c:dLbls>
            <c:dLbl>
              <c:idx val="0"/>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5F-419E-BD47-4F5B3DD144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11.2.1 - ZIT</c:v>
                </c:pt>
                <c:pt idx="1">
                  <c:v>11.2.2 - RIT</c:v>
                </c:pt>
                <c:pt idx="2">
                  <c:v>11.2.3 - konkursowe</c:v>
                </c:pt>
              </c:strCache>
            </c:strRef>
          </c:cat>
          <c:val>
            <c:numRef>
              <c:f>Arkusz1!$D$2:$D$4</c:f>
              <c:numCache>
                <c:formatCode>0.0%</c:formatCode>
                <c:ptCount val="3"/>
                <c:pt idx="0">
                  <c:v>0.22222222222222221</c:v>
                </c:pt>
                <c:pt idx="1">
                  <c:v>0.2</c:v>
                </c:pt>
                <c:pt idx="2">
                  <c:v>0.2857142857142857</c:v>
                </c:pt>
              </c:numCache>
            </c:numRef>
          </c:val>
          <c:extLst>
            <c:ext xmlns:c16="http://schemas.microsoft.com/office/drawing/2014/chart" uri="{C3380CC4-5D6E-409C-BE32-E72D297353CC}">
              <c16:uniqueId val="{00000003-765F-419E-BD47-4F5B3DD144C6}"/>
            </c:ext>
          </c:extLst>
        </c:ser>
        <c:ser>
          <c:idx val="3"/>
          <c:order val="3"/>
          <c:tx>
            <c:strRef>
              <c:f>Arkusz1!$E$1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11.2.1 - ZIT</c:v>
                </c:pt>
                <c:pt idx="1">
                  <c:v>11.2.2 - RIT</c:v>
                </c:pt>
                <c:pt idx="2">
                  <c:v>11.2.3 - konkursowe</c:v>
                </c:pt>
              </c:strCache>
            </c:strRef>
          </c:cat>
          <c:val>
            <c:numRef>
              <c:f>Arkusz1!$E$2:$E$4</c:f>
              <c:numCache>
                <c:formatCode>0.0%</c:formatCode>
                <c:ptCount val="3"/>
                <c:pt idx="0">
                  <c:v>0.22222222222222221</c:v>
                </c:pt>
                <c:pt idx="1">
                  <c:v>0.13333333333333333</c:v>
                </c:pt>
                <c:pt idx="2">
                  <c:v>0.5</c:v>
                </c:pt>
              </c:numCache>
            </c:numRef>
          </c:val>
          <c:extLst>
            <c:ext xmlns:c16="http://schemas.microsoft.com/office/drawing/2014/chart" uri="{C3380CC4-5D6E-409C-BE32-E72D297353CC}">
              <c16:uniqueId val="{00000004-765F-419E-BD47-4F5B3DD144C6}"/>
            </c:ext>
          </c:extLst>
        </c:ser>
        <c:ser>
          <c:idx val="4"/>
          <c:order val="4"/>
          <c:tx>
            <c:strRef>
              <c:f>Arkusz1!$F$1</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11.2.1 - ZIT</c:v>
                </c:pt>
                <c:pt idx="1">
                  <c:v>11.2.2 - RIT</c:v>
                </c:pt>
                <c:pt idx="2">
                  <c:v>11.2.3 - konkursowe</c:v>
                </c:pt>
              </c:strCache>
            </c:strRef>
          </c:cat>
          <c:val>
            <c:numRef>
              <c:f>Arkusz1!$F$2:$F$4</c:f>
              <c:numCache>
                <c:formatCode>0.0%</c:formatCode>
                <c:ptCount val="3"/>
                <c:pt idx="0">
                  <c:v>0.5</c:v>
                </c:pt>
                <c:pt idx="1">
                  <c:v>0.6</c:v>
                </c:pt>
                <c:pt idx="2">
                  <c:v>0.21428571428571427</c:v>
                </c:pt>
              </c:numCache>
            </c:numRef>
          </c:val>
          <c:extLst>
            <c:ext xmlns:c16="http://schemas.microsoft.com/office/drawing/2014/chart" uri="{C3380CC4-5D6E-409C-BE32-E72D297353CC}">
              <c16:uniqueId val="{00000005-765F-419E-BD47-4F5B3DD144C6}"/>
            </c:ext>
          </c:extLst>
        </c:ser>
        <c:dLbls>
          <c:showLegendKey val="0"/>
          <c:showVal val="0"/>
          <c:showCatName val="0"/>
          <c:showSerName val="0"/>
          <c:showPercent val="0"/>
          <c:showBubbleSize val="0"/>
        </c:dLbls>
        <c:gapWidth val="150"/>
        <c:axId val="1905355840"/>
        <c:axId val="1905351488"/>
      </c:barChart>
      <c:catAx>
        <c:axId val="1905355840"/>
        <c:scaling>
          <c:orientation val="minMax"/>
        </c:scaling>
        <c:delete val="0"/>
        <c:axPos val="b"/>
        <c:numFmt formatCode="General" sourceLinked="0"/>
        <c:majorTickMark val="out"/>
        <c:minorTickMark val="none"/>
        <c:tickLblPos val="nextTo"/>
        <c:crossAx val="1905351488"/>
        <c:crosses val="autoZero"/>
        <c:auto val="1"/>
        <c:lblAlgn val="ctr"/>
        <c:lblOffset val="100"/>
        <c:noMultiLvlLbl val="0"/>
      </c:catAx>
      <c:valAx>
        <c:axId val="1905351488"/>
        <c:scaling>
          <c:orientation val="minMax"/>
        </c:scaling>
        <c:delete val="1"/>
        <c:axPos val="l"/>
        <c:majorGridlines/>
        <c:numFmt formatCode="0.0%" sourceLinked="1"/>
        <c:majorTickMark val="out"/>
        <c:minorTickMark val="none"/>
        <c:tickLblPos val="nextTo"/>
        <c:crossAx val="1905355840"/>
        <c:crosses val="autoZero"/>
        <c:crossBetween val="between"/>
      </c:valAx>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11.4.1 - ZIT</c:v>
                </c:pt>
                <c:pt idx="1">
                  <c:v>11.4.2 - RIT</c:v>
                </c:pt>
                <c:pt idx="2">
                  <c:v>11.4.3 - konkursowe</c:v>
                </c:pt>
              </c:strCache>
            </c:strRef>
          </c:cat>
          <c:val>
            <c:numRef>
              <c:f>Arkusz1!$B$2:$B$4</c:f>
              <c:numCache>
                <c:formatCode>0.0%</c:formatCode>
                <c:ptCount val="3"/>
                <c:pt idx="1">
                  <c:v>0.33333333333333331</c:v>
                </c:pt>
              </c:numCache>
            </c:numRef>
          </c:val>
          <c:extLst>
            <c:ext xmlns:c16="http://schemas.microsoft.com/office/drawing/2014/chart" uri="{C3380CC4-5D6E-409C-BE32-E72D297353CC}">
              <c16:uniqueId val="{00000000-DE9A-412F-8759-D59E7CC88931}"/>
            </c:ext>
          </c:extLst>
        </c:ser>
        <c:ser>
          <c:idx val="1"/>
          <c:order val="1"/>
          <c:tx>
            <c:strRef>
              <c:f>Arkusz1!$C$1</c:f>
              <c:strCache>
                <c:ptCount val="1"/>
                <c:pt idx="0">
                  <c:v>3</c:v>
                </c:pt>
              </c:strCache>
            </c:strRef>
          </c:tx>
          <c:invertIfNegative val="0"/>
          <c:dLbls>
            <c:dLbl>
              <c:idx val="1"/>
              <c:layout>
                <c:manualLayout>
                  <c:x val="-8.4875562720133283E-17"/>
                  <c:y val="-6.3397120561577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9A-412F-8759-D59E7CC889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11.4.1 - ZIT</c:v>
                </c:pt>
                <c:pt idx="1">
                  <c:v>11.4.2 - RIT</c:v>
                </c:pt>
                <c:pt idx="2">
                  <c:v>11.4.3 - konkursowe</c:v>
                </c:pt>
              </c:strCache>
            </c:strRef>
          </c:cat>
          <c:val>
            <c:numRef>
              <c:f>Arkusz1!$C$2:$C$4</c:f>
              <c:numCache>
                <c:formatCode>0.0%</c:formatCode>
                <c:ptCount val="3"/>
                <c:pt idx="0">
                  <c:v>0.2</c:v>
                </c:pt>
                <c:pt idx="1">
                  <c:v>0.33333333333333331</c:v>
                </c:pt>
                <c:pt idx="2">
                  <c:v>0.21428571428571427</c:v>
                </c:pt>
              </c:numCache>
            </c:numRef>
          </c:val>
          <c:extLst>
            <c:ext xmlns:c16="http://schemas.microsoft.com/office/drawing/2014/chart" uri="{C3380CC4-5D6E-409C-BE32-E72D297353CC}">
              <c16:uniqueId val="{00000002-DE9A-412F-8759-D59E7CC88931}"/>
            </c:ext>
          </c:extLst>
        </c:ser>
        <c:ser>
          <c:idx val="2"/>
          <c:order val="2"/>
          <c:tx>
            <c:strRef>
              <c:f>Arkusz1!$D$1</c:f>
              <c:strCache>
                <c:ptCount val="1"/>
                <c:pt idx="0">
                  <c:v>4</c:v>
                </c:pt>
              </c:strCache>
            </c:strRef>
          </c:tx>
          <c:invertIfNegative val="0"/>
          <c:dLbls>
            <c:dLbl>
              <c:idx val="0"/>
              <c:layout>
                <c:manualLayout>
                  <c:x val="4.6296296296296294E-3"/>
                  <c:y val="5.6352996054735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9A-412F-8759-D59E7CC889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11.4.1 - ZIT</c:v>
                </c:pt>
                <c:pt idx="1">
                  <c:v>11.4.2 - RIT</c:v>
                </c:pt>
                <c:pt idx="2">
                  <c:v>11.4.3 - konkursowe</c:v>
                </c:pt>
              </c:strCache>
            </c:strRef>
          </c:cat>
          <c:val>
            <c:numRef>
              <c:f>Arkusz1!$D$2:$D$4</c:f>
              <c:numCache>
                <c:formatCode>0.0%</c:formatCode>
                <c:ptCount val="3"/>
                <c:pt idx="0">
                  <c:v>0.2</c:v>
                </c:pt>
                <c:pt idx="1">
                  <c:v>0.33333333333333331</c:v>
                </c:pt>
                <c:pt idx="2">
                  <c:v>0.14285714285714285</c:v>
                </c:pt>
              </c:numCache>
            </c:numRef>
          </c:val>
          <c:extLst>
            <c:ext xmlns:c16="http://schemas.microsoft.com/office/drawing/2014/chart" uri="{C3380CC4-5D6E-409C-BE32-E72D297353CC}">
              <c16:uniqueId val="{00000004-DE9A-412F-8759-D59E7CC88931}"/>
            </c:ext>
          </c:extLst>
        </c:ser>
        <c:ser>
          <c:idx val="3"/>
          <c:order val="3"/>
          <c:tx>
            <c:strRef>
              <c:f>Arkusz1!$E$1</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11.4.1 - ZIT</c:v>
                </c:pt>
                <c:pt idx="1">
                  <c:v>11.4.2 - RIT</c:v>
                </c:pt>
                <c:pt idx="2">
                  <c:v>11.4.3 - konkursowe</c:v>
                </c:pt>
              </c:strCache>
            </c:strRef>
          </c:cat>
          <c:val>
            <c:numRef>
              <c:f>Arkusz1!$E$2:$E$4</c:f>
              <c:numCache>
                <c:formatCode>General</c:formatCode>
                <c:ptCount val="3"/>
                <c:pt idx="0" formatCode="0.0%">
                  <c:v>0.6</c:v>
                </c:pt>
                <c:pt idx="2" formatCode="0.0%">
                  <c:v>0.6428571428571429</c:v>
                </c:pt>
              </c:numCache>
            </c:numRef>
          </c:val>
          <c:extLst>
            <c:ext xmlns:c16="http://schemas.microsoft.com/office/drawing/2014/chart" uri="{C3380CC4-5D6E-409C-BE32-E72D297353CC}">
              <c16:uniqueId val="{00000005-DE9A-412F-8759-D59E7CC88931}"/>
            </c:ext>
          </c:extLst>
        </c:ser>
        <c:dLbls>
          <c:showLegendKey val="0"/>
          <c:showVal val="0"/>
          <c:showCatName val="0"/>
          <c:showSerName val="0"/>
          <c:showPercent val="0"/>
          <c:showBubbleSize val="0"/>
        </c:dLbls>
        <c:gapWidth val="150"/>
        <c:axId val="1905367808"/>
        <c:axId val="1905352032"/>
      </c:barChart>
      <c:catAx>
        <c:axId val="1905367808"/>
        <c:scaling>
          <c:orientation val="minMax"/>
        </c:scaling>
        <c:delete val="0"/>
        <c:axPos val="b"/>
        <c:numFmt formatCode="General" sourceLinked="0"/>
        <c:majorTickMark val="out"/>
        <c:minorTickMark val="none"/>
        <c:tickLblPos val="nextTo"/>
        <c:crossAx val="1905352032"/>
        <c:crosses val="autoZero"/>
        <c:auto val="1"/>
        <c:lblAlgn val="ctr"/>
        <c:lblOffset val="100"/>
        <c:noMultiLvlLbl val="0"/>
      </c:catAx>
      <c:valAx>
        <c:axId val="1905352032"/>
        <c:scaling>
          <c:orientation val="minMax"/>
        </c:scaling>
        <c:delete val="1"/>
        <c:axPos val="l"/>
        <c:majorGridlines/>
        <c:numFmt formatCode="0.0%" sourceLinked="1"/>
        <c:majorTickMark val="out"/>
        <c:minorTickMark val="none"/>
        <c:tickLblPos val="nextTo"/>
        <c:crossAx val="1905367808"/>
        <c:crosses val="autoZero"/>
        <c:crossBetween val="between"/>
      </c:valAx>
    </c:plotArea>
    <c:legend>
      <c:legendPos val="r"/>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11.1.1 - ZIT</c:v>
                </c:pt>
                <c:pt idx="1">
                  <c:v>11.1.2 - RIT</c:v>
                </c:pt>
                <c:pt idx="2">
                  <c:v>11.1.3 - konkursowe</c:v>
                </c:pt>
              </c:strCache>
            </c:strRef>
          </c:cat>
          <c:val>
            <c:numRef>
              <c:f>Arkusz1!$B$2:$B$4</c:f>
              <c:numCache>
                <c:formatCode>General</c:formatCode>
                <c:ptCount val="3"/>
                <c:pt idx="0" formatCode="0.0%">
                  <c:v>0.04</c:v>
                </c:pt>
              </c:numCache>
            </c:numRef>
          </c:val>
          <c:extLst>
            <c:ext xmlns:c16="http://schemas.microsoft.com/office/drawing/2014/chart" uri="{C3380CC4-5D6E-409C-BE32-E72D297353CC}">
              <c16:uniqueId val="{00000000-E6DD-48AD-916A-0B7E49C46F36}"/>
            </c:ext>
          </c:extLst>
        </c:ser>
        <c:ser>
          <c:idx val="1"/>
          <c:order val="1"/>
          <c:tx>
            <c:strRef>
              <c:f>Arkusz1!$C$1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11.1.1 - ZIT</c:v>
                </c:pt>
                <c:pt idx="1">
                  <c:v>11.1.2 - RIT</c:v>
                </c:pt>
                <c:pt idx="2">
                  <c:v>11.1.3 - konkursowe</c:v>
                </c:pt>
              </c:strCache>
            </c:strRef>
          </c:cat>
          <c:val>
            <c:numRef>
              <c:f>Arkusz1!$C$2:$C$4</c:f>
              <c:numCache>
                <c:formatCode>0.0%</c:formatCode>
                <c:ptCount val="3"/>
                <c:pt idx="0">
                  <c:v>0.04</c:v>
                </c:pt>
                <c:pt idx="1">
                  <c:v>0.13636363636363635</c:v>
                </c:pt>
                <c:pt idx="2">
                  <c:v>7.1428571428571425E-2</c:v>
                </c:pt>
              </c:numCache>
            </c:numRef>
          </c:val>
          <c:extLst>
            <c:ext xmlns:c16="http://schemas.microsoft.com/office/drawing/2014/chart" uri="{C3380CC4-5D6E-409C-BE32-E72D297353CC}">
              <c16:uniqueId val="{00000001-E6DD-48AD-916A-0B7E49C46F36}"/>
            </c:ext>
          </c:extLst>
        </c:ser>
        <c:ser>
          <c:idx val="2"/>
          <c:order val="2"/>
          <c:tx>
            <c:strRef>
              <c:f>Arkusz1!$D$1</c:f>
              <c:strCache>
                <c:ptCount val="1"/>
                <c:pt idx="0">
                  <c:v>5</c:v>
                </c:pt>
              </c:strCache>
            </c:strRef>
          </c:tx>
          <c:invertIfNegative val="0"/>
          <c:dLbls>
            <c:dLbl>
              <c:idx val="0"/>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DD-48AD-916A-0B7E49C46F3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11.1.1 - ZIT</c:v>
                </c:pt>
                <c:pt idx="1">
                  <c:v>11.1.2 - RIT</c:v>
                </c:pt>
                <c:pt idx="2">
                  <c:v>11.1.3 - konkursowe</c:v>
                </c:pt>
              </c:strCache>
            </c:strRef>
          </c:cat>
          <c:val>
            <c:numRef>
              <c:f>Arkusz1!$D$2:$D$4</c:f>
              <c:numCache>
                <c:formatCode>0.0%</c:formatCode>
                <c:ptCount val="3"/>
                <c:pt idx="0">
                  <c:v>0.92</c:v>
                </c:pt>
                <c:pt idx="1">
                  <c:v>0.86363636363636365</c:v>
                </c:pt>
                <c:pt idx="2">
                  <c:v>0.9285714285714286</c:v>
                </c:pt>
              </c:numCache>
            </c:numRef>
          </c:val>
          <c:extLst>
            <c:ext xmlns:c16="http://schemas.microsoft.com/office/drawing/2014/chart" uri="{C3380CC4-5D6E-409C-BE32-E72D297353CC}">
              <c16:uniqueId val="{00000003-E6DD-48AD-916A-0B7E49C46F36}"/>
            </c:ext>
          </c:extLst>
        </c:ser>
        <c:dLbls>
          <c:showLegendKey val="0"/>
          <c:showVal val="0"/>
          <c:showCatName val="0"/>
          <c:showSerName val="0"/>
          <c:showPercent val="0"/>
          <c:showBubbleSize val="0"/>
        </c:dLbls>
        <c:gapWidth val="150"/>
        <c:axId val="1905361824"/>
        <c:axId val="1905358016"/>
      </c:barChart>
      <c:catAx>
        <c:axId val="1905361824"/>
        <c:scaling>
          <c:orientation val="minMax"/>
        </c:scaling>
        <c:delete val="0"/>
        <c:axPos val="b"/>
        <c:numFmt formatCode="General" sourceLinked="0"/>
        <c:majorTickMark val="out"/>
        <c:minorTickMark val="none"/>
        <c:tickLblPos val="nextTo"/>
        <c:crossAx val="1905358016"/>
        <c:crosses val="autoZero"/>
        <c:auto val="1"/>
        <c:lblAlgn val="ctr"/>
        <c:lblOffset val="100"/>
        <c:noMultiLvlLbl val="0"/>
      </c:catAx>
      <c:valAx>
        <c:axId val="1905358016"/>
        <c:scaling>
          <c:orientation val="minMax"/>
        </c:scaling>
        <c:delete val="1"/>
        <c:axPos val="l"/>
        <c:majorGridlines/>
        <c:numFmt formatCode="0.0%" sourceLinked="1"/>
        <c:majorTickMark val="out"/>
        <c:minorTickMark val="none"/>
        <c:tickLblPos val="nextTo"/>
        <c:crossAx val="190536182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1</c:v>
                </c:pt>
                <c:pt idx="1">
                  <c:v>2</c:v>
                </c:pt>
                <c:pt idx="2">
                  <c:v>3</c:v>
                </c:pt>
                <c:pt idx="3">
                  <c:v>4</c:v>
                </c:pt>
                <c:pt idx="4">
                  <c:v>5</c:v>
                </c:pt>
              </c:numCache>
            </c:numRef>
          </c:cat>
          <c:val>
            <c:numRef>
              <c:f>Arkusz1!$B$2:$B$6</c:f>
              <c:numCache>
                <c:formatCode>0.0%</c:formatCode>
                <c:ptCount val="5"/>
                <c:pt idx="0">
                  <c:v>0</c:v>
                </c:pt>
                <c:pt idx="1">
                  <c:v>0</c:v>
                </c:pt>
                <c:pt idx="2">
                  <c:v>2.1276595744680851E-2</c:v>
                </c:pt>
                <c:pt idx="3">
                  <c:v>7.4468085106382975E-2</c:v>
                </c:pt>
                <c:pt idx="4">
                  <c:v>0.9042553191489362</c:v>
                </c:pt>
              </c:numCache>
            </c:numRef>
          </c:val>
          <c:extLst>
            <c:ext xmlns:c16="http://schemas.microsoft.com/office/drawing/2014/chart" uri="{C3380CC4-5D6E-409C-BE32-E72D297353CC}">
              <c16:uniqueId val="{00000000-333E-4727-9DC0-EB028659FC7E}"/>
            </c:ext>
          </c:extLst>
        </c:ser>
        <c:dLbls>
          <c:showLegendKey val="0"/>
          <c:showVal val="0"/>
          <c:showCatName val="0"/>
          <c:showSerName val="0"/>
          <c:showPercent val="0"/>
          <c:showBubbleSize val="0"/>
        </c:dLbls>
        <c:gapWidth val="150"/>
        <c:axId val="1970591920"/>
        <c:axId val="1970624560"/>
      </c:barChart>
      <c:catAx>
        <c:axId val="197059192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624560"/>
        <c:crosses val="autoZero"/>
        <c:auto val="1"/>
        <c:lblAlgn val="ctr"/>
        <c:lblOffset val="100"/>
        <c:noMultiLvlLbl val="0"/>
      </c:catAx>
      <c:valAx>
        <c:axId val="197062456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7059192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11.2.1 - ZIT</c:v>
                </c:pt>
                <c:pt idx="1">
                  <c:v>11.2.2 - RIT</c:v>
                </c:pt>
                <c:pt idx="2">
                  <c:v>11.2.3 - konkursowe</c:v>
                </c:pt>
              </c:strCache>
            </c:strRef>
          </c:cat>
          <c:val>
            <c:numRef>
              <c:f>Arkusz1!$B$2:$B$4</c:f>
              <c:numCache>
                <c:formatCode>General</c:formatCode>
                <c:ptCount val="3"/>
                <c:pt idx="0" formatCode="0.0%">
                  <c:v>0.16666666666666666</c:v>
                </c:pt>
              </c:numCache>
            </c:numRef>
          </c:val>
          <c:extLst>
            <c:ext xmlns:c16="http://schemas.microsoft.com/office/drawing/2014/chart" uri="{C3380CC4-5D6E-409C-BE32-E72D297353CC}">
              <c16:uniqueId val="{00000000-92FF-4F3F-98E3-2B6578A7D1E9}"/>
            </c:ext>
          </c:extLst>
        </c:ser>
        <c:ser>
          <c:idx val="1"/>
          <c:order val="1"/>
          <c:tx>
            <c:strRef>
              <c:f>Arkusz1!$C$1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11.2.1 - ZIT</c:v>
                </c:pt>
                <c:pt idx="1">
                  <c:v>11.2.2 - RIT</c:v>
                </c:pt>
                <c:pt idx="2">
                  <c:v>11.2.3 - konkursowe</c:v>
                </c:pt>
              </c:strCache>
            </c:strRef>
          </c:cat>
          <c:val>
            <c:numRef>
              <c:f>Arkusz1!$C$2:$C$4</c:f>
              <c:numCache>
                <c:formatCode>General</c:formatCode>
                <c:ptCount val="3"/>
                <c:pt idx="0" formatCode="0.0%">
                  <c:v>0.16666666666666666</c:v>
                </c:pt>
              </c:numCache>
            </c:numRef>
          </c:val>
          <c:extLst>
            <c:ext xmlns:c16="http://schemas.microsoft.com/office/drawing/2014/chart" uri="{C3380CC4-5D6E-409C-BE32-E72D297353CC}">
              <c16:uniqueId val="{00000001-92FF-4F3F-98E3-2B6578A7D1E9}"/>
            </c:ext>
          </c:extLst>
        </c:ser>
        <c:ser>
          <c:idx val="2"/>
          <c:order val="2"/>
          <c:tx>
            <c:strRef>
              <c:f>Arkusz1!$D$1</c:f>
              <c:strCache>
                <c:ptCount val="1"/>
                <c:pt idx="0">
                  <c:v>5</c:v>
                </c:pt>
              </c:strCache>
            </c:strRef>
          </c:tx>
          <c:invertIfNegative val="0"/>
          <c:dLbls>
            <c:dLbl>
              <c:idx val="0"/>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FF-4F3F-98E3-2B6578A7D1E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11.2.1 - ZIT</c:v>
                </c:pt>
                <c:pt idx="1">
                  <c:v>11.2.2 - RIT</c:v>
                </c:pt>
                <c:pt idx="2">
                  <c:v>11.2.3 - konkursowe</c:v>
                </c:pt>
              </c:strCache>
            </c:strRef>
          </c:cat>
          <c:val>
            <c:numRef>
              <c:f>Arkusz1!$D$2:$D$4</c:f>
              <c:numCache>
                <c:formatCode>0%</c:formatCode>
                <c:ptCount val="3"/>
                <c:pt idx="0" formatCode="0.0%">
                  <c:v>0.66666666666666663</c:v>
                </c:pt>
                <c:pt idx="1">
                  <c:v>1</c:v>
                </c:pt>
                <c:pt idx="2">
                  <c:v>1</c:v>
                </c:pt>
              </c:numCache>
            </c:numRef>
          </c:val>
          <c:extLst>
            <c:ext xmlns:c16="http://schemas.microsoft.com/office/drawing/2014/chart" uri="{C3380CC4-5D6E-409C-BE32-E72D297353CC}">
              <c16:uniqueId val="{00000003-92FF-4F3F-98E3-2B6578A7D1E9}"/>
            </c:ext>
          </c:extLst>
        </c:ser>
        <c:dLbls>
          <c:showLegendKey val="0"/>
          <c:showVal val="0"/>
          <c:showCatName val="0"/>
          <c:showSerName val="0"/>
          <c:showPercent val="0"/>
          <c:showBubbleSize val="0"/>
        </c:dLbls>
        <c:gapWidth val="150"/>
        <c:axId val="1905368352"/>
        <c:axId val="1905362368"/>
      </c:barChart>
      <c:catAx>
        <c:axId val="1905368352"/>
        <c:scaling>
          <c:orientation val="minMax"/>
        </c:scaling>
        <c:delete val="0"/>
        <c:axPos val="b"/>
        <c:numFmt formatCode="General" sourceLinked="0"/>
        <c:majorTickMark val="out"/>
        <c:minorTickMark val="none"/>
        <c:tickLblPos val="nextTo"/>
        <c:crossAx val="1905362368"/>
        <c:crosses val="autoZero"/>
        <c:auto val="1"/>
        <c:lblAlgn val="ctr"/>
        <c:lblOffset val="100"/>
        <c:noMultiLvlLbl val="0"/>
      </c:catAx>
      <c:valAx>
        <c:axId val="1905362368"/>
        <c:scaling>
          <c:orientation val="minMax"/>
        </c:scaling>
        <c:delete val="1"/>
        <c:axPos val="l"/>
        <c:majorGridlines/>
        <c:numFmt formatCode="0.0%" sourceLinked="1"/>
        <c:majorTickMark val="out"/>
        <c:minorTickMark val="none"/>
        <c:tickLblPos val="nextTo"/>
        <c:crossAx val="1905368352"/>
        <c:crosses val="autoZero"/>
        <c:crossBetween val="between"/>
      </c:valAx>
    </c:plotArea>
    <c:legend>
      <c:legendPos val="r"/>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11.4.1 - ZIT</c:v>
                </c:pt>
                <c:pt idx="1">
                  <c:v>11.4.2 - RIT</c:v>
                </c:pt>
                <c:pt idx="2">
                  <c:v>11.4.3 - konkursowe</c:v>
                </c:pt>
              </c:strCache>
            </c:strRef>
          </c:cat>
          <c:val>
            <c:numRef>
              <c:f>Arkusz1!$B$2:$B$4</c:f>
              <c:numCache>
                <c:formatCode>0%</c:formatCode>
                <c:ptCount val="3"/>
                <c:pt idx="1">
                  <c:v>1</c:v>
                </c:pt>
              </c:numCache>
            </c:numRef>
          </c:val>
          <c:extLst>
            <c:ext xmlns:c16="http://schemas.microsoft.com/office/drawing/2014/chart" uri="{C3380CC4-5D6E-409C-BE32-E72D297353CC}">
              <c16:uniqueId val="{00000000-074A-4518-9583-115491039EF9}"/>
            </c:ext>
          </c:extLst>
        </c:ser>
        <c:ser>
          <c:idx val="1"/>
          <c:order val="1"/>
          <c:tx>
            <c:strRef>
              <c:f>Arkusz1!$C$1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11.4.1 - ZIT</c:v>
                </c:pt>
                <c:pt idx="1">
                  <c:v>11.4.2 - RIT</c:v>
                </c:pt>
                <c:pt idx="2">
                  <c:v>11.4.3 - konkursowe</c:v>
                </c:pt>
              </c:strCache>
            </c:strRef>
          </c:cat>
          <c:val>
            <c:numRef>
              <c:f>Arkusz1!$C$2:$C$4</c:f>
              <c:numCache>
                <c:formatCode>General</c:formatCode>
                <c:ptCount val="3"/>
                <c:pt idx="0" formatCode="0%">
                  <c:v>0.5</c:v>
                </c:pt>
              </c:numCache>
            </c:numRef>
          </c:val>
          <c:extLst>
            <c:ext xmlns:c16="http://schemas.microsoft.com/office/drawing/2014/chart" uri="{C3380CC4-5D6E-409C-BE32-E72D297353CC}">
              <c16:uniqueId val="{00000001-074A-4518-9583-115491039EF9}"/>
            </c:ext>
          </c:extLst>
        </c:ser>
        <c:ser>
          <c:idx val="2"/>
          <c:order val="2"/>
          <c:tx>
            <c:strRef>
              <c:f>Arkusz1!$D$1</c:f>
              <c:strCache>
                <c:ptCount val="1"/>
                <c:pt idx="0">
                  <c:v>5</c:v>
                </c:pt>
              </c:strCache>
            </c:strRef>
          </c:tx>
          <c:invertIfNegative val="0"/>
          <c:dLbls>
            <c:dLbl>
              <c:idx val="0"/>
              <c:layout>
                <c:manualLayout>
                  <c:x val="-9.2592592592592587E-3"/>
                  <c:y val="6.4570431204343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4A-4518-9583-115491039EF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11.4.1 - ZIT</c:v>
                </c:pt>
                <c:pt idx="1">
                  <c:v>11.4.2 - RIT</c:v>
                </c:pt>
                <c:pt idx="2">
                  <c:v>11.4.3 - konkursowe</c:v>
                </c:pt>
              </c:strCache>
            </c:strRef>
          </c:cat>
          <c:val>
            <c:numRef>
              <c:f>Arkusz1!$D$2:$D$4</c:f>
              <c:numCache>
                <c:formatCode>General</c:formatCode>
                <c:ptCount val="3"/>
                <c:pt idx="0" formatCode="0%">
                  <c:v>0.5</c:v>
                </c:pt>
                <c:pt idx="2" formatCode="0%">
                  <c:v>1</c:v>
                </c:pt>
              </c:numCache>
            </c:numRef>
          </c:val>
          <c:extLst>
            <c:ext xmlns:c16="http://schemas.microsoft.com/office/drawing/2014/chart" uri="{C3380CC4-5D6E-409C-BE32-E72D297353CC}">
              <c16:uniqueId val="{00000003-074A-4518-9583-115491039EF9}"/>
            </c:ext>
          </c:extLst>
        </c:ser>
        <c:dLbls>
          <c:showLegendKey val="0"/>
          <c:showVal val="0"/>
          <c:showCatName val="0"/>
          <c:showSerName val="0"/>
          <c:showPercent val="0"/>
          <c:showBubbleSize val="0"/>
        </c:dLbls>
        <c:gapWidth val="150"/>
        <c:axId val="1905362912"/>
        <c:axId val="1905352576"/>
      </c:barChart>
      <c:catAx>
        <c:axId val="1905362912"/>
        <c:scaling>
          <c:orientation val="minMax"/>
        </c:scaling>
        <c:delete val="0"/>
        <c:axPos val="b"/>
        <c:numFmt formatCode="General" sourceLinked="0"/>
        <c:majorTickMark val="out"/>
        <c:minorTickMark val="none"/>
        <c:tickLblPos val="nextTo"/>
        <c:crossAx val="1905352576"/>
        <c:crosses val="autoZero"/>
        <c:auto val="1"/>
        <c:lblAlgn val="ctr"/>
        <c:lblOffset val="100"/>
        <c:noMultiLvlLbl val="0"/>
      </c:catAx>
      <c:valAx>
        <c:axId val="1905352576"/>
        <c:scaling>
          <c:orientation val="minMax"/>
        </c:scaling>
        <c:delete val="1"/>
        <c:axPos val="l"/>
        <c:majorGridlines/>
        <c:numFmt formatCode="0%" sourceLinked="1"/>
        <c:majorTickMark val="out"/>
        <c:minorTickMark val="none"/>
        <c:tickLblPos val="nextTo"/>
        <c:crossAx val="1905362912"/>
        <c:crosses val="autoZero"/>
        <c:crossBetween val="between"/>
      </c:valAx>
    </c:plotArea>
    <c:legend>
      <c:legendPos val="r"/>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Tak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11.1.1.</c:v>
                </c:pt>
                <c:pt idx="1">
                  <c:v>11.1.2.</c:v>
                </c:pt>
                <c:pt idx="2">
                  <c:v>11.1.3.</c:v>
                </c:pt>
              </c:strCache>
            </c:strRef>
          </c:cat>
          <c:val>
            <c:numRef>
              <c:f>Arkusz1!$B$2:$B$4</c:f>
              <c:numCache>
                <c:formatCode>0%</c:formatCode>
                <c:ptCount val="3"/>
                <c:pt idx="0" formatCode="0.0%">
                  <c:v>0.74199999999999999</c:v>
                </c:pt>
                <c:pt idx="1">
                  <c:v>1</c:v>
                </c:pt>
                <c:pt idx="2" formatCode="0.0%">
                  <c:v>0.86199999999999999</c:v>
                </c:pt>
              </c:numCache>
            </c:numRef>
          </c:val>
          <c:extLst>
            <c:ext xmlns:c16="http://schemas.microsoft.com/office/drawing/2014/chart" uri="{C3380CC4-5D6E-409C-BE32-E72D297353CC}">
              <c16:uniqueId val="{00000000-47BC-4CDE-B667-FCD1C5CDE81B}"/>
            </c:ext>
          </c:extLst>
        </c:ser>
        <c:dLbls>
          <c:showLegendKey val="0"/>
          <c:showVal val="0"/>
          <c:showCatName val="0"/>
          <c:showSerName val="0"/>
          <c:showPercent val="0"/>
          <c:showBubbleSize val="0"/>
        </c:dLbls>
        <c:gapWidth val="150"/>
        <c:axId val="1905359648"/>
        <c:axId val="1905366720"/>
      </c:barChart>
      <c:catAx>
        <c:axId val="1905359648"/>
        <c:scaling>
          <c:orientation val="minMax"/>
        </c:scaling>
        <c:delete val="0"/>
        <c:axPos val="b"/>
        <c:numFmt formatCode="General" sourceLinked="0"/>
        <c:majorTickMark val="out"/>
        <c:minorTickMark val="none"/>
        <c:tickLblPos val="nextTo"/>
        <c:crossAx val="1905366720"/>
        <c:crosses val="autoZero"/>
        <c:auto val="1"/>
        <c:lblAlgn val="ctr"/>
        <c:lblOffset val="100"/>
        <c:noMultiLvlLbl val="0"/>
      </c:catAx>
      <c:valAx>
        <c:axId val="1905366720"/>
        <c:scaling>
          <c:orientation val="minMax"/>
        </c:scaling>
        <c:delete val="1"/>
        <c:axPos val="l"/>
        <c:majorGridlines/>
        <c:numFmt formatCode="0.0%" sourceLinked="1"/>
        <c:majorTickMark val="out"/>
        <c:minorTickMark val="none"/>
        <c:tickLblPos val="nextTo"/>
        <c:crossAx val="1905359648"/>
        <c:crosses val="autoZero"/>
        <c:crossBetween val="between"/>
      </c:valAx>
    </c:plotArea>
    <c:legend>
      <c:legendPos val="r"/>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Tak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11.2.1.</c:v>
                </c:pt>
                <c:pt idx="1">
                  <c:v>11.2.2.</c:v>
                </c:pt>
                <c:pt idx="2">
                  <c:v>11.2.3.</c:v>
                </c:pt>
              </c:strCache>
            </c:strRef>
          </c:cat>
          <c:val>
            <c:numRef>
              <c:f>Arkusz1!$B$2:$B$4</c:f>
              <c:numCache>
                <c:formatCode>0%</c:formatCode>
                <c:ptCount val="3"/>
                <c:pt idx="0" formatCode="0.0%">
                  <c:v>0.66666666666666663</c:v>
                </c:pt>
                <c:pt idx="1">
                  <c:v>0.73299999999999998</c:v>
                </c:pt>
                <c:pt idx="2" formatCode="0.0%">
                  <c:v>0.8571428571428571</c:v>
                </c:pt>
              </c:numCache>
            </c:numRef>
          </c:val>
          <c:extLst>
            <c:ext xmlns:c16="http://schemas.microsoft.com/office/drawing/2014/chart" uri="{C3380CC4-5D6E-409C-BE32-E72D297353CC}">
              <c16:uniqueId val="{00000000-542D-4FE8-9B61-A07F0479F5A3}"/>
            </c:ext>
          </c:extLst>
        </c:ser>
        <c:dLbls>
          <c:showLegendKey val="0"/>
          <c:showVal val="0"/>
          <c:showCatName val="0"/>
          <c:showSerName val="0"/>
          <c:showPercent val="0"/>
          <c:showBubbleSize val="0"/>
        </c:dLbls>
        <c:gapWidth val="150"/>
        <c:axId val="1905364544"/>
        <c:axId val="1905367264"/>
      </c:barChart>
      <c:catAx>
        <c:axId val="1905364544"/>
        <c:scaling>
          <c:orientation val="minMax"/>
        </c:scaling>
        <c:delete val="0"/>
        <c:axPos val="b"/>
        <c:numFmt formatCode="General" sourceLinked="0"/>
        <c:majorTickMark val="out"/>
        <c:minorTickMark val="none"/>
        <c:tickLblPos val="nextTo"/>
        <c:crossAx val="1905367264"/>
        <c:crosses val="autoZero"/>
        <c:auto val="1"/>
        <c:lblAlgn val="ctr"/>
        <c:lblOffset val="100"/>
        <c:noMultiLvlLbl val="0"/>
      </c:catAx>
      <c:valAx>
        <c:axId val="1905367264"/>
        <c:scaling>
          <c:orientation val="minMax"/>
        </c:scaling>
        <c:delete val="1"/>
        <c:axPos val="l"/>
        <c:majorGridlines/>
        <c:numFmt formatCode="0.0%" sourceLinked="1"/>
        <c:majorTickMark val="out"/>
        <c:minorTickMark val="none"/>
        <c:tickLblPos val="nextTo"/>
        <c:crossAx val="1905364544"/>
        <c:crosses val="autoZero"/>
        <c:crossBetween val="between"/>
      </c:valAx>
    </c:plotArea>
    <c:legend>
      <c:legendPos val="r"/>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Tak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11.4.1.</c:v>
                </c:pt>
                <c:pt idx="1">
                  <c:v>11.4.2.</c:v>
                </c:pt>
                <c:pt idx="2">
                  <c:v>11.2.3.</c:v>
                </c:pt>
              </c:strCache>
            </c:strRef>
          </c:cat>
          <c:val>
            <c:numRef>
              <c:f>Arkusz1!$B$2:$B$4</c:f>
              <c:numCache>
                <c:formatCode>0%</c:formatCode>
                <c:ptCount val="3"/>
                <c:pt idx="0" formatCode="0.0%">
                  <c:v>0.6</c:v>
                </c:pt>
                <c:pt idx="1">
                  <c:v>0.33300000000000002</c:v>
                </c:pt>
                <c:pt idx="2" formatCode="0.0%">
                  <c:v>0.8571428571428571</c:v>
                </c:pt>
              </c:numCache>
            </c:numRef>
          </c:val>
          <c:extLst>
            <c:ext xmlns:c16="http://schemas.microsoft.com/office/drawing/2014/chart" uri="{C3380CC4-5D6E-409C-BE32-E72D297353CC}">
              <c16:uniqueId val="{00000000-78F5-4AE5-9A72-C1619EAB01BD}"/>
            </c:ext>
          </c:extLst>
        </c:ser>
        <c:dLbls>
          <c:showLegendKey val="0"/>
          <c:showVal val="0"/>
          <c:showCatName val="0"/>
          <c:showSerName val="0"/>
          <c:showPercent val="0"/>
          <c:showBubbleSize val="0"/>
        </c:dLbls>
        <c:gapWidth val="150"/>
        <c:axId val="1905353120"/>
        <c:axId val="1905358560"/>
      </c:barChart>
      <c:catAx>
        <c:axId val="1905353120"/>
        <c:scaling>
          <c:orientation val="minMax"/>
        </c:scaling>
        <c:delete val="0"/>
        <c:axPos val="b"/>
        <c:numFmt formatCode="General" sourceLinked="0"/>
        <c:majorTickMark val="out"/>
        <c:minorTickMark val="none"/>
        <c:tickLblPos val="nextTo"/>
        <c:crossAx val="1905358560"/>
        <c:crosses val="autoZero"/>
        <c:auto val="1"/>
        <c:lblAlgn val="ctr"/>
        <c:lblOffset val="100"/>
        <c:noMultiLvlLbl val="0"/>
      </c:catAx>
      <c:valAx>
        <c:axId val="1905358560"/>
        <c:scaling>
          <c:orientation val="minMax"/>
        </c:scaling>
        <c:delete val="1"/>
        <c:axPos val="l"/>
        <c:majorGridlines/>
        <c:numFmt formatCode="0.0%" sourceLinked="1"/>
        <c:majorTickMark val="out"/>
        <c:minorTickMark val="none"/>
        <c:tickLblPos val="nextTo"/>
        <c:crossAx val="1905353120"/>
        <c:crosses val="autoZero"/>
        <c:crossBetween val="between"/>
      </c:valAx>
    </c:plotArea>
    <c:legend>
      <c:legendPos val="r"/>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Rozwój umiejętności praktycznych</c:v>
                </c:pt>
                <c:pt idx="1">
                  <c:v>Podniesienie kompetencji kluczowych niezbędnych na rynku pracy</c:v>
                </c:pt>
                <c:pt idx="2">
                  <c:v>Pogłębienie wiedzy w zakresie nauk matematyczno-przyrodniczych, językowych, informatycznych</c:v>
                </c:pt>
              </c:strCache>
            </c:strRef>
          </c:cat>
          <c:val>
            <c:numRef>
              <c:f>Arkusz1!$B$2:$B$4</c:f>
              <c:numCache>
                <c:formatCode>0.0%</c:formatCode>
                <c:ptCount val="3"/>
                <c:pt idx="0">
                  <c:v>0.31746031746031744</c:v>
                </c:pt>
                <c:pt idx="1">
                  <c:v>0.44444444444444442</c:v>
                </c:pt>
                <c:pt idx="2">
                  <c:v>0.82539682539682535</c:v>
                </c:pt>
              </c:numCache>
            </c:numRef>
          </c:val>
          <c:extLst>
            <c:ext xmlns:c16="http://schemas.microsoft.com/office/drawing/2014/chart" uri="{C3380CC4-5D6E-409C-BE32-E72D297353CC}">
              <c16:uniqueId val="{00000000-5FCB-4D3C-BF25-EA7B189F60ED}"/>
            </c:ext>
          </c:extLst>
        </c:ser>
        <c:dLbls>
          <c:showLegendKey val="0"/>
          <c:showVal val="0"/>
          <c:showCatName val="0"/>
          <c:showSerName val="0"/>
          <c:showPercent val="0"/>
          <c:showBubbleSize val="0"/>
        </c:dLbls>
        <c:gapWidth val="150"/>
        <c:axId val="1905369984"/>
        <c:axId val="1905368896"/>
      </c:barChart>
      <c:catAx>
        <c:axId val="190536998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68896"/>
        <c:crosses val="autoZero"/>
        <c:auto val="1"/>
        <c:lblAlgn val="ctr"/>
        <c:lblOffset val="100"/>
        <c:noMultiLvlLbl val="0"/>
      </c:catAx>
      <c:valAx>
        <c:axId val="1905368896"/>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6998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Możliwość zdobycia kompetencji kluczowych niezbędnych na rynku pracy</c:v>
                </c:pt>
                <c:pt idx="1">
                  <c:v>Wyróżnienie oraz prestiż</c:v>
                </c:pt>
                <c:pt idx="2">
                  <c:v>Indywidualna opieka nauczyciela</c:v>
                </c:pt>
                <c:pt idx="3">
                  <c:v>Dążenie do osiągnięcia wyznaczonych celów edukacyjnych</c:v>
                </c:pt>
                <c:pt idx="4">
                  <c:v>Możliwość otrzymania pomocy finansowej</c:v>
                </c:pt>
                <c:pt idx="5">
                  <c:v>Podniesie kompetencji w zakresie nauk matematyczno-przyrodniczych, językowych, informatycznych</c:v>
                </c:pt>
                <c:pt idx="6">
                  <c:v>Możliwość rozwoju zainteresowań</c:v>
                </c:pt>
              </c:strCache>
            </c:strRef>
          </c:cat>
          <c:val>
            <c:numRef>
              <c:f>Arkusz1!$B$2:$B$8</c:f>
              <c:numCache>
                <c:formatCode>0.0%</c:formatCode>
                <c:ptCount val="7"/>
                <c:pt idx="0">
                  <c:v>0.26984126984126983</c:v>
                </c:pt>
                <c:pt idx="1">
                  <c:v>0.42857142857142855</c:v>
                </c:pt>
                <c:pt idx="2">
                  <c:v>0.42857142857142855</c:v>
                </c:pt>
                <c:pt idx="3">
                  <c:v>0.47619047619047616</c:v>
                </c:pt>
                <c:pt idx="4">
                  <c:v>0.53968253968253965</c:v>
                </c:pt>
                <c:pt idx="5">
                  <c:v>0.65079365079365081</c:v>
                </c:pt>
                <c:pt idx="6">
                  <c:v>0.77777777777777779</c:v>
                </c:pt>
              </c:numCache>
            </c:numRef>
          </c:val>
          <c:extLst>
            <c:ext xmlns:c16="http://schemas.microsoft.com/office/drawing/2014/chart" uri="{C3380CC4-5D6E-409C-BE32-E72D297353CC}">
              <c16:uniqueId val="{00000000-5FCB-4D3C-BF25-EA7B189F60ED}"/>
            </c:ext>
          </c:extLst>
        </c:ser>
        <c:dLbls>
          <c:showLegendKey val="0"/>
          <c:showVal val="0"/>
          <c:showCatName val="0"/>
          <c:showSerName val="0"/>
          <c:showPercent val="0"/>
          <c:showBubbleSize val="0"/>
        </c:dLbls>
        <c:gapWidth val="150"/>
        <c:axId val="1905339520"/>
        <c:axId val="1905366176"/>
      </c:barChart>
      <c:catAx>
        <c:axId val="190533952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66176"/>
        <c:crosses val="autoZero"/>
        <c:auto val="1"/>
        <c:lblAlgn val="ctr"/>
        <c:lblOffset val="100"/>
        <c:noMultiLvlLbl val="0"/>
      </c:catAx>
      <c:valAx>
        <c:axId val="1905366176"/>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3952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Zmianę sposobu nauczania wobec uczniów, którzy nie uczestniczyli w projekcie</c:v>
                </c:pt>
                <c:pt idx="1">
                  <c:v>Podniesienie wiedzy i kompetencji nauczycieli (opiekunów dydaktycznych)</c:v>
                </c:pt>
                <c:pt idx="2">
                  <c:v>Zwiększenie zaangażowania w pracę na rzecz uczniów uzdolnionych</c:v>
                </c:pt>
              </c:strCache>
            </c:strRef>
          </c:cat>
          <c:val>
            <c:numRef>
              <c:f>Arkusz1!$B$2:$B$4</c:f>
              <c:numCache>
                <c:formatCode>0.0%</c:formatCode>
                <c:ptCount val="3"/>
                <c:pt idx="0">
                  <c:v>0.19047619047619047</c:v>
                </c:pt>
                <c:pt idx="1">
                  <c:v>0.50793650793650791</c:v>
                </c:pt>
                <c:pt idx="2">
                  <c:v>0.7142857142857143</c:v>
                </c:pt>
              </c:numCache>
            </c:numRef>
          </c:val>
          <c:extLst>
            <c:ext xmlns:c16="http://schemas.microsoft.com/office/drawing/2014/chart" uri="{C3380CC4-5D6E-409C-BE32-E72D297353CC}">
              <c16:uniqueId val="{00000000-5FCB-4D3C-BF25-EA7B189F60ED}"/>
            </c:ext>
          </c:extLst>
        </c:ser>
        <c:dLbls>
          <c:showLegendKey val="0"/>
          <c:showVal val="0"/>
          <c:showCatName val="0"/>
          <c:showSerName val="0"/>
          <c:showPercent val="0"/>
          <c:showBubbleSize val="0"/>
        </c:dLbls>
        <c:gapWidth val="150"/>
        <c:axId val="1905369440"/>
        <c:axId val="1905365632"/>
      </c:barChart>
      <c:catAx>
        <c:axId val="190536944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65632"/>
        <c:crosses val="autoZero"/>
        <c:auto val="1"/>
        <c:lblAlgn val="ctr"/>
        <c:lblOffset val="100"/>
        <c:noMultiLvlLbl val="0"/>
      </c:catAx>
      <c:valAx>
        <c:axId val="1905365632"/>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6944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'dobre praktyki'!$A$7:$A$11</c:f>
              <c:strCache>
                <c:ptCount val="5"/>
                <c:pt idx="0">
                  <c:v>Z innego źródła</c:v>
                </c:pt>
                <c:pt idx="1">
                  <c:v>Konsultowaliśmy się z pracownikami instytucji, która organizowała konkurs</c:v>
                </c:pt>
                <c:pt idx="2">
                  <c:v>Analizowaliśmy, w jaki sposób inne podmioty realizują projekty</c:v>
                </c:pt>
                <c:pt idx="3">
                  <c:v>Analizowaliśmy bazy dobrych praktyk</c:v>
                </c:pt>
                <c:pt idx="4">
                  <c:v>Był to nasz pomysł</c:v>
                </c:pt>
              </c:strCache>
            </c:strRef>
          </c:cat>
          <c:val>
            <c:numRef>
              <c:f>'dobre praktyki'!$B$7:$B$11</c:f>
              <c:numCache>
                <c:formatCode>0.0%</c:formatCode>
                <c:ptCount val="5"/>
                <c:pt idx="0">
                  <c:v>0.05</c:v>
                </c:pt>
                <c:pt idx="1">
                  <c:v>0.1</c:v>
                </c:pt>
                <c:pt idx="2">
                  <c:v>0.2</c:v>
                </c:pt>
                <c:pt idx="3">
                  <c:v>0.3</c:v>
                </c:pt>
                <c:pt idx="4">
                  <c:v>0.8</c:v>
                </c:pt>
              </c:numCache>
            </c:numRef>
          </c:val>
          <c:extLst>
            <c:ext xmlns:c16="http://schemas.microsoft.com/office/drawing/2014/chart" uri="{C3380CC4-5D6E-409C-BE32-E72D297353CC}">
              <c16:uniqueId val="{00000000-8424-47B9-8A42-34D76150342C}"/>
            </c:ext>
          </c:extLst>
        </c:ser>
        <c:dLbls>
          <c:dLblPos val="outEnd"/>
          <c:showLegendKey val="0"/>
          <c:showVal val="1"/>
          <c:showCatName val="0"/>
          <c:showSerName val="0"/>
          <c:showPercent val="0"/>
          <c:showBubbleSize val="0"/>
        </c:dLbls>
        <c:gapWidth val="150"/>
        <c:axId val="1905354752"/>
        <c:axId val="1905372160"/>
      </c:barChart>
      <c:catAx>
        <c:axId val="1905354752"/>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72160"/>
        <c:crosses val="autoZero"/>
        <c:auto val="1"/>
        <c:lblAlgn val="ctr"/>
        <c:lblOffset val="100"/>
        <c:noMultiLvlLbl val="0"/>
      </c:catAx>
      <c:valAx>
        <c:axId val="1905372160"/>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05354752"/>
        <c:crosses val="autoZero"/>
        <c:crossBetween val="between"/>
        <c:minorUnit val="0.2"/>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7755957657610675"/>
          <c:y val="7.5508098073106711E-2"/>
          <c:w val="0.26828092680467924"/>
          <c:h val="0.79044721848793287"/>
        </c:manualLayout>
      </c:layout>
      <c:pieChart>
        <c:varyColors val="1"/>
        <c:ser>
          <c:idx val="0"/>
          <c:order val="0"/>
          <c:tx>
            <c:strRef>
              <c:f>Arkusz1!$B$1</c:f>
              <c:strCache>
                <c:ptCount val="1"/>
                <c:pt idx="0">
                  <c:v>Sprzedaż</c:v>
                </c:pt>
              </c:strCache>
            </c:strRef>
          </c:tx>
          <c:dPt>
            <c:idx val="0"/>
            <c:bubble3D val="0"/>
            <c:spPr>
              <a:solidFill>
                <a:schemeClr val="accent6">
                  <a:tint val="58000"/>
                </a:schemeClr>
              </a:solidFill>
              <a:ln>
                <a:noFill/>
              </a:ln>
              <a:effectLst/>
            </c:spPr>
            <c:extLst>
              <c:ext xmlns:c16="http://schemas.microsoft.com/office/drawing/2014/chart" uri="{C3380CC4-5D6E-409C-BE32-E72D297353CC}">
                <c16:uniqueId val="{00000001-263A-45ED-8DBC-7C084DA805BA}"/>
              </c:ext>
            </c:extLst>
          </c:dPt>
          <c:dPt>
            <c:idx val="1"/>
            <c:bubble3D val="0"/>
            <c:spPr>
              <a:solidFill>
                <a:schemeClr val="accent6">
                  <a:tint val="86000"/>
                </a:schemeClr>
              </a:solidFill>
              <a:ln>
                <a:noFill/>
              </a:ln>
              <a:effectLst/>
            </c:spPr>
            <c:extLst>
              <c:ext xmlns:c16="http://schemas.microsoft.com/office/drawing/2014/chart" uri="{C3380CC4-5D6E-409C-BE32-E72D297353CC}">
                <c16:uniqueId val="{00000003-263A-45ED-8DBC-7C084DA805BA}"/>
              </c:ext>
            </c:extLst>
          </c:dPt>
          <c:dPt>
            <c:idx val="2"/>
            <c:bubble3D val="0"/>
            <c:spPr>
              <a:solidFill>
                <a:schemeClr val="accent6">
                  <a:shade val="86000"/>
                </a:schemeClr>
              </a:solidFill>
              <a:ln>
                <a:noFill/>
              </a:ln>
              <a:effectLst/>
            </c:spPr>
            <c:extLst>
              <c:ext xmlns:c16="http://schemas.microsoft.com/office/drawing/2014/chart" uri="{C3380CC4-5D6E-409C-BE32-E72D297353CC}">
                <c16:uniqueId val="{00000005-263A-45ED-8DBC-7C084DA805BA}"/>
              </c:ext>
            </c:extLst>
          </c:dPt>
          <c:dPt>
            <c:idx val="3"/>
            <c:bubble3D val="0"/>
            <c:spPr>
              <a:solidFill>
                <a:schemeClr val="accent6">
                  <a:shade val="58000"/>
                </a:schemeClr>
              </a:solidFill>
              <a:ln>
                <a:noFill/>
              </a:ln>
              <a:effectLst/>
            </c:spPr>
            <c:extLst>
              <c:ext xmlns:c16="http://schemas.microsoft.com/office/drawing/2014/chart" uri="{C3380CC4-5D6E-409C-BE32-E72D297353CC}">
                <c16:uniqueId val="{00000007-263A-45ED-8DBC-7C084DA805B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Arkusz1!$A$2:$A$5</c:f>
              <c:strCache>
                <c:ptCount val="4"/>
                <c:pt idx="0">
                  <c:v>centralny</c:v>
                </c:pt>
                <c:pt idx="1">
                  <c:v>północny</c:v>
                </c:pt>
                <c:pt idx="2">
                  <c:v>południowy</c:v>
                </c:pt>
                <c:pt idx="3">
                  <c:v>zachodni</c:v>
                </c:pt>
              </c:strCache>
            </c:strRef>
          </c:cat>
          <c:val>
            <c:numRef>
              <c:f>Arkusz1!$B$2:$B$5</c:f>
              <c:numCache>
                <c:formatCode>0.0%</c:formatCode>
                <c:ptCount val="4"/>
                <c:pt idx="0">
                  <c:v>0.20209059233449478</c:v>
                </c:pt>
                <c:pt idx="1">
                  <c:v>0.20353982300884957</c:v>
                </c:pt>
                <c:pt idx="2">
                  <c:v>0.18656716417910449</c:v>
                </c:pt>
                <c:pt idx="3">
                  <c:v>0.21481481481481482</c:v>
                </c:pt>
              </c:numCache>
            </c:numRef>
          </c:val>
          <c:extLst>
            <c:ext xmlns:c16="http://schemas.microsoft.com/office/drawing/2014/chart" uri="{C3380CC4-5D6E-409C-BE32-E72D297353CC}">
              <c16:uniqueId val="{00000008-263A-45ED-8DBC-7C084DA805B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Arkusz1!$B$1</c:f>
              <c:strCache>
                <c:ptCount val="1"/>
                <c:pt idx="0">
                  <c:v>12.1</c:v>
                </c:pt>
              </c:strCache>
            </c:strRef>
          </c:tx>
          <c:spPr>
            <a:solidFill>
              <a:schemeClr val="accent6">
                <a:shade val="6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1D7-4AC7-A97B-555B27C82026}"/>
                </c:ext>
              </c:extLst>
            </c:dLbl>
            <c:dLbl>
              <c:idx val="1"/>
              <c:delete val="1"/>
              <c:extLst>
                <c:ext xmlns:c15="http://schemas.microsoft.com/office/drawing/2012/chart" uri="{CE6537A1-D6FC-4f65-9D91-7224C49458BB}"/>
                <c:ext xmlns:c16="http://schemas.microsoft.com/office/drawing/2014/chart" uri="{C3380CC4-5D6E-409C-BE32-E72D297353CC}">
                  <c16:uniqueId val="{00000001-F1D7-4AC7-A97B-555B27C82026}"/>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Nie zauważamy takich czynników</c:v>
                </c:pt>
                <c:pt idx="1">
                  <c:v>Inne czynniki</c:v>
                </c:pt>
                <c:pt idx="2">
                  <c:v>Brak konkurencyjnych projektów</c:v>
                </c:pt>
                <c:pt idx="3">
                  <c:v>Zmiany demograficzne – wzrost liczby dzieci w wieku przedszkolnym</c:v>
                </c:pt>
                <c:pt idx="4">
                  <c:v>Atrakcyjne formy wsparcia oferowane w projekcie</c:v>
                </c:pt>
                <c:pt idx="5">
                  <c:v>Duże zapotrzebowanie na usługi wychowania przedszkolnego</c:v>
                </c:pt>
                <c:pt idx="6">
                  <c:v>Bieżąca współpraca z opiekunem projektu po stronie instytucji organizującej konkurs</c:v>
                </c:pt>
                <c:pt idx="7">
                  <c:v>Pomoc ze strony pracowników instytucji organizującej konkurs w rozliczeniu projektu</c:v>
                </c:pt>
                <c:pt idx="8">
                  <c:v> Posiadanie kadry mającej doświadczenie w realizacji i rozliczaniu projektów ze środków UE</c:v>
                </c:pt>
              </c:strCache>
            </c:strRef>
          </c:cat>
          <c:val>
            <c:numRef>
              <c:f>Arkusz1!$B$2:$B$10</c:f>
              <c:numCache>
                <c:formatCode>0.0%</c:formatCode>
                <c:ptCount val="9"/>
                <c:pt idx="0">
                  <c:v>0</c:v>
                </c:pt>
                <c:pt idx="1">
                  <c:v>5.3571428571428568E-2</c:v>
                </c:pt>
                <c:pt idx="3">
                  <c:v>0.32142857142857145</c:v>
                </c:pt>
                <c:pt idx="5">
                  <c:v>0.875</c:v>
                </c:pt>
                <c:pt idx="6">
                  <c:v>0.5714285714285714</c:v>
                </c:pt>
                <c:pt idx="7">
                  <c:v>0.48214285714285715</c:v>
                </c:pt>
                <c:pt idx="8">
                  <c:v>0.8392857142857143</c:v>
                </c:pt>
              </c:numCache>
            </c:numRef>
          </c:val>
          <c:extLst>
            <c:ext xmlns:c16="http://schemas.microsoft.com/office/drawing/2014/chart" uri="{C3380CC4-5D6E-409C-BE32-E72D297353CC}">
              <c16:uniqueId val="{00000002-F1D7-4AC7-A97B-555B27C82026}"/>
            </c:ext>
          </c:extLst>
        </c:ser>
        <c:ser>
          <c:idx val="1"/>
          <c:order val="1"/>
          <c:tx>
            <c:strRef>
              <c:f>Arkusz1!$C$1</c:f>
              <c:strCache>
                <c:ptCount val="1"/>
                <c:pt idx="0">
                  <c:v>11.1.1-11.1.3</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F1D7-4AC7-A97B-555B27C82026}"/>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Nie zauważamy takich czynników</c:v>
                </c:pt>
                <c:pt idx="1">
                  <c:v>Inne czynniki</c:v>
                </c:pt>
                <c:pt idx="2">
                  <c:v>Brak konkurencyjnych projektów</c:v>
                </c:pt>
                <c:pt idx="3">
                  <c:v>Zmiany demograficzne – wzrost liczby dzieci w wieku przedszkolnym</c:v>
                </c:pt>
                <c:pt idx="4">
                  <c:v>Atrakcyjne formy wsparcia oferowane w projekcie</c:v>
                </c:pt>
                <c:pt idx="5">
                  <c:v>Duże zapotrzebowanie na usługi wychowania przedszkolnego</c:v>
                </c:pt>
                <c:pt idx="6">
                  <c:v>Bieżąca współpraca z opiekunem projektu po stronie instytucji organizującej konkurs</c:v>
                </c:pt>
                <c:pt idx="7">
                  <c:v>Pomoc ze strony pracowników instytucji organizującej konkurs w rozliczeniu projektu</c:v>
                </c:pt>
                <c:pt idx="8">
                  <c:v> Posiadanie kadry mającej doświadczenie w realizacji i rozliczaniu projektów ze środków UE</c:v>
                </c:pt>
              </c:strCache>
            </c:strRef>
          </c:cat>
          <c:val>
            <c:numRef>
              <c:f>Arkusz1!$C$2:$C$10</c:f>
              <c:numCache>
                <c:formatCode>0.0%</c:formatCode>
                <c:ptCount val="9"/>
                <c:pt idx="0">
                  <c:v>8.771929824561403E-3</c:v>
                </c:pt>
                <c:pt idx="1">
                  <c:v>2.6315789473684209E-2</c:v>
                </c:pt>
                <c:pt idx="3">
                  <c:v>0.34210526315789475</c:v>
                </c:pt>
                <c:pt idx="5">
                  <c:v>0.74561403508771928</c:v>
                </c:pt>
                <c:pt idx="6">
                  <c:v>0.46491228070175439</c:v>
                </c:pt>
                <c:pt idx="7">
                  <c:v>0.32456140350877194</c:v>
                </c:pt>
                <c:pt idx="8">
                  <c:v>0.56140350877192979</c:v>
                </c:pt>
              </c:numCache>
            </c:numRef>
          </c:val>
          <c:extLst>
            <c:ext xmlns:c16="http://schemas.microsoft.com/office/drawing/2014/chart" uri="{C3380CC4-5D6E-409C-BE32-E72D297353CC}">
              <c16:uniqueId val="{00000004-F1D7-4AC7-A97B-555B27C82026}"/>
            </c:ext>
          </c:extLst>
        </c:ser>
        <c:dLbls>
          <c:showLegendKey val="0"/>
          <c:showVal val="0"/>
          <c:showCatName val="0"/>
          <c:showSerName val="0"/>
          <c:showPercent val="0"/>
          <c:showBubbleSize val="0"/>
        </c:dLbls>
        <c:gapWidth val="182"/>
        <c:axId val="1970594640"/>
        <c:axId val="1970623472"/>
      </c:barChart>
      <c:catAx>
        <c:axId val="1970594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970623472"/>
        <c:crosses val="autoZero"/>
        <c:auto val="1"/>
        <c:lblAlgn val="ctr"/>
        <c:lblOffset val="100"/>
        <c:noMultiLvlLbl val="0"/>
      </c:catAx>
      <c:valAx>
        <c:axId val="19706234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pl-PL"/>
          </a:p>
        </c:txPr>
        <c:crossAx val="1970594640"/>
        <c:crosses val="autoZero"/>
        <c:crossBetween val="between"/>
        <c:minorUnit val="0.2"/>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pl-P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barChart>
        <c:barDir val="col"/>
        <c:grouping val="clustered"/>
        <c:varyColors val="0"/>
        <c:ser>
          <c:idx val="0"/>
          <c:order val="0"/>
          <c:tx>
            <c:strRef>
              <c:f>[WYCH_2800_XTAB_20200102142301.xlsx]TABLICA!$G$13</c:f>
              <c:strCache>
                <c:ptCount val="1"/>
                <c:pt idx="0">
                  <c:v>ŚLĄSKIE</c:v>
                </c:pt>
              </c:strCache>
            </c:strRef>
          </c:tx>
          <c:invertIfNegative val="0"/>
          <c:dLbls>
            <c:dLbl>
              <c:idx val="0"/>
              <c:layout>
                <c:manualLayout>
                  <c:x val="0"/>
                  <c:y val="-3.0241935483870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44-4A3A-BE52-3CCDEFE5465F}"/>
                </c:ext>
              </c:extLst>
            </c:dLbl>
            <c:dLbl>
              <c:idx val="4"/>
              <c:layout>
                <c:manualLayout>
                  <c:x val="2.2039255906130123E-3"/>
                  <c:y val="1.0083714681690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44-4A3A-BE52-3CCDEFE5465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[WYCH_2800_XTAB_20200102142301.xlsx]TABLICA!$H$12:$L$12</c:f>
              <c:numCache>
                <c:formatCode>General</c:formatCode>
                <c:ptCount val="5"/>
                <c:pt idx="0">
                  <c:v>2014</c:v>
                </c:pt>
                <c:pt idx="1">
                  <c:v>2015</c:v>
                </c:pt>
                <c:pt idx="2">
                  <c:v>2016</c:v>
                </c:pt>
                <c:pt idx="3">
                  <c:v>2017</c:v>
                </c:pt>
                <c:pt idx="4">
                  <c:v>2018</c:v>
                </c:pt>
              </c:numCache>
            </c:numRef>
          </c:cat>
          <c:val>
            <c:numRef>
              <c:f>[WYCH_2800_XTAB_20200102142301.xlsx]TABLICA!$H$13:$L$13</c:f>
              <c:numCache>
                <c:formatCode>#,##0</c:formatCode>
                <c:ptCount val="5"/>
                <c:pt idx="0">
                  <c:v>6847</c:v>
                </c:pt>
                <c:pt idx="1">
                  <c:v>6541</c:v>
                </c:pt>
                <c:pt idx="2">
                  <c:v>7208</c:v>
                </c:pt>
                <c:pt idx="3">
                  <c:v>7539</c:v>
                </c:pt>
                <c:pt idx="4">
                  <c:v>7740</c:v>
                </c:pt>
              </c:numCache>
            </c:numRef>
          </c:val>
          <c:extLst>
            <c:ext xmlns:c16="http://schemas.microsoft.com/office/drawing/2014/chart" uri="{C3380CC4-5D6E-409C-BE32-E72D297353CC}">
              <c16:uniqueId val="{00000002-4844-4A3A-BE52-3CCDEFE5465F}"/>
            </c:ext>
          </c:extLst>
        </c:ser>
        <c:dLbls>
          <c:showLegendKey val="0"/>
          <c:showVal val="0"/>
          <c:showCatName val="0"/>
          <c:showSerName val="0"/>
          <c:showPercent val="0"/>
          <c:showBubbleSize val="0"/>
        </c:dLbls>
        <c:gapWidth val="150"/>
        <c:axId val="1905341696"/>
        <c:axId val="1905363456"/>
      </c:barChart>
      <c:catAx>
        <c:axId val="1905341696"/>
        <c:scaling>
          <c:orientation val="minMax"/>
        </c:scaling>
        <c:delete val="0"/>
        <c:axPos val="b"/>
        <c:numFmt formatCode="General" sourceLinked="1"/>
        <c:majorTickMark val="out"/>
        <c:minorTickMark val="none"/>
        <c:tickLblPos val="nextTo"/>
        <c:crossAx val="1905363456"/>
        <c:crosses val="autoZero"/>
        <c:auto val="1"/>
        <c:lblAlgn val="ctr"/>
        <c:lblOffset val="100"/>
        <c:noMultiLvlLbl val="0"/>
      </c:catAx>
      <c:valAx>
        <c:axId val="1905363456"/>
        <c:scaling>
          <c:orientation val="minMax"/>
          <c:min val="5000"/>
        </c:scaling>
        <c:delete val="0"/>
        <c:axPos val="l"/>
        <c:majorGridlines/>
        <c:numFmt formatCode="#,##0" sourceLinked="1"/>
        <c:majorTickMark val="out"/>
        <c:minorTickMark val="none"/>
        <c:tickLblPos val="nextTo"/>
        <c:crossAx val="1905341696"/>
        <c:crosses val="autoZero"/>
        <c:crossBetween val="between"/>
      </c:val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barChart>
        <c:barDir val="col"/>
        <c:grouping val="clustered"/>
        <c:varyColors val="0"/>
        <c:ser>
          <c:idx val="0"/>
          <c:order val="0"/>
          <c:tx>
            <c:strRef>
              <c:f>[SZKO_3193_XTAB_20200102134722.xlsx]TABLICA!$H$12</c:f>
              <c:strCache>
                <c:ptCount val="1"/>
                <c:pt idx="0">
                  <c:v>POLSKA</c:v>
                </c:pt>
              </c:strCache>
            </c:strRef>
          </c:tx>
          <c:invertIfNegative val="0"/>
          <c:dLbls>
            <c:dLbl>
              <c:idx val="0"/>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17-4C2B-AF09-293BC8F2A385}"/>
                </c:ext>
              </c:extLst>
            </c:dLbl>
            <c:dLbl>
              <c:idx val="1"/>
              <c:tx>
                <c:rich>
                  <a:bodyPr/>
                  <a:lstStyle/>
                  <a:p>
                    <a:r>
                      <a:rPr lang="en-US"/>
                      <a:t>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17-4C2B-AF09-293BC8F2A385}"/>
                </c:ext>
              </c:extLst>
            </c:dLbl>
            <c:dLbl>
              <c:idx val="2"/>
              <c:tx>
                <c:rich>
                  <a:bodyPr/>
                  <a:lstStyle/>
                  <a:p>
                    <a:r>
                      <a:rPr lang="en-US"/>
                      <a:t>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17-4C2B-AF09-293BC8F2A385}"/>
                </c:ext>
              </c:extLst>
            </c:dLbl>
            <c:dLbl>
              <c:idx val="3"/>
              <c:tx>
                <c:rich>
                  <a:bodyPr/>
                  <a:lstStyle/>
                  <a:p>
                    <a:r>
                      <a:rPr lang="en-US"/>
                      <a:t>78,5%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17-4C2B-AF09-293BC8F2A385}"/>
                </c:ext>
              </c:extLst>
            </c:dLbl>
            <c:dLbl>
              <c:idx val="4"/>
              <c:tx>
                <c:rich>
                  <a:bodyPr/>
                  <a:lstStyle/>
                  <a:p>
                    <a:r>
                      <a:rPr lang="en-US"/>
                      <a:t>79,7%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17-4C2B-AF09-293BC8F2A3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[SZKO_3193_XTAB_20200102134722.xlsx]TABLICA!$I$11:$M$11</c:f>
              <c:numCache>
                <c:formatCode>General</c:formatCode>
                <c:ptCount val="5"/>
                <c:pt idx="0">
                  <c:v>2014</c:v>
                </c:pt>
                <c:pt idx="1">
                  <c:v>2015</c:v>
                </c:pt>
                <c:pt idx="2">
                  <c:v>2016</c:v>
                </c:pt>
                <c:pt idx="3">
                  <c:v>2017</c:v>
                </c:pt>
                <c:pt idx="4">
                  <c:v>2018</c:v>
                </c:pt>
              </c:numCache>
            </c:numRef>
          </c:cat>
          <c:val>
            <c:numRef>
              <c:f>[SZKO_3193_XTAB_20200102134722.xlsx]TABLICA!$I$12:$M$12</c:f>
              <c:numCache>
                <c:formatCode>#,##0</c:formatCode>
                <c:ptCount val="5"/>
                <c:pt idx="0">
                  <c:v>71</c:v>
                </c:pt>
                <c:pt idx="1">
                  <c:v>74</c:v>
                </c:pt>
                <c:pt idx="2">
                  <c:v>79</c:v>
                </c:pt>
                <c:pt idx="3" formatCode="#,##0.0">
                  <c:v>78.5</c:v>
                </c:pt>
                <c:pt idx="4" formatCode="#,##0.0">
                  <c:v>79.7</c:v>
                </c:pt>
              </c:numCache>
            </c:numRef>
          </c:val>
          <c:extLst>
            <c:ext xmlns:c16="http://schemas.microsoft.com/office/drawing/2014/chart" uri="{C3380CC4-5D6E-409C-BE32-E72D297353CC}">
              <c16:uniqueId val="{00000005-9F17-4C2B-AF09-293BC8F2A385}"/>
            </c:ext>
          </c:extLst>
        </c:ser>
        <c:ser>
          <c:idx val="1"/>
          <c:order val="1"/>
          <c:tx>
            <c:strRef>
              <c:f>[SZKO_3193_XTAB_20200102134722.xlsx]TABLICA!$H$13</c:f>
              <c:strCache>
                <c:ptCount val="1"/>
                <c:pt idx="0">
                  <c:v>ŚLĄSKIE</c:v>
                </c:pt>
              </c:strCache>
            </c:strRef>
          </c:tx>
          <c:invertIfNegative val="0"/>
          <c:dLbls>
            <c:dLbl>
              <c:idx val="0"/>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17-4C2B-AF09-293BC8F2A385}"/>
                </c:ext>
              </c:extLst>
            </c:dLbl>
            <c:dLbl>
              <c:idx val="1"/>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17-4C2B-AF09-293BC8F2A385}"/>
                </c:ext>
              </c:extLst>
            </c:dLbl>
            <c:dLbl>
              <c:idx val="2"/>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F17-4C2B-AF09-293BC8F2A385}"/>
                </c:ext>
              </c:extLst>
            </c:dLbl>
            <c:dLbl>
              <c:idx val="3"/>
              <c:tx>
                <c:rich>
                  <a:bodyPr/>
                  <a:lstStyle/>
                  <a:p>
                    <a:r>
                      <a:rPr lang="en-US"/>
                      <a:t>77,3%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17-4C2B-AF09-293BC8F2A385}"/>
                </c:ext>
              </c:extLst>
            </c:dLbl>
            <c:dLbl>
              <c:idx val="4"/>
              <c:tx>
                <c:rich>
                  <a:bodyPr/>
                  <a:lstStyle/>
                  <a:p>
                    <a:r>
                      <a:rPr lang="en-US"/>
                      <a:t>79,2%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F17-4C2B-AF09-293BC8F2A3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[SZKO_3193_XTAB_20200102134722.xlsx]TABLICA!$I$11:$M$11</c:f>
              <c:numCache>
                <c:formatCode>General</c:formatCode>
                <c:ptCount val="5"/>
                <c:pt idx="0">
                  <c:v>2014</c:v>
                </c:pt>
                <c:pt idx="1">
                  <c:v>2015</c:v>
                </c:pt>
                <c:pt idx="2">
                  <c:v>2016</c:v>
                </c:pt>
                <c:pt idx="3">
                  <c:v>2017</c:v>
                </c:pt>
                <c:pt idx="4">
                  <c:v>2018</c:v>
                </c:pt>
              </c:numCache>
            </c:numRef>
          </c:cat>
          <c:val>
            <c:numRef>
              <c:f>[SZKO_3193_XTAB_20200102134722.xlsx]TABLICA!$I$13:$M$13</c:f>
              <c:numCache>
                <c:formatCode>#,##0</c:formatCode>
                <c:ptCount val="5"/>
                <c:pt idx="0">
                  <c:v>71</c:v>
                </c:pt>
                <c:pt idx="1">
                  <c:v>76</c:v>
                </c:pt>
                <c:pt idx="2">
                  <c:v>78</c:v>
                </c:pt>
                <c:pt idx="3" formatCode="#,##0.0">
                  <c:v>77.3</c:v>
                </c:pt>
                <c:pt idx="4" formatCode="#,##0.0">
                  <c:v>79.2</c:v>
                </c:pt>
              </c:numCache>
            </c:numRef>
          </c:val>
          <c:extLst>
            <c:ext xmlns:c16="http://schemas.microsoft.com/office/drawing/2014/chart" uri="{C3380CC4-5D6E-409C-BE32-E72D297353CC}">
              <c16:uniqueId val="{0000000B-9F17-4C2B-AF09-293BC8F2A385}"/>
            </c:ext>
          </c:extLst>
        </c:ser>
        <c:dLbls>
          <c:showLegendKey val="0"/>
          <c:showVal val="0"/>
          <c:showCatName val="0"/>
          <c:showSerName val="0"/>
          <c:showPercent val="0"/>
          <c:showBubbleSize val="0"/>
        </c:dLbls>
        <c:gapWidth val="150"/>
        <c:axId val="1905370528"/>
        <c:axId val="1905364000"/>
      </c:barChart>
      <c:catAx>
        <c:axId val="1905370528"/>
        <c:scaling>
          <c:orientation val="minMax"/>
        </c:scaling>
        <c:delete val="0"/>
        <c:axPos val="b"/>
        <c:numFmt formatCode="General" sourceLinked="1"/>
        <c:majorTickMark val="out"/>
        <c:minorTickMark val="none"/>
        <c:tickLblPos val="nextTo"/>
        <c:crossAx val="1905364000"/>
        <c:crosses val="autoZero"/>
        <c:auto val="1"/>
        <c:lblAlgn val="ctr"/>
        <c:lblOffset val="100"/>
        <c:noMultiLvlLbl val="0"/>
      </c:catAx>
      <c:valAx>
        <c:axId val="1905364000"/>
        <c:scaling>
          <c:orientation val="minMax"/>
        </c:scaling>
        <c:delete val="0"/>
        <c:axPos val="l"/>
        <c:majorGridlines/>
        <c:numFmt formatCode="#,##0" sourceLinked="1"/>
        <c:majorTickMark val="out"/>
        <c:minorTickMark val="none"/>
        <c:tickLblPos val="nextTo"/>
        <c:crossAx val="1905370528"/>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Arkusz1!$B$1</c:f>
              <c:strCache>
                <c:ptCount val="1"/>
                <c:pt idx="0">
                  <c:v>12.2</c:v>
                </c:pt>
              </c:strCache>
            </c:strRef>
          </c:tx>
          <c:spPr>
            <a:solidFill>
              <a:schemeClr val="accent6">
                <a:shade val="58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0F7-4850-8461-0476A6FE2685}"/>
                </c:ext>
              </c:extLst>
            </c:dLbl>
            <c:dLbl>
              <c:idx val="1"/>
              <c:delete val="1"/>
              <c:extLst>
                <c:ext xmlns:c15="http://schemas.microsoft.com/office/drawing/2012/chart" uri="{CE6537A1-D6FC-4f65-9D91-7224C49458BB}"/>
                <c:ext xmlns:c16="http://schemas.microsoft.com/office/drawing/2014/chart" uri="{C3380CC4-5D6E-409C-BE32-E72D297353CC}">
                  <c16:uniqueId val="{00000001-30F7-4850-8461-0476A6FE2685}"/>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 zauważamy takich czynników</c:v>
                </c:pt>
                <c:pt idx="1">
                  <c:v>Inne czynniki</c:v>
                </c:pt>
                <c:pt idx="2">
                  <c:v>Atrakcyjne formy wsparcia oferowane w projekcie</c:v>
                </c:pt>
                <c:pt idx="3">
                  <c:v>Duże zainteresowanie szkolnictwem zawodowym</c:v>
                </c:pt>
                <c:pt idx="4">
                  <c:v>Wzrost znaczenia szkolnictwa zawodowego w ostatnich latach</c:v>
                </c:pt>
                <c:pt idx="5">
                  <c:v>Duże zaangażowanie pracodawców</c:v>
                </c:pt>
                <c:pt idx="6">
                  <c:v>Duże zainteresowanie ze strony uczniów/uczestników</c:v>
                </c:pt>
                <c:pt idx="7">
                  <c:v>Bieżąca współpraca z opiekunem projektu po stronie instytucji organizującej konkurs</c:v>
                </c:pt>
                <c:pt idx="8">
                  <c:v>Pomoc ze strony pracowników instytucji organizującej konkurs w rozliczeniu projektu</c:v>
                </c:pt>
                <c:pt idx="9">
                  <c:v> Posiadanie kadry mającej doświadczenie w realizacji i rozliczaniu projektów ze środków UE</c:v>
                </c:pt>
              </c:strCache>
            </c:strRef>
          </c:cat>
          <c:val>
            <c:numRef>
              <c:f>Arkusz1!$B$2:$B$11</c:f>
              <c:numCache>
                <c:formatCode>0.0%</c:formatCode>
                <c:ptCount val="10"/>
                <c:pt idx="0">
                  <c:v>0</c:v>
                </c:pt>
                <c:pt idx="1">
                  <c:v>0</c:v>
                </c:pt>
                <c:pt idx="3">
                  <c:v>0.89473684210526316</c:v>
                </c:pt>
                <c:pt idx="7">
                  <c:v>0.18421052631578946</c:v>
                </c:pt>
                <c:pt idx="8">
                  <c:v>0.15789473684210525</c:v>
                </c:pt>
                <c:pt idx="9">
                  <c:v>0.44736842105263158</c:v>
                </c:pt>
              </c:numCache>
            </c:numRef>
          </c:val>
          <c:extLst>
            <c:ext xmlns:c16="http://schemas.microsoft.com/office/drawing/2014/chart" uri="{C3380CC4-5D6E-409C-BE32-E72D297353CC}">
              <c16:uniqueId val="{00000002-30F7-4850-8461-0476A6FE2685}"/>
            </c:ext>
          </c:extLst>
        </c:ser>
        <c:ser>
          <c:idx val="1"/>
          <c:order val="1"/>
          <c:tx>
            <c:strRef>
              <c:f>Arkusz1!$C$1</c:f>
              <c:strCache>
                <c:ptCount val="1"/>
                <c:pt idx="0">
                  <c:v>11.4</c:v>
                </c:pt>
              </c:strCache>
            </c:strRef>
          </c:tx>
          <c:spPr>
            <a:solidFill>
              <a:schemeClr val="accent6">
                <a:shade val="86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30F7-4850-8461-0476A6FE2685}"/>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 zauważamy takich czynników</c:v>
                </c:pt>
                <c:pt idx="1">
                  <c:v>Inne czynniki</c:v>
                </c:pt>
                <c:pt idx="2">
                  <c:v>Atrakcyjne formy wsparcia oferowane w projekcie</c:v>
                </c:pt>
                <c:pt idx="3">
                  <c:v>Duże zainteresowanie szkolnictwem zawodowym</c:v>
                </c:pt>
                <c:pt idx="4">
                  <c:v>Wzrost znaczenia szkolnictwa zawodowego w ostatnich latach</c:v>
                </c:pt>
                <c:pt idx="5">
                  <c:v>Duże zaangażowanie pracodawców</c:v>
                </c:pt>
                <c:pt idx="6">
                  <c:v>Duże zainteresowanie ze strony uczniów/uczestników</c:v>
                </c:pt>
                <c:pt idx="7">
                  <c:v>Bieżąca współpraca z opiekunem projektu po stronie instytucji organizującej konkurs</c:v>
                </c:pt>
                <c:pt idx="8">
                  <c:v>Pomoc ze strony pracowników instytucji organizującej konkurs w rozliczeniu projektu</c:v>
                </c:pt>
                <c:pt idx="9">
                  <c:v> Posiadanie kadry mającej doświadczenie w realizacji i rozliczaniu projektów ze środków UE</c:v>
                </c:pt>
              </c:strCache>
            </c:strRef>
          </c:cat>
          <c:val>
            <c:numRef>
              <c:f>Arkusz1!$C$2:$C$11</c:f>
              <c:numCache>
                <c:formatCode>0.0%</c:formatCode>
                <c:ptCount val="10"/>
                <c:pt idx="0">
                  <c:v>0</c:v>
                </c:pt>
                <c:pt idx="1">
                  <c:v>0.13636363636363635</c:v>
                </c:pt>
                <c:pt idx="4">
                  <c:v>0.13636363636363635</c:v>
                </c:pt>
                <c:pt idx="5">
                  <c:v>9.0909090909090912E-2</c:v>
                </c:pt>
                <c:pt idx="6">
                  <c:v>0.45454545454545453</c:v>
                </c:pt>
                <c:pt idx="7">
                  <c:v>0.5</c:v>
                </c:pt>
                <c:pt idx="8">
                  <c:v>0.45454545454545453</c:v>
                </c:pt>
                <c:pt idx="9">
                  <c:v>0.81818181818181823</c:v>
                </c:pt>
              </c:numCache>
            </c:numRef>
          </c:val>
          <c:extLst>
            <c:ext xmlns:c16="http://schemas.microsoft.com/office/drawing/2014/chart" uri="{C3380CC4-5D6E-409C-BE32-E72D297353CC}">
              <c16:uniqueId val="{00000004-30F7-4850-8461-0476A6FE2685}"/>
            </c:ext>
          </c:extLst>
        </c:ser>
        <c:ser>
          <c:idx val="2"/>
          <c:order val="2"/>
          <c:tx>
            <c:strRef>
              <c:f>Arkusz1!$D$1</c:f>
              <c:strCache>
                <c:ptCount val="1"/>
                <c:pt idx="0">
                  <c:v>11.3</c:v>
                </c:pt>
              </c:strCache>
            </c:strRef>
          </c:tx>
          <c:spPr>
            <a:solidFill>
              <a:schemeClr val="accent6">
                <a:tint val="86000"/>
              </a:schemeClr>
            </a:solidFill>
            <a:ln>
              <a:no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 zauważamy takich czynników</c:v>
                </c:pt>
                <c:pt idx="1">
                  <c:v>Inne czynniki</c:v>
                </c:pt>
                <c:pt idx="2">
                  <c:v>Atrakcyjne formy wsparcia oferowane w projekcie</c:v>
                </c:pt>
                <c:pt idx="3">
                  <c:v>Duże zainteresowanie szkolnictwem zawodowym</c:v>
                </c:pt>
                <c:pt idx="4">
                  <c:v>Wzrost znaczenia szkolnictwa zawodowego w ostatnich latach</c:v>
                </c:pt>
                <c:pt idx="5">
                  <c:v>Duże zaangażowanie pracodawców</c:v>
                </c:pt>
                <c:pt idx="6">
                  <c:v>Duże zainteresowanie ze strony uczniów/uczestników</c:v>
                </c:pt>
                <c:pt idx="7">
                  <c:v>Bieżąca współpraca z opiekunem projektu po stronie instytucji organizującej konkurs</c:v>
                </c:pt>
                <c:pt idx="8">
                  <c:v>Pomoc ze strony pracowników instytucji organizującej konkurs w rozliczeniu projektu</c:v>
                </c:pt>
                <c:pt idx="9">
                  <c:v> Posiadanie kadry mającej doświadczenie w realizacji i rozliczaniu projektów ze środków UE</c:v>
                </c:pt>
              </c:strCache>
            </c:strRef>
          </c:cat>
          <c:val>
            <c:numRef>
              <c:f>Arkusz1!$D$2:$D$11</c:f>
              <c:numCache>
                <c:formatCode>0.0%</c:formatCode>
                <c:ptCount val="10"/>
                <c:pt idx="0">
                  <c:v>3.5087719298245612E-2</c:v>
                </c:pt>
                <c:pt idx="1">
                  <c:v>8.771929824561403E-2</c:v>
                </c:pt>
                <c:pt idx="4">
                  <c:v>0.50877192982456143</c:v>
                </c:pt>
                <c:pt idx="5">
                  <c:v>7.0175438596491224E-2</c:v>
                </c:pt>
                <c:pt idx="6">
                  <c:v>0.52631578947368418</c:v>
                </c:pt>
                <c:pt idx="7">
                  <c:v>0.10526315789473684</c:v>
                </c:pt>
                <c:pt idx="8">
                  <c:v>3.5087719298245612E-2</c:v>
                </c:pt>
                <c:pt idx="9">
                  <c:v>0.15789473684210525</c:v>
                </c:pt>
              </c:numCache>
            </c:numRef>
          </c:val>
          <c:extLst>
            <c:ext xmlns:c16="http://schemas.microsoft.com/office/drawing/2014/chart" uri="{C3380CC4-5D6E-409C-BE32-E72D297353CC}">
              <c16:uniqueId val="{00000005-30F7-4850-8461-0476A6FE2685}"/>
            </c:ext>
          </c:extLst>
        </c:ser>
        <c:ser>
          <c:idx val="3"/>
          <c:order val="3"/>
          <c:tx>
            <c:strRef>
              <c:f>Arkusz1!$E$1</c:f>
              <c:strCache>
                <c:ptCount val="1"/>
                <c:pt idx="0">
                  <c:v>11.2</c:v>
                </c:pt>
              </c:strCache>
            </c:strRef>
          </c:tx>
          <c:spPr>
            <a:solidFill>
              <a:schemeClr val="accent6">
                <a:tint val="58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30F7-4850-8461-0476A6FE2685}"/>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Nie zauważamy takich czynników</c:v>
                </c:pt>
                <c:pt idx="1">
                  <c:v>Inne czynniki</c:v>
                </c:pt>
                <c:pt idx="2">
                  <c:v>Atrakcyjne formy wsparcia oferowane w projekcie</c:v>
                </c:pt>
                <c:pt idx="3">
                  <c:v>Duże zainteresowanie szkolnictwem zawodowym</c:v>
                </c:pt>
                <c:pt idx="4">
                  <c:v>Wzrost znaczenia szkolnictwa zawodowego w ostatnich latach</c:v>
                </c:pt>
                <c:pt idx="5">
                  <c:v>Duże zaangażowanie pracodawców</c:v>
                </c:pt>
                <c:pt idx="6">
                  <c:v>Duże zainteresowanie ze strony uczniów/uczestników</c:v>
                </c:pt>
                <c:pt idx="7">
                  <c:v>Bieżąca współpraca z opiekunem projektu po stronie instytucji organizującej konkurs</c:v>
                </c:pt>
                <c:pt idx="8">
                  <c:v>Pomoc ze strony pracowników instytucji organizującej konkurs w rozliczeniu projektu</c:v>
                </c:pt>
                <c:pt idx="9">
                  <c:v> Posiadanie kadry mającej doświadczenie w realizacji i rozliczaniu projektów ze środków UE</c:v>
                </c:pt>
              </c:strCache>
            </c:strRef>
          </c:cat>
          <c:val>
            <c:numRef>
              <c:f>Arkusz1!$E$2:$E$11</c:f>
              <c:numCache>
                <c:formatCode>0.0%</c:formatCode>
                <c:ptCount val="10"/>
                <c:pt idx="0">
                  <c:v>2.1276595744680851E-2</c:v>
                </c:pt>
                <c:pt idx="1">
                  <c:v>0</c:v>
                </c:pt>
                <c:pt idx="2">
                  <c:v>0.80851063829787229</c:v>
                </c:pt>
                <c:pt idx="4">
                  <c:v>0.61702127659574468</c:v>
                </c:pt>
                <c:pt idx="5">
                  <c:v>0.51063829787234039</c:v>
                </c:pt>
                <c:pt idx="6">
                  <c:v>0.68085106382978722</c:v>
                </c:pt>
                <c:pt idx="7">
                  <c:v>0.65957446808510634</c:v>
                </c:pt>
                <c:pt idx="8">
                  <c:v>0.38297872340425532</c:v>
                </c:pt>
                <c:pt idx="9">
                  <c:v>0.8936170212765957</c:v>
                </c:pt>
              </c:numCache>
            </c:numRef>
          </c:val>
          <c:extLst>
            <c:ext xmlns:c16="http://schemas.microsoft.com/office/drawing/2014/chart" uri="{C3380CC4-5D6E-409C-BE32-E72D297353CC}">
              <c16:uniqueId val="{00000007-30F7-4850-8461-0476A6FE2685}"/>
            </c:ext>
          </c:extLst>
        </c:ser>
        <c:dLbls>
          <c:showLegendKey val="0"/>
          <c:showVal val="0"/>
          <c:showCatName val="0"/>
          <c:showSerName val="0"/>
          <c:showPercent val="0"/>
          <c:showBubbleSize val="0"/>
        </c:dLbls>
        <c:gapWidth val="182"/>
        <c:axId val="1970612048"/>
        <c:axId val="1970597904"/>
      </c:barChart>
      <c:catAx>
        <c:axId val="197061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970597904"/>
        <c:crosses val="autoZero"/>
        <c:auto val="1"/>
        <c:lblAlgn val="ctr"/>
        <c:lblOffset val="100"/>
        <c:noMultiLvlLbl val="0"/>
      </c:catAx>
      <c:valAx>
        <c:axId val="19705979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pl-PL"/>
          </a:p>
        </c:txPr>
        <c:crossAx val="1970612048"/>
        <c:crosses val="autoZero"/>
        <c:crossBetween val="between"/>
        <c:minorUnit val="0.2"/>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11.1.4</c:v>
                </c:pt>
              </c:strCache>
            </c:strRef>
          </c:tx>
          <c:spPr>
            <a:solidFill>
              <a:schemeClr val="accent6">
                <a:shade val="58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0F7-4850-8461-0476A6FE2685}"/>
                </c:ext>
              </c:extLst>
            </c:dLbl>
            <c:dLbl>
              <c:idx val="1"/>
              <c:delete val="1"/>
              <c:extLst>
                <c:ext xmlns:c15="http://schemas.microsoft.com/office/drawing/2012/chart" uri="{CE6537A1-D6FC-4f65-9D91-7224C49458BB}"/>
                <c:ext xmlns:c16="http://schemas.microsoft.com/office/drawing/2014/chart" uri="{C3380CC4-5D6E-409C-BE32-E72D297353CC}">
                  <c16:uniqueId val="{00000001-30F7-4850-8461-0476A6FE2685}"/>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Inne czynniki</c:v>
                </c:pt>
                <c:pt idx="1">
                  <c:v>Nie zauważamy takich czynników</c:v>
                </c:pt>
                <c:pt idx="2">
                  <c:v>Pomoc ze strony pracowników instytucji organizującej konkurs w rozliczeniu projektu</c:v>
                </c:pt>
                <c:pt idx="3">
                  <c:v>Brak konkurencyjnych projektów</c:v>
                </c:pt>
                <c:pt idx="4">
                  <c:v>Bieżąca współpraca z opiekunem projektu po stronie instytucji organizującej konkurs</c:v>
                </c:pt>
                <c:pt idx="5">
                  <c:v>Posiadanie kadry mającej doświadczenie w realizacji i rozliczaniu projektów ze środków UE</c:v>
                </c:pt>
                <c:pt idx="6">
                  <c:v>Atrakcyjne formy wsparcia oferowane w projekcie</c:v>
                </c:pt>
                <c:pt idx="7">
                  <c:v>Duże zainteresowanie ze strony uczniów, rodziców lub nauczycieli</c:v>
                </c:pt>
              </c:strCache>
            </c:strRef>
          </c:cat>
          <c:val>
            <c:numRef>
              <c:f>Arkusz1!$B$2:$B$9</c:f>
              <c:numCache>
                <c:formatCode>0.0%</c:formatCode>
                <c:ptCount val="8"/>
                <c:pt idx="0">
                  <c:v>7.5187969924812026E-3</c:v>
                </c:pt>
                <c:pt idx="1">
                  <c:v>2.2556390977443608E-2</c:v>
                </c:pt>
                <c:pt idx="2">
                  <c:v>0.36842105263157893</c:v>
                </c:pt>
                <c:pt idx="3">
                  <c:v>0.37593984962406013</c:v>
                </c:pt>
                <c:pt idx="4">
                  <c:v>0.49624060150375937</c:v>
                </c:pt>
                <c:pt idx="5">
                  <c:v>0.55639097744360899</c:v>
                </c:pt>
                <c:pt idx="6">
                  <c:v>0.69172932330827064</c:v>
                </c:pt>
                <c:pt idx="7">
                  <c:v>0.83458646616541354</c:v>
                </c:pt>
              </c:numCache>
            </c:numRef>
          </c:val>
          <c:extLst>
            <c:ext xmlns:c16="http://schemas.microsoft.com/office/drawing/2014/chart" uri="{C3380CC4-5D6E-409C-BE32-E72D297353CC}">
              <c16:uniqueId val="{00000002-30F7-4850-8461-0476A6FE2685}"/>
            </c:ext>
          </c:extLst>
        </c:ser>
        <c:dLbls>
          <c:showLegendKey val="0"/>
          <c:showVal val="0"/>
          <c:showCatName val="0"/>
          <c:showSerName val="0"/>
          <c:showPercent val="0"/>
          <c:showBubbleSize val="0"/>
        </c:dLbls>
        <c:gapWidth val="182"/>
        <c:axId val="1970618032"/>
        <c:axId val="1970615312"/>
      </c:barChart>
      <c:catAx>
        <c:axId val="197061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970615312"/>
        <c:crosses val="autoZero"/>
        <c:auto val="1"/>
        <c:lblAlgn val="ctr"/>
        <c:lblOffset val="100"/>
        <c:noMultiLvlLbl val="0"/>
      </c:catAx>
      <c:valAx>
        <c:axId val="19706153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pl-PL"/>
          </a:p>
        </c:txPr>
        <c:crossAx val="1970618032"/>
        <c:crosses val="autoZero"/>
        <c:crossBetween val="between"/>
        <c:minorUnit val="0.2"/>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Nie było takich czynników</c:v>
                </c:pt>
                <c:pt idx="1">
                  <c:v>Duże zainteresowanie rodziców świadczonym wsparciem</c:v>
                </c:pt>
                <c:pt idx="2">
                  <c:v>Pomoc ze strony beneficjenta w kwestiach formalnych</c:v>
                </c:pt>
                <c:pt idx="3">
                  <c:v>Uzupełnienie działania infrastrukturalnego działaniem „miękkim”, tj. np. prowadzenie zajęć w zmodernizowanej placówce</c:v>
                </c:pt>
              </c:strCache>
            </c:strRef>
          </c:cat>
          <c:val>
            <c:numRef>
              <c:f>Arkusz1!$B$2:$B$5</c:f>
              <c:numCache>
                <c:formatCode>0.0%</c:formatCode>
                <c:ptCount val="4"/>
                <c:pt idx="0">
                  <c:v>5.3571428571428568E-2</c:v>
                </c:pt>
                <c:pt idx="1">
                  <c:v>0.45833333333333331</c:v>
                </c:pt>
                <c:pt idx="2">
                  <c:v>0.6383928571428571</c:v>
                </c:pt>
                <c:pt idx="3">
                  <c:v>0.65922619047619047</c:v>
                </c:pt>
              </c:numCache>
            </c:numRef>
          </c:val>
          <c:extLst>
            <c:ext xmlns:c16="http://schemas.microsoft.com/office/drawing/2014/chart" uri="{C3380CC4-5D6E-409C-BE32-E72D297353CC}">
              <c16:uniqueId val="{00000000-F6BB-4257-9B76-C58373A0FEEF}"/>
            </c:ext>
          </c:extLst>
        </c:ser>
        <c:dLbls>
          <c:showLegendKey val="0"/>
          <c:showVal val="0"/>
          <c:showCatName val="0"/>
          <c:showSerName val="0"/>
          <c:showPercent val="0"/>
          <c:showBubbleSize val="0"/>
        </c:dLbls>
        <c:gapWidth val="150"/>
        <c:axId val="1970616944"/>
        <c:axId val="1970621840"/>
      </c:barChart>
      <c:catAx>
        <c:axId val="197061694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970621840"/>
        <c:crosses val="autoZero"/>
        <c:auto val="1"/>
        <c:lblAlgn val="ctr"/>
        <c:lblOffset val="100"/>
        <c:noMultiLvlLbl val="0"/>
      </c:catAx>
      <c:valAx>
        <c:axId val="1970621840"/>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97061694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12.1</c:v>
                </c:pt>
              </c:strCache>
            </c:strRef>
          </c:tx>
          <c:spPr>
            <a:solidFill>
              <a:schemeClr val="accent6">
                <a:shade val="6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1D7-4AC7-A97B-555B27C82026}"/>
                </c:ext>
              </c:extLst>
            </c:dLbl>
            <c:dLbl>
              <c:idx val="1"/>
              <c:delete val="1"/>
              <c:extLst>
                <c:ext xmlns:c15="http://schemas.microsoft.com/office/drawing/2012/chart" uri="{CE6537A1-D6FC-4f65-9D91-7224C49458BB}"/>
                <c:ext xmlns:c16="http://schemas.microsoft.com/office/drawing/2014/chart" uri="{C3380CC4-5D6E-409C-BE32-E72D297353CC}">
                  <c16:uniqueId val="{00000001-F1D7-4AC7-A97B-555B27C82026}"/>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Niechęć ze strony rodziców do korzystania z usług</c:v>
                </c:pt>
                <c:pt idx="1">
                  <c:v>Ograniczone możliwości budowy nowego lokalu – konieczność remontu istniejącego obiekty</c:v>
                </c:pt>
                <c:pt idx="2">
                  <c:v>Współpraca z instytucją organizującą konkurs</c:v>
                </c:pt>
                <c:pt idx="3">
                  <c:v>Trudności w rekrutacji uczestników</c:v>
                </c:pt>
                <c:pt idx="4">
                  <c:v>Kontakt z opiekunem projektu</c:v>
                </c:pt>
                <c:pt idx="5">
                  <c:v>Brak kadry mającej doświadczenie w realizacji i rozliczaniu projektów ze środków UE</c:v>
                </c:pt>
                <c:pt idx="6">
                  <c:v>Brak jasnej interpretacji przepisów prawnych związanych z wdrażaniem projektów</c:v>
                </c:pt>
                <c:pt idx="7">
                  <c:v>Procedury zamówień publicznych</c:v>
                </c:pt>
                <c:pt idx="8">
                  <c:v>Częste zmiany przepisów prawnych</c:v>
                </c:pt>
              </c:strCache>
            </c:strRef>
          </c:cat>
          <c:val>
            <c:numRef>
              <c:f>Arkusz1!$B$2:$B$10</c:f>
              <c:numCache>
                <c:formatCode>0.0%</c:formatCode>
                <c:ptCount val="9"/>
                <c:pt idx="0">
                  <c:v>0</c:v>
                </c:pt>
                <c:pt idx="1">
                  <c:v>8.9285714285714288E-2</c:v>
                </c:pt>
                <c:pt idx="2">
                  <c:v>5.3571428571428568E-2</c:v>
                </c:pt>
                <c:pt idx="3">
                  <c:v>5.3571428571428568E-2</c:v>
                </c:pt>
                <c:pt idx="4">
                  <c:v>8.9285714285714288E-2</c:v>
                </c:pt>
                <c:pt idx="5">
                  <c:v>1.7857142857142856E-2</c:v>
                </c:pt>
                <c:pt idx="6">
                  <c:v>0.16071428571428573</c:v>
                </c:pt>
                <c:pt idx="7">
                  <c:v>0.32142857142857145</c:v>
                </c:pt>
                <c:pt idx="8">
                  <c:v>0.25</c:v>
                </c:pt>
              </c:numCache>
            </c:numRef>
          </c:val>
          <c:extLst>
            <c:ext xmlns:c16="http://schemas.microsoft.com/office/drawing/2014/chart" uri="{C3380CC4-5D6E-409C-BE32-E72D297353CC}">
              <c16:uniqueId val="{00000002-F1D7-4AC7-A97B-555B27C82026}"/>
            </c:ext>
          </c:extLst>
        </c:ser>
        <c:ser>
          <c:idx val="1"/>
          <c:order val="1"/>
          <c:tx>
            <c:strRef>
              <c:f>Arkusz1!$C$1</c:f>
              <c:strCache>
                <c:ptCount val="1"/>
                <c:pt idx="0">
                  <c:v>11.1.1-11.1.3</c:v>
                </c:pt>
              </c:strCache>
            </c:strRef>
          </c:tx>
          <c:spPr>
            <a:solidFill>
              <a:schemeClr val="accent6"/>
            </a:solidFill>
            <a:ln>
              <a:no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Niechęć ze strony rodziców do korzystania z usług</c:v>
                </c:pt>
                <c:pt idx="1">
                  <c:v>Ograniczone możliwości budowy nowego lokalu – konieczność remontu istniejącego obiekty</c:v>
                </c:pt>
                <c:pt idx="2">
                  <c:v>Współpraca z instytucją organizującą konkurs</c:v>
                </c:pt>
                <c:pt idx="3">
                  <c:v>Trudności w rekrutacji uczestników</c:v>
                </c:pt>
                <c:pt idx="4">
                  <c:v>Kontakt z opiekunem projektu</c:v>
                </c:pt>
                <c:pt idx="5">
                  <c:v>Brak kadry mającej doświadczenie w realizacji i rozliczaniu projektów ze środków UE</c:v>
                </c:pt>
                <c:pt idx="6">
                  <c:v>Brak jasnej interpretacji przepisów prawnych związanych z wdrażaniem projektów</c:v>
                </c:pt>
                <c:pt idx="7">
                  <c:v>Procedury zamówień publicznych</c:v>
                </c:pt>
                <c:pt idx="8">
                  <c:v>Częste zmiany przepisów prawnych</c:v>
                </c:pt>
              </c:strCache>
            </c:strRef>
          </c:cat>
          <c:val>
            <c:numRef>
              <c:f>Arkusz1!$C$2:$C$10</c:f>
              <c:numCache>
                <c:formatCode>0.0%</c:formatCode>
                <c:ptCount val="9"/>
                <c:pt idx="0">
                  <c:v>0</c:v>
                </c:pt>
                <c:pt idx="1">
                  <c:v>0</c:v>
                </c:pt>
                <c:pt idx="2">
                  <c:v>3.5087719298245612E-2</c:v>
                </c:pt>
                <c:pt idx="3">
                  <c:v>3.5087719298245612E-2</c:v>
                </c:pt>
                <c:pt idx="4">
                  <c:v>4.3859649122807015E-2</c:v>
                </c:pt>
                <c:pt idx="5">
                  <c:v>9.6491228070175433E-2</c:v>
                </c:pt>
                <c:pt idx="6">
                  <c:v>0.21929824561403508</c:v>
                </c:pt>
                <c:pt idx="7">
                  <c:v>0.27192982456140352</c:v>
                </c:pt>
                <c:pt idx="8">
                  <c:v>0.28947368421052633</c:v>
                </c:pt>
              </c:numCache>
            </c:numRef>
          </c:val>
          <c:extLst>
            <c:ext xmlns:c16="http://schemas.microsoft.com/office/drawing/2014/chart" uri="{C3380CC4-5D6E-409C-BE32-E72D297353CC}">
              <c16:uniqueId val="{00000004-F1D7-4AC7-A97B-555B27C82026}"/>
            </c:ext>
          </c:extLst>
        </c:ser>
        <c:dLbls>
          <c:showLegendKey val="0"/>
          <c:showVal val="0"/>
          <c:showCatName val="0"/>
          <c:showSerName val="0"/>
          <c:showPercent val="0"/>
          <c:showBubbleSize val="0"/>
        </c:dLbls>
        <c:gapWidth val="182"/>
        <c:axId val="1970614224"/>
        <c:axId val="1970624016"/>
      </c:barChart>
      <c:catAx>
        <c:axId val="1970614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970624016"/>
        <c:crosses val="autoZero"/>
        <c:auto val="1"/>
        <c:lblAlgn val="ctr"/>
        <c:lblOffset val="100"/>
        <c:noMultiLvlLbl val="0"/>
      </c:catAx>
      <c:valAx>
        <c:axId val="19706240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pl-PL"/>
          </a:p>
        </c:txPr>
        <c:crossAx val="1970614224"/>
        <c:crosses val="autoZero"/>
        <c:crossBetween val="between"/>
        <c:minorUnit val="0.2"/>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56E0C2-B493-4F3F-9AF2-3CCA69BC5614}" type="doc">
      <dgm:prSet loTypeId="urn:microsoft.com/office/officeart/2008/layout/LinedList" loCatId="list" qsTypeId="urn:microsoft.com/office/officeart/2005/8/quickstyle/simple1" qsCatId="simple" csTypeId="urn:microsoft.com/office/officeart/2005/8/colors/accent6_1" csCatId="accent6" phldr="1"/>
      <dgm:spPr/>
      <dgm:t>
        <a:bodyPr/>
        <a:lstStyle/>
        <a:p>
          <a:endParaRPr lang="pl-PL"/>
        </a:p>
      </dgm:t>
    </dgm:pt>
    <dgm:pt modelId="{C724FE4C-5CC3-4B66-9C25-84277DF61DBB}">
      <dgm:prSet phldrT="[Tekst]" custT="1"/>
      <dgm:spPr/>
      <dgm:t>
        <a:bodyPr/>
        <a:lstStyle/>
        <a:p>
          <a:pPr algn="ctr"/>
          <a:r>
            <a:rPr lang="pl-PL" sz="1200"/>
            <a:t>Eliminowanie dyskryminacji ze względu na niepełnosprawność</a:t>
          </a:r>
        </a:p>
      </dgm:t>
    </dgm:pt>
    <dgm:pt modelId="{68053723-D4A5-41E0-853A-6D9DEE0B2758}" type="parTrans" cxnId="{96759DE2-425F-4B8E-A2D3-7629130599C0}">
      <dgm:prSet/>
      <dgm:spPr/>
      <dgm:t>
        <a:bodyPr/>
        <a:lstStyle/>
        <a:p>
          <a:pPr algn="ctr"/>
          <a:endParaRPr lang="pl-PL" sz="1200"/>
        </a:p>
      </dgm:t>
    </dgm:pt>
    <dgm:pt modelId="{A2EE6B47-E714-4ECF-833A-3A0E1FAF8ECD}" type="sibTrans" cxnId="{96759DE2-425F-4B8E-A2D3-7629130599C0}">
      <dgm:prSet/>
      <dgm:spPr/>
      <dgm:t>
        <a:bodyPr/>
        <a:lstStyle/>
        <a:p>
          <a:pPr algn="ctr"/>
          <a:endParaRPr lang="pl-PL" sz="1200"/>
        </a:p>
      </dgm:t>
    </dgm:pt>
    <dgm:pt modelId="{DF5A84AF-1518-46A0-B5F7-1737AE3EC4AB}">
      <dgm:prSet phldrT="[Tekst]" custT="1"/>
      <dgm:spPr/>
      <dgm:t>
        <a:bodyPr/>
        <a:lstStyle/>
        <a:p>
          <a:pPr algn="ctr"/>
          <a:r>
            <a:rPr lang="pl-PL" sz="1200"/>
            <a:t>Kierowanie się zasadą respektowania odmienności osób z niepełnosprawnościami</a:t>
          </a:r>
        </a:p>
      </dgm:t>
    </dgm:pt>
    <dgm:pt modelId="{ECCB01E5-20C4-4094-816F-AA290AB04680}" type="parTrans" cxnId="{4FE02C09-6C6E-4F07-9756-C3DE93C3D827}">
      <dgm:prSet/>
      <dgm:spPr/>
      <dgm:t>
        <a:bodyPr/>
        <a:lstStyle/>
        <a:p>
          <a:pPr algn="ctr"/>
          <a:endParaRPr lang="pl-PL" sz="1200"/>
        </a:p>
      </dgm:t>
    </dgm:pt>
    <dgm:pt modelId="{13EE9913-593B-4DA8-82F1-62F6C1B62962}" type="sibTrans" cxnId="{4FE02C09-6C6E-4F07-9756-C3DE93C3D827}">
      <dgm:prSet/>
      <dgm:spPr/>
      <dgm:t>
        <a:bodyPr/>
        <a:lstStyle/>
        <a:p>
          <a:pPr algn="ctr"/>
          <a:endParaRPr lang="pl-PL" sz="1200"/>
        </a:p>
      </dgm:t>
    </dgm:pt>
    <dgm:pt modelId="{98DAD586-C322-4783-88FE-C898576E0966}">
      <dgm:prSet phldrT="[Tekst]" custT="1"/>
      <dgm:spPr/>
      <dgm:t>
        <a:bodyPr/>
        <a:lstStyle/>
        <a:p>
          <a:pPr algn="ctr"/>
          <a:r>
            <a:rPr lang="pl-PL" sz="1200"/>
            <a:t>Zapewnienie osobom z niepełnosprawnościami dostępności, zwłaszcza przy zastosowaniu uniwersalnego projektowania przestrzeni</a:t>
          </a:r>
        </a:p>
      </dgm:t>
    </dgm:pt>
    <dgm:pt modelId="{1EA4E100-985B-4E6A-A271-6662E12EA859}" type="parTrans" cxnId="{3432D088-C38F-4CD3-ACCD-2FD74249E407}">
      <dgm:prSet/>
      <dgm:spPr/>
      <dgm:t>
        <a:bodyPr/>
        <a:lstStyle/>
        <a:p>
          <a:pPr algn="ctr"/>
          <a:endParaRPr lang="pl-PL" sz="1200"/>
        </a:p>
      </dgm:t>
    </dgm:pt>
    <dgm:pt modelId="{4DA96B2E-A1F5-43E0-B597-E852CCC111BE}" type="sibTrans" cxnId="{3432D088-C38F-4CD3-ACCD-2FD74249E407}">
      <dgm:prSet/>
      <dgm:spPr/>
      <dgm:t>
        <a:bodyPr/>
        <a:lstStyle/>
        <a:p>
          <a:pPr algn="ctr"/>
          <a:endParaRPr lang="pl-PL" sz="1200"/>
        </a:p>
      </dgm:t>
    </dgm:pt>
    <dgm:pt modelId="{D015031D-3CDE-4FC1-9BFC-CCDBC245313D}">
      <dgm:prSet phldrT="[Tekst]" custT="1"/>
      <dgm:spPr/>
      <dgm:t>
        <a:bodyPr/>
        <a:lstStyle/>
        <a:p>
          <a:pPr algn="ctr"/>
          <a:r>
            <a:rPr lang="pl-PL" sz="1200"/>
            <a:t>Stosowanie racjonalnych usprawnień dla osób z niepełnosprawnościami</a:t>
          </a:r>
        </a:p>
      </dgm:t>
    </dgm:pt>
    <dgm:pt modelId="{482FA237-4115-40A1-AFFF-282D1B12C039}" type="parTrans" cxnId="{8B2462C4-4B1C-46F1-AB5F-14A17280CF7A}">
      <dgm:prSet/>
      <dgm:spPr/>
      <dgm:t>
        <a:bodyPr/>
        <a:lstStyle/>
        <a:p>
          <a:pPr algn="ctr"/>
          <a:endParaRPr lang="pl-PL" sz="1200"/>
        </a:p>
      </dgm:t>
    </dgm:pt>
    <dgm:pt modelId="{F3A271E0-D3EE-4A0F-9C96-565C105820F1}" type="sibTrans" cxnId="{8B2462C4-4B1C-46F1-AB5F-14A17280CF7A}">
      <dgm:prSet/>
      <dgm:spPr/>
      <dgm:t>
        <a:bodyPr/>
        <a:lstStyle/>
        <a:p>
          <a:pPr algn="ctr"/>
          <a:endParaRPr lang="pl-PL" sz="1200"/>
        </a:p>
      </dgm:t>
    </dgm:pt>
    <dgm:pt modelId="{0FFA66E6-3096-4729-880A-7BE893D53D1C}" type="pres">
      <dgm:prSet presAssocID="{F456E0C2-B493-4F3F-9AF2-3CCA69BC5614}" presName="vert0" presStyleCnt="0">
        <dgm:presLayoutVars>
          <dgm:dir/>
          <dgm:animOne val="branch"/>
          <dgm:animLvl val="lvl"/>
        </dgm:presLayoutVars>
      </dgm:prSet>
      <dgm:spPr/>
      <dgm:t>
        <a:bodyPr/>
        <a:lstStyle/>
        <a:p>
          <a:endParaRPr lang="pl-PL"/>
        </a:p>
      </dgm:t>
    </dgm:pt>
    <dgm:pt modelId="{1CCE87F8-E6E9-4ABB-9413-66D1DD3B9DFB}" type="pres">
      <dgm:prSet presAssocID="{C724FE4C-5CC3-4B66-9C25-84277DF61DBB}" presName="thickLine" presStyleLbl="alignNode1" presStyleIdx="0" presStyleCnt="4"/>
      <dgm:spPr/>
    </dgm:pt>
    <dgm:pt modelId="{6BFA802A-BEBC-4495-8193-D3A27C2CB265}" type="pres">
      <dgm:prSet presAssocID="{C724FE4C-5CC3-4B66-9C25-84277DF61DBB}" presName="horz1" presStyleCnt="0"/>
      <dgm:spPr/>
    </dgm:pt>
    <dgm:pt modelId="{9B7914AD-C63F-4119-A2BE-6672AA65C15D}" type="pres">
      <dgm:prSet presAssocID="{C724FE4C-5CC3-4B66-9C25-84277DF61DBB}" presName="tx1" presStyleLbl="revTx" presStyleIdx="0" presStyleCnt="4"/>
      <dgm:spPr/>
      <dgm:t>
        <a:bodyPr/>
        <a:lstStyle/>
        <a:p>
          <a:endParaRPr lang="pl-PL"/>
        </a:p>
      </dgm:t>
    </dgm:pt>
    <dgm:pt modelId="{70966B80-CEA3-4A25-AE9A-C00C4EC85C0B}" type="pres">
      <dgm:prSet presAssocID="{C724FE4C-5CC3-4B66-9C25-84277DF61DBB}" presName="vert1" presStyleCnt="0"/>
      <dgm:spPr/>
    </dgm:pt>
    <dgm:pt modelId="{FAA80B8E-AD48-4BC4-9211-AD00D503D2A4}" type="pres">
      <dgm:prSet presAssocID="{DF5A84AF-1518-46A0-B5F7-1737AE3EC4AB}" presName="thickLine" presStyleLbl="alignNode1" presStyleIdx="1" presStyleCnt="4"/>
      <dgm:spPr/>
    </dgm:pt>
    <dgm:pt modelId="{42FB4065-8486-4AA8-BC2A-E9A52FCA4FEE}" type="pres">
      <dgm:prSet presAssocID="{DF5A84AF-1518-46A0-B5F7-1737AE3EC4AB}" presName="horz1" presStyleCnt="0"/>
      <dgm:spPr/>
    </dgm:pt>
    <dgm:pt modelId="{1F35EE94-545B-45EE-832D-7D21563F4465}" type="pres">
      <dgm:prSet presAssocID="{DF5A84AF-1518-46A0-B5F7-1737AE3EC4AB}" presName="tx1" presStyleLbl="revTx" presStyleIdx="1" presStyleCnt="4"/>
      <dgm:spPr/>
      <dgm:t>
        <a:bodyPr/>
        <a:lstStyle/>
        <a:p>
          <a:endParaRPr lang="pl-PL"/>
        </a:p>
      </dgm:t>
    </dgm:pt>
    <dgm:pt modelId="{62C6B2C4-15F7-4945-85DD-E1A5BAB0E797}" type="pres">
      <dgm:prSet presAssocID="{DF5A84AF-1518-46A0-B5F7-1737AE3EC4AB}" presName="vert1" presStyleCnt="0"/>
      <dgm:spPr/>
    </dgm:pt>
    <dgm:pt modelId="{36FBDDA9-93E4-4FA3-A5A4-4A4511E0AA74}" type="pres">
      <dgm:prSet presAssocID="{98DAD586-C322-4783-88FE-C898576E0966}" presName="thickLine" presStyleLbl="alignNode1" presStyleIdx="2" presStyleCnt="4"/>
      <dgm:spPr/>
    </dgm:pt>
    <dgm:pt modelId="{0CB0DF06-7C1F-44BF-B9FC-BF64F2F7AE79}" type="pres">
      <dgm:prSet presAssocID="{98DAD586-C322-4783-88FE-C898576E0966}" presName="horz1" presStyleCnt="0"/>
      <dgm:spPr/>
    </dgm:pt>
    <dgm:pt modelId="{C289807F-354C-423B-83C1-BE8CFBA27F44}" type="pres">
      <dgm:prSet presAssocID="{98DAD586-C322-4783-88FE-C898576E0966}" presName="tx1" presStyleLbl="revTx" presStyleIdx="2" presStyleCnt="4"/>
      <dgm:spPr/>
      <dgm:t>
        <a:bodyPr/>
        <a:lstStyle/>
        <a:p>
          <a:endParaRPr lang="pl-PL"/>
        </a:p>
      </dgm:t>
    </dgm:pt>
    <dgm:pt modelId="{037E7FB9-9FE4-49D1-BB8C-522AF405FA72}" type="pres">
      <dgm:prSet presAssocID="{98DAD586-C322-4783-88FE-C898576E0966}" presName="vert1" presStyleCnt="0"/>
      <dgm:spPr/>
    </dgm:pt>
    <dgm:pt modelId="{7BCE1F9D-ABC0-48C7-936A-A0F5259716D7}" type="pres">
      <dgm:prSet presAssocID="{D015031D-3CDE-4FC1-9BFC-CCDBC245313D}" presName="thickLine" presStyleLbl="alignNode1" presStyleIdx="3" presStyleCnt="4"/>
      <dgm:spPr/>
    </dgm:pt>
    <dgm:pt modelId="{5416373B-AC19-4C6F-918B-8B1DC1D75000}" type="pres">
      <dgm:prSet presAssocID="{D015031D-3CDE-4FC1-9BFC-CCDBC245313D}" presName="horz1" presStyleCnt="0"/>
      <dgm:spPr/>
    </dgm:pt>
    <dgm:pt modelId="{32588254-08D3-4CB1-8A6F-76E2D4733E1E}" type="pres">
      <dgm:prSet presAssocID="{D015031D-3CDE-4FC1-9BFC-CCDBC245313D}" presName="tx1" presStyleLbl="revTx" presStyleIdx="3" presStyleCnt="4"/>
      <dgm:spPr/>
      <dgm:t>
        <a:bodyPr/>
        <a:lstStyle/>
        <a:p>
          <a:endParaRPr lang="pl-PL"/>
        </a:p>
      </dgm:t>
    </dgm:pt>
    <dgm:pt modelId="{C918B4A6-5E64-41DB-8F89-61CAF9DB87BD}" type="pres">
      <dgm:prSet presAssocID="{D015031D-3CDE-4FC1-9BFC-CCDBC245313D}" presName="vert1" presStyleCnt="0"/>
      <dgm:spPr/>
    </dgm:pt>
  </dgm:ptLst>
  <dgm:cxnLst>
    <dgm:cxn modelId="{48F38201-50C5-4C0B-ACBA-867810F38DD3}" type="presOf" srcId="{F456E0C2-B493-4F3F-9AF2-3CCA69BC5614}" destId="{0FFA66E6-3096-4729-880A-7BE893D53D1C}" srcOrd="0" destOrd="0" presId="urn:microsoft.com/office/officeart/2008/layout/LinedList"/>
    <dgm:cxn modelId="{527F61DF-DF19-41D8-A12C-B04AF29F4B28}" type="presOf" srcId="{98DAD586-C322-4783-88FE-C898576E0966}" destId="{C289807F-354C-423B-83C1-BE8CFBA27F44}" srcOrd="0" destOrd="0" presId="urn:microsoft.com/office/officeart/2008/layout/LinedList"/>
    <dgm:cxn modelId="{4FE02C09-6C6E-4F07-9756-C3DE93C3D827}" srcId="{F456E0C2-B493-4F3F-9AF2-3CCA69BC5614}" destId="{DF5A84AF-1518-46A0-B5F7-1737AE3EC4AB}" srcOrd="1" destOrd="0" parTransId="{ECCB01E5-20C4-4094-816F-AA290AB04680}" sibTransId="{13EE9913-593B-4DA8-82F1-62F6C1B62962}"/>
    <dgm:cxn modelId="{00CB372C-02C6-402D-A8F2-EFF0D45545F2}" type="presOf" srcId="{DF5A84AF-1518-46A0-B5F7-1737AE3EC4AB}" destId="{1F35EE94-545B-45EE-832D-7D21563F4465}" srcOrd="0" destOrd="0" presId="urn:microsoft.com/office/officeart/2008/layout/LinedList"/>
    <dgm:cxn modelId="{3432D088-C38F-4CD3-ACCD-2FD74249E407}" srcId="{F456E0C2-B493-4F3F-9AF2-3CCA69BC5614}" destId="{98DAD586-C322-4783-88FE-C898576E0966}" srcOrd="2" destOrd="0" parTransId="{1EA4E100-985B-4E6A-A271-6662E12EA859}" sibTransId="{4DA96B2E-A1F5-43E0-B597-E852CCC111BE}"/>
    <dgm:cxn modelId="{8B2462C4-4B1C-46F1-AB5F-14A17280CF7A}" srcId="{F456E0C2-B493-4F3F-9AF2-3CCA69BC5614}" destId="{D015031D-3CDE-4FC1-9BFC-CCDBC245313D}" srcOrd="3" destOrd="0" parTransId="{482FA237-4115-40A1-AFFF-282D1B12C039}" sibTransId="{F3A271E0-D3EE-4A0F-9C96-565C105820F1}"/>
    <dgm:cxn modelId="{3494FDBC-CC82-4DB4-B8FF-1CA962F52959}" type="presOf" srcId="{C724FE4C-5CC3-4B66-9C25-84277DF61DBB}" destId="{9B7914AD-C63F-4119-A2BE-6672AA65C15D}" srcOrd="0" destOrd="0" presId="urn:microsoft.com/office/officeart/2008/layout/LinedList"/>
    <dgm:cxn modelId="{CC67FAFA-24EB-4648-A74A-5DBEB76FD2FA}" type="presOf" srcId="{D015031D-3CDE-4FC1-9BFC-CCDBC245313D}" destId="{32588254-08D3-4CB1-8A6F-76E2D4733E1E}" srcOrd="0" destOrd="0" presId="urn:microsoft.com/office/officeart/2008/layout/LinedList"/>
    <dgm:cxn modelId="{96759DE2-425F-4B8E-A2D3-7629130599C0}" srcId="{F456E0C2-B493-4F3F-9AF2-3CCA69BC5614}" destId="{C724FE4C-5CC3-4B66-9C25-84277DF61DBB}" srcOrd="0" destOrd="0" parTransId="{68053723-D4A5-41E0-853A-6D9DEE0B2758}" sibTransId="{A2EE6B47-E714-4ECF-833A-3A0E1FAF8ECD}"/>
    <dgm:cxn modelId="{0F8B182B-5FFA-4104-B8B5-19A1E5F1CE07}" type="presParOf" srcId="{0FFA66E6-3096-4729-880A-7BE893D53D1C}" destId="{1CCE87F8-E6E9-4ABB-9413-66D1DD3B9DFB}" srcOrd="0" destOrd="0" presId="urn:microsoft.com/office/officeart/2008/layout/LinedList"/>
    <dgm:cxn modelId="{1E71868D-E74A-4182-9CFD-9E471B49BB38}" type="presParOf" srcId="{0FFA66E6-3096-4729-880A-7BE893D53D1C}" destId="{6BFA802A-BEBC-4495-8193-D3A27C2CB265}" srcOrd="1" destOrd="0" presId="urn:microsoft.com/office/officeart/2008/layout/LinedList"/>
    <dgm:cxn modelId="{D686D8D4-12B9-4298-8DE9-0827DC340C67}" type="presParOf" srcId="{6BFA802A-BEBC-4495-8193-D3A27C2CB265}" destId="{9B7914AD-C63F-4119-A2BE-6672AA65C15D}" srcOrd="0" destOrd="0" presId="urn:microsoft.com/office/officeart/2008/layout/LinedList"/>
    <dgm:cxn modelId="{20143501-80C6-46B5-B8B3-35D799930D72}" type="presParOf" srcId="{6BFA802A-BEBC-4495-8193-D3A27C2CB265}" destId="{70966B80-CEA3-4A25-AE9A-C00C4EC85C0B}" srcOrd="1" destOrd="0" presId="urn:microsoft.com/office/officeart/2008/layout/LinedList"/>
    <dgm:cxn modelId="{7CF8A885-8517-49DD-8E8C-AE47D1EEFA27}" type="presParOf" srcId="{0FFA66E6-3096-4729-880A-7BE893D53D1C}" destId="{FAA80B8E-AD48-4BC4-9211-AD00D503D2A4}" srcOrd="2" destOrd="0" presId="urn:microsoft.com/office/officeart/2008/layout/LinedList"/>
    <dgm:cxn modelId="{A9EB52FA-E678-4842-AC8B-3E601D2165BE}" type="presParOf" srcId="{0FFA66E6-3096-4729-880A-7BE893D53D1C}" destId="{42FB4065-8486-4AA8-BC2A-E9A52FCA4FEE}" srcOrd="3" destOrd="0" presId="urn:microsoft.com/office/officeart/2008/layout/LinedList"/>
    <dgm:cxn modelId="{55EE4539-141A-4930-A455-DC2066768A44}" type="presParOf" srcId="{42FB4065-8486-4AA8-BC2A-E9A52FCA4FEE}" destId="{1F35EE94-545B-45EE-832D-7D21563F4465}" srcOrd="0" destOrd="0" presId="urn:microsoft.com/office/officeart/2008/layout/LinedList"/>
    <dgm:cxn modelId="{B8F1E905-9B3A-4CD3-A971-5A0C20EC9183}" type="presParOf" srcId="{42FB4065-8486-4AA8-BC2A-E9A52FCA4FEE}" destId="{62C6B2C4-15F7-4945-85DD-E1A5BAB0E797}" srcOrd="1" destOrd="0" presId="urn:microsoft.com/office/officeart/2008/layout/LinedList"/>
    <dgm:cxn modelId="{45C4D6C4-D637-4FA2-915B-D0CAD924D577}" type="presParOf" srcId="{0FFA66E6-3096-4729-880A-7BE893D53D1C}" destId="{36FBDDA9-93E4-4FA3-A5A4-4A4511E0AA74}" srcOrd="4" destOrd="0" presId="urn:microsoft.com/office/officeart/2008/layout/LinedList"/>
    <dgm:cxn modelId="{089B860D-42ED-4EB0-8C76-26B70BCB41E8}" type="presParOf" srcId="{0FFA66E6-3096-4729-880A-7BE893D53D1C}" destId="{0CB0DF06-7C1F-44BF-B9FC-BF64F2F7AE79}" srcOrd="5" destOrd="0" presId="urn:microsoft.com/office/officeart/2008/layout/LinedList"/>
    <dgm:cxn modelId="{CA5561DF-2BA2-4DD8-81CF-79A738CC58CD}" type="presParOf" srcId="{0CB0DF06-7C1F-44BF-B9FC-BF64F2F7AE79}" destId="{C289807F-354C-423B-83C1-BE8CFBA27F44}" srcOrd="0" destOrd="0" presId="urn:microsoft.com/office/officeart/2008/layout/LinedList"/>
    <dgm:cxn modelId="{911C0AD8-0D69-4B46-8B5B-6590B89DBA28}" type="presParOf" srcId="{0CB0DF06-7C1F-44BF-B9FC-BF64F2F7AE79}" destId="{037E7FB9-9FE4-49D1-BB8C-522AF405FA72}" srcOrd="1" destOrd="0" presId="urn:microsoft.com/office/officeart/2008/layout/LinedList"/>
    <dgm:cxn modelId="{8AC54A0D-8678-41F4-ACDB-00A0C5088156}" type="presParOf" srcId="{0FFA66E6-3096-4729-880A-7BE893D53D1C}" destId="{7BCE1F9D-ABC0-48C7-936A-A0F5259716D7}" srcOrd="6" destOrd="0" presId="urn:microsoft.com/office/officeart/2008/layout/LinedList"/>
    <dgm:cxn modelId="{75DA187D-643C-4943-9B40-FB9F27FCEA5E}" type="presParOf" srcId="{0FFA66E6-3096-4729-880A-7BE893D53D1C}" destId="{5416373B-AC19-4C6F-918B-8B1DC1D75000}" srcOrd="7" destOrd="0" presId="urn:microsoft.com/office/officeart/2008/layout/LinedList"/>
    <dgm:cxn modelId="{015F7E46-EDA0-4750-9570-76E3C41B6B40}" type="presParOf" srcId="{5416373B-AC19-4C6F-918B-8B1DC1D75000}" destId="{32588254-08D3-4CB1-8A6F-76E2D4733E1E}" srcOrd="0" destOrd="0" presId="urn:microsoft.com/office/officeart/2008/layout/LinedList"/>
    <dgm:cxn modelId="{BCF656FB-84A2-4326-845C-3788AC0482FC}" type="presParOf" srcId="{5416373B-AC19-4C6F-918B-8B1DC1D75000}" destId="{C918B4A6-5E64-41DB-8F89-61CAF9DB87BD}" srcOrd="1" destOrd="0" presId="urn:microsoft.com/office/officeart/2008/layout/Lined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E6D2A3-B98F-44F7-9817-F3CFC962DB05}" type="doc">
      <dgm:prSet loTypeId="urn:microsoft.com/office/officeart/2005/8/layout/default" loCatId="list" qsTypeId="urn:microsoft.com/office/officeart/2005/8/quickstyle/simple1" qsCatId="simple" csTypeId="urn:microsoft.com/office/officeart/2005/8/colors/accent6_1" csCatId="accent6" phldr="1"/>
      <dgm:spPr/>
      <dgm:t>
        <a:bodyPr/>
        <a:lstStyle/>
        <a:p>
          <a:endParaRPr lang="pl-PL"/>
        </a:p>
      </dgm:t>
    </dgm:pt>
    <dgm:pt modelId="{EE386870-E164-4CE3-8E1B-69DCCB8D5742}">
      <dgm:prSet phldrT="[Tekst]"/>
      <dgm:spPr/>
      <dgm:t>
        <a:bodyPr/>
        <a:lstStyle/>
        <a:p>
          <a:r>
            <a:rPr lang="pl-PL"/>
            <a:t>Związek Gmin i Powiatów Subregionu Centralnego Województwa Śląskiego z siedzibą w Gliwicach</a:t>
          </a:r>
        </a:p>
      </dgm:t>
    </dgm:pt>
    <dgm:pt modelId="{3A26206E-809D-475A-B9D5-7AF7AFFD2E71}" type="parTrans" cxnId="{087EA426-5040-48EC-86BA-280E3C9E0120}">
      <dgm:prSet/>
      <dgm:spPr/>
      <dgm:t>
        <a:bodyPr/>
        <a:lstStyle/>
        <a:p>
          <a:endParaRPr lang="pl-PL"/>
        </a:p>
      </dgm:t>
    </dgm:pt>
    <dgm:pt modelId="{77653B19-A122-4FEF-86DB-2CFE118BF45D}" type="sibTrans" cxnId="{087EA426-5040-48EC-86BA-280E3C9E0120}">
      <dgm:prSet/>
      <dgm:spPr/>
      <dgm:t>
        <a:bodyPr/>
        <a:lstStyle/>
        <a:p>
          <a:endParaRPr lang="pl-PL"/>
        </a:p>
      </dgm:t>
    </dgm:pt>
    <dgm:pt modelId="{FFCFCFCB-1CC4-48AD-A100-3D27C8A06B02}">
      <dgm:prSet phldrT="[Tekst]"/>
      <dgm:spPr/>
      <dgm:t>
        <a:bodyPr/>
        <a:lstStyle/>
        <a:p>
          <a:r>
            <a:rPr lang="pl-PL"/>
            <a:t>Związek Gmin i Powiatów Subregionu Zachodniego Województwa Śląskiego z siedzibą w Rybniku</a:t>
          </a:r>
        </a:p>
      </dgm:t>
    </dgm:pt>
    <dgm:pt modelId="{C73D8CD3-01A1-4C7E-9281-5758BB4617E8}" type="parTrans" cxnId="{3A8783DD-D085-4466-A44C-5860DEA479B6}">
      <dgm:prSet/>
      <dgm:spPr/>
      <dgm:t>
        <a:bodyPr/>
        <a:lstStyle/>
        <a:p>
          <a:endParaRPr lang="pl-PL"/>
        </a:p>
      </dgm:t>
    </dgm:pt>
    <dgm:pt modelId="{FEB79215-B167-4B4D-AB46-2E217CBCF549}" type="sibTrans" cxnId="{3A8783DD-D085-4466-A44C-5860DEA479B6}">
      <dgm:prSet/>
      <dgm:spPr/>
      <dgm:t>
        <a:bodyPr/>
        <a:lstStyle/>
        <a:p>
          <a:endParaRPr lang="pl-PL"/>
        </a:p>
      </dgm:t>
    </dgm:pt>
    <dgm:pt modelId="{2E4457C6-03D4-41B2-8389-0DA2C3FF59E4}">
      <dgm:prSet phldrT="[Tekst]"/>
      <dgm:spPr/>
      <dgm:t>
        <a:bodyPr/>
        <a:lstStyle/>
        <a:p>
          <a:r>
            <a:rPr lang="pl-PL"/>
            <a:t>Miasto Częstochowa (IP Subregiony Północnego)</a:t>
          </a:r>
        </a:p>
      </dgm:t>
    </dgm:pt>
    <dgm:pt modelId="{2A72E777-CF19-434B-998A-059B250AFCBB}" type="parTrans" cxnId="{0596F917-1A1C-487F-A432-518CA6119822}">
      <dgm:prSet/>
      <dgm:spPr/>
      <dgm:t>
        <a:bodyPr/>
        <a:lstStyle/>
        <a:p>
          <a:endParaRPr lang="pl-PL"/>
        </a:p>
      </dgm:t>
    </dgm:pt>
    <dgm:pt modelId="{551606BA-94D4-4704-A600-F8515E953615}" type="sibTrans" cxnId="{0596F917-1A1C-487F-A432-518CA6119822}">
      <dgm:prSet/>
      <dgm:spPr/>
      <dgm:t>
        <a:bodyPr/>
        <a:lstStyle/>
        <a:p>
          <a:endParaRPr lang="pl-PL"/>
        </a:p>
      </dgm:t>
    </dgm:pt>
    <dgm:pt modelId="{4FACBD38-CC6F-41C4-8E68-F377C0341C5C}">
      <dgm:prSet phldrT="[Tekst]"/>
      <dgm:spPr/>
      <dgm:t>
        <a:bodyPr/>
        <a:lstStyle/>
        <a:p>
          <a:r>
            <a:rPr lang="pl-PL"/>
            <a:t>Miasto Bielsko-Biała (IP Subregionu Południowego)</a:t>
          </a:r>
        </a:p>
      </dgm:t>
    </dgm:pt>
    <dgm:pt modelId="{7E0C06C8-39E0-45D4-AC8E-D95EA8E9FDAD}" type="parTrans" cxnId="{9BD1CBAD-9331-4BC6-BE39-88F44697BDD5}">
      <dgm:prSet/>
      <dgm:spPr/>
      <dgm:t>
        <a:bodyPr/>
        <a:lstStyle/>
        <a:p>
          <a:endParaRPr lang="pl-PL"/>
        </a:p>
      </dgm:t>
    </dgm:pt>
    <dgm:pt modelId="{54AC5CEC-8BCA-45AD-BE2A-308CE11F3B65}" type="sibTrans" cxnId="{9BD1CBAD-9331-4BC6-BE39-88F44697BDD5}">
      <dgm:prSet/>
      <dgm:spPr/>
      <dgm:t>
        <a:bodyPr/>
        <a:lstStyle/>
        <a:p>
          <a:endParaRPr lang="pl-PL"/>
        </a:p>
      </dgm:t>
    </dgm:pt>
    <dgm:pt modelId="{B87D2493-5A7A-40B8-A5CC-42696374A83C}" type="pres">
      <dgm:prSet presAssocID="{49E6D2A3-B98F-44F7-9817-F3CFC962DB05}" presName="diagram" presStyleCnt="0">
        <dgm:presLayoutVars>
          <dgm:dir/>
          <dgm:resizeHandles val="exact"/>
        </dgm:presLayoutVars>
      </dgm:prSet>
      <dgm:spPr/>
      <dgm:t>
        <a:bodyPr/>
        <a:lstStyle/>
        <a:p>
          <a:endParaRPr lang="pl-PL"/>
        </a:p>
      </dgm:t>
    </dgm:pt>
    <dgm:pt modelId="{2CD3BB25-AC88-47DA-B8C5-47F4C451E7B5}" type="pres">
      <dgm:prSet presAssocID="{EE386870-E164-4CE3-8E1B-69DCCB8D5742}" presName="node" presStyleLbl="node1" presStyleIdx="0" presStyleCnt="4">
        <dgm:presLayoutVars>
          <dgm:bulletEnabled val="1"/>
        </dgm:presLayoutVars>
      </dgm:prSet>
      <dgm:spPr/>
      <dgm:t>
        <a:bodyPr/>
        <a:lstStyle/>
        <a:p>
          <a:endParaRPr lang="pl-PL"/>
        </a:p>
      </dgm:t>
    </dgm:pt>
    <dgm:pt modelId="{3AAF0735-444E-4856-83B3-95BCECAFF39D}" type="pres">
      <dgm:prSet presAssocID="{77653B19-A122-4FEF-86DB-2CFE118BF45D}" presName="sibTrans" presStyleCnt="0"/>
      <dgm:spPr/>
      <dgm:t>
        <a:bodyPr/>
        <a:lstStyle/>
        <a:p>
          <a:endParaRPr lang="pl-PL"/>
        </a:p>
      </dgm:t>
    </dgm:pt>
    <dgm:pt modelId="{0B8E8A80-ADD7-4EA4-8347-AD27C9AFF042}" type="pres">
      <dgm:prSet presAssocID="{FFCFCFCB-1CC4-48AD-A100-3D27C8A06B02}" presName="node" presStyleLbl="node1" presStyleIdx="1" presStyleCnt="4">
        <dgm:presLayoutVars>
          <dgm:bulletEnabled val="1"/>
        </dgm:presLayoutVars>
      </dgm:prSet>
      <dgm:spPr/>
      <dgm:t>
        <a:bodyPr/>
        <a:lstStyle/>
        <a:p>
          <a:endParaRPr lang="pl-PL"/>
        </a:p>
      </dgm:t>
    </dgm:pt>
    <dgm:pt modelId="{64F6EF3F-E98B-4EC1-BF20-EA955996299C}" type="pres">
      <dgm:prSet presAssocID="{FEB79215-B167-4B4D-AB46-2E217CBCF549}" presName="sibTrans" presStyleCnt="0"/>
      <dgm:spPr/>
      <dgm:t>
        <a:bodyPr/>
        <a:lstStyle/>
        <a:p>
          <a:endParaRPr lang="pl-PL"/>
        </a:p>
      </dgm:t>
    </dgm:pt>
    <dgm:pt modelId="{F7840D3A-F88D-412C-BBE4-C80A7E87AC08}" type="pres">
      <dgm:prSet presAssocID="{2E4457C6-03D4-41B2-8389-0DA2C3FF59E4}" presName="node" presStyleLbl="node1" presStyleIdx="2" presStyleCnt="4">
        <dgm:presLayoutVars>
          <dgm:bulletEnabled val="1"/>
        </dgm:presLayoutVars>
      </dgm:prSet>
      <dgm:spPr/>
      <dgm:t>
        <a:bodyPr/>
        <a:lstStyle/>
        <a:p>
          <a:endParaRPr lang="pl-PL"/>
        </a:p>
      </dgm:t>
    </dgm:pt>
    <dgm:pt modelId="{DDD22E0C-66AC-415E-AEF7-B73D3D41142B}" type="pres">
      <dgm:prSet presAssocID="{551606BA-94D4-4704-A600-F8515E953615}" presName="sibTrans" presStyleCnt="0"/>
      <dgm:spPr/>
      <dgm:t>
        <a:bodyPr/>
        <a:lstStyle/>
        <a:p>
          <a:endParaRPr lang="pl-PL"/>
        </a:p>
      </dgm:t>
    </dgm:pt>
    <dgm:pt modelId="{0689C16B-7337-4629-8867-29C7035A729B}" type="pres">
      <dgm:prSet presAssocID="{4FACBD38-CC6F-41C4-8E68-F377C0341C5C}" presName="node" presStyleLbl="node1" presStyleIdx="3" presStyleCnt="4">
        <dgm:presLayoutVars>
          <dgm:bulletEnabled val="1"/>
        </dgm:presLayoutVars>
      </dgm:prSet>
      <dgm:spPr/>
      <dgm:t>
        <a:bodyPr/>
        <a:lstStyle/>
        <a:p>
          <a:endParaRPr lang="pl-PL"/>
        </a:p>
      </dgm:t>
    </dgm:pt>
  </dgm:ptLst>
  <dgm:cxnLst>
    <dgm:cxn modelId="{9BD1CBAD-9331-4BC6-BE39-88F44697BDD5}" srcId="{49E6D2A3-B98F-44F7-9817-F3CFC962DB05}" destId="{4FACBD38-CC6F-41C4-8E68-F377C0341C5C}" srcOrd="3" destOrd="0" parTransId="{7E0C06C8-39E0-45D4-AC8E-D95EA8E9FDAD}" sibTransId="{54AC5CEC-8BCA-45AD-BE2A-308CE11F3B65}"/>
    <dgm:cxn modelId="{1A96861A-D49D-4EF4-8039-B1645F6C2B0B}" type="presOf" srcId="{49E6D2A3-B98F-44F7-9817-F3CFC962DB05}" destId="{B87D2493-5A7A-40B8-A5CC-42696374A83C}" srcOrd="0" destOrd="0" presId="urn:microsoft.com/office/officeart/2005/8/layout/default"/>
    <dgm:cxn modelId="{25569C28-7051-41AC-A608-ADBB9DF2AF18}" type="presOf" srcId="{4FACBD38-CC6F-41C4-8E68-F377C0341C5C}" destId="{0689C16B-7337-4629-8867-29C7035A729B}" srcOrd="0" destOrd="0" presId="urn:microsoft.com/office/officeart/2005/8/layout/default"/>
    <dgm:cxn modelId="{087EA426-5040-48EC-86BA-280E3C9E0120}" srcId="{49E6D2A3-B98F-44F7-9817-F3CFC962DB05}" destId="{EE386870-E164-4CE3-8E1B-69DCCB8D5742}" srcOrd="0" destOrd="0" parTransId="{3A26206E-809D-475A-B9D5-7AF7AFFD2E71}" sibTransId="{77653B19-A122-4FEF-86DB-2CFE118BF45D}"/>
    <dgm:cxn modelId="{7D7F5E33-9489-46C4-9A02-144ECBE48F9A}" type="presOf" srcId="{EE386870-E164-4CE3-8E1B-69DCCB8D5742}" destId="{2CD3BB25-AC88-47DA-B8C5-47F4C451E7B5}" srcOrd="0" destOrd="0" presId="urn:microsoft.com/office/officeart/2005/8/layout/default"/>
    <dgm:cxn modelId="{ED69D48E-46A4-47B5-9F60-DF289AF112B8}" type="presOf" srcId="{FFCFCFCB-1CC4-48AD-A100-3D27C8A06B02}" destId="{0B8E8A80-ADD7-4EA4-8347-AD27C9AFF042}" srcOrd="0" destOrd="0" presId="urn:microsoft.com/office/officeart/2005/8/layout/default"/>
    <dgm:cxn modelId="{3A8783DD-D085-4466-A44C-5860DEA479B6}" srcId="{49E6D2A3-B98F-44F7-9817-F3CFC962DB05}" destId="{FFCFCFCB-1CC4-48AD-A100-3D27C8A06B02}" srcOrd="1" destOrd="0" parTransId="{C73D8CD3-01A1-4C7E-9281-5758BB4617E8}" sibTransId="{FEB79215-B167-4B4D-AB46-2E217CBCF549}"/>
    <dgm:cxn modelId="{8FB6E013-AB63-41D4-AD08-5CC49D0EB592}" type="presOf" srcId="{2E4457C6-03D4-41B2-8389-0DA2C3FF59E4}" destId="{F7840D3A-F88D-412C-BBE4-C80A7E87AC08}" srcOrd="0" destOrd="0" presId="urn:microsoft.com/office/officeart/2005/8/layout/default"/>
    <dgm:cxn modelId="{0596F917-1A1C-487F-A432-518CA6119822}" srcId="{49E6D2A3-B98F-44F7-9817-F3CFC962DB05}" destId="{2E4457C6-03D4-41B2-8389-0DA2C3FF59E4}" srcOrd="2" destOrd="0" parTransId="{2A72E777-CF19-434B-998A-059B250AFCBB}" sibTransId="{551606BA-94D4-4704-A600-F8515E953615}"/>
    <dgm:cxn modelId="{7AFDE6E3-CD94-41AD-91D1-1D57C65D11B1}" type="presParOf" srcId="{B87D2493-5A7A-40B8-A5CC-42696374A83C}" destId="{2CD3BB25-AC88-47DA-B8C5-47F4C451E7B5}" srcOrd="0" destOrd="0" presId="urn:microsoft.com/office/officeart/2005/8/layout/default"/>
    <dgm:cxn modelId="{6EA44A4E-9D73-408E-A46E-19921CBE6768}" type="presParOf" srcId="{B87D2493-5A7A-40B8-A5CC-42696374A83C}" destId="{3AAF0735-444E-4856-83B3-95BCECAFF39D}" srcOrd="1" destOrd="0" presId="urn:microsoft.com/office/officeart/2005/8/layout/default"/>
    <dgm:cxn modelId="{5095E50B-D58C-4698-9CAA-ECD313671262}" type="presParOf" srcId="{B87D2493-5A7A-40B8-A5CC-42696374A83C}" destId="{0B8E8A80-ADD7-4EA4-8347-AD27C9AFF042}" srcOrd="2" destOrd="0" presId="urn:microsoft.com/office/officeart/2005/8/layout/default"/>
    <dgm:cxn modelId="{326CC75D-3737-4D5B-943F-A8FE8ECF82CB}" type="presParOf" srcId="{B87D2493-5A7A-40B8-A5CC-42696374A83C}" destId="{64F6EF3F-E98B-4EC1-BF20-EA955996299C}" srcOrd="3" destOrd="0" presId="urn:microsoft.com/office/officeart/2005/8/layout/default"/>
    <dgm:cxn modelId="{0BCA8BFC-8B7E-4C7B-8A70-9A279E61146E}" type="presParOf" srcId="{B87D2493-5A7A-40B8-A5CC-42696374A83C}" destId="{F7840D3A-F88D-412C-BBE4-C80A7E87AC08}" srcOrd="4" destOrd="0" presId="urn:microsoft.com/office/officeart/2005/8/layout/default"/>
    <dgm:cxn modelId="{27C2DA73-A4F3-43F4-9C59-4736DF5F894B}" type="presParOf" srcId="{B87D2493-5A7A-40B8-A5CC-42696374A83C}" destId="{DDD22E0C-66AC-415E-AEF7-B73D3D41142B}" srcOrd="5" destOrd="0" presId="urn:microsoft.com/office/officeart/2005/8/layout/default"/>
    <dgm:cxn modelId="{CCBAB232-8213-453D-AB6A-B80DD49B351F}" type="presParOf" srcId="{B87D2493-5A7A-40B8-A5CC-42696374A83C}" destId="{0689C16B-7337-4629-8867-29C7035A729B}" srcOrd="6" destOrd="0" presId="urn:microsoft.com/office/officeart/2005/8/layout/defaul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E87F8-E6E9-4ABB-9413-66D1DD3B9DFB}">
      <dsp:nvSpPr>
        <dsp:cNvPr id="0" name=""/>
        <dsp:cNvSpPr/>
      </dsp:nvSpPr>
      <dsp:spPr>
        <a:xfrm>
          <a:off x="0" y="0"/>
          <a:ext cx="5759450" cy="0"/>
        </a:xfrm>
        <a:prstGeom prst="lin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7914AD-C63F-4119-A2BE-6672AA65C15D}">
      <dsp:nvSpPr>
        <dsp:cNvPr id="0" name=""/>
        <dsp:cNvSpPr/>
      </dsp:nvSpPr>
      <dsp:spPr>
        <a:xfrm>
          <a:off x="0" y="0"/>
          <a:ext cx="5759450" cy="400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pl-PL" sz="1200" kern="1200"/>
            <a:t>Eliminowanie dyskryminacji ze względu na niepełnosprawność</a:t>
          </a:r>
        </a:p>
      </dsp:txBody>
      <dsp:txXfrm>
        <a:off x="0" y="0"/>
        <a:ext cx="5759450" cy="400049"/>
      </dsp:txXfrm>
    </dsp:sp>
    <dsp:sp modelId="{FAA80B8E-AD48-4BC4-9211-AD00D503D2A4}">
      <dsp:nvSpPr>
        <dsp:cNvPr id="0" name=""/>
        <dsp:cNvSpPr/>
      </dsp:nvSpPr>
      <dsp:spPr>
        <a:xfrm>
          <a:off x="0" y="400049"/>
          <a:ext cx="5759450" cy="0"/>
        </a:xfrm>
        <a:prstGeom prst="lin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35EE94-545B-45EE-832D-7D21563F4465}">
      <dsp:nvSpPr>
        <dsp:cNvPr id="0" name=""/>
        <dsp:cNvSpPr/>
      </dsp:nvSpPr>
      <dsp:spPr>
        <a:xfrm>
          <a:off x="0" y="400049"/>
          <a:ext cx="5759450" cy="400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pl-PL" sz="1200" kern="1200"/>
            <a:t>Kierowanie się zasadą respektowania odmienności osób z niepełnosprawnościami</a:t>
          </a:r>
        </a:p>
      </dsp:txBody>
      <dsp:txXfrm>
        <a:off x="0" y="400049"/>
        <a:ext cx="5759450" cy="400049"/>
      </dsp:txXfrm>
    </dsp:sp>
    <dsp:sp modelId="{36FBDDA9-93E4-4FA3-A5A4-4A4511E0AA74}">
      <dsp:nvSpPr>
        <dsp:cNvPr id="0" name=""/>
        <dsp:cNvSpPr/>
      </dsp:nvSpPr>
      <dsp:spPr>
        <a:xfrm>
          <a:off x="0" y="800099"/>
          <a:ext cx="5759450" cy="0"/>
        </a:xfrm>
        <a:prstGeom prst="lin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89807F-354C-423B-83C1-BE8CFBA27F44}">
      <dsp:nvSpPr>
        <dsp:cNvPr id="0" name=""/>
        <dsp:cNvSpPr/>
      </dsp:nvSpPr>
      <dsp:spPr>
        <a:xfrm>
          <a:off x="0" y="800099"/>
          <a:ext cx="5759450" cy="400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pl-PL" sz="1200" kern="1200"/>
            <a:t>Zapewnienie osobom z niepełnosprawnościami dostępności, zwłaszcza przy zastosowaniu uniwersalnego projektowania przestrzeni</a:t>
          </a:r>
        </a:p>
      </dsp:txBody>
      <dsp:txXfrm>
        <a:off x="0" y="800099"/>
        <a:ext cx="5759450" cy="400049"/>
      </dsp:txXfrm>
    </dsp:sp>
    <dsp:sp modelId="{7BCE1F9D-ABC0-48C7-936A-A0F5259716D7}">
      <dsp:nvSpPr>
        <dsp:cNvPr id="0" name=""/>
        <dsp:cNvSpPr/>
      </dsp:nvSpPr>
      <dsp:spPr>
        <a:xfrm>
          <a:off x="0" y="1200150"/>
          <a:ext cx="5759450" cy="0"/>
        </a:xfrm>
        <a:prstGeom prst="lin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588254-08D3-4CB1-8A6F-76E2D4733E1E}">
      <dsp:nvSpPr>
        <dsp:cNvPr id="0" name=""/>
        <dsp:cNvSpPr/>
      </dsp:nvSpPr>
      <dsp:spPr>
        <a:xfrm>
          <a:off x="0" y="1200150"/>
          <a:ext cx="5759450" cy="400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pl-PL" sz="1200" kern="1200"/>
            <a:t>Stosowanie racjonalnych usprawnień dla osób z niepełnosprawnościami</a:t>
          </a:r>
        </a:p>
      </dsp:txBody>
      <dsp:txXfrm>
        <a:off x="0" y="1200150"/>
        <a:ext cx="5759450" cy="4000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D3BB25-AC88-47DA-B8C5-47F4C451E7B5}">
      <dsp:nvSpPr>
        <dsp:cNvPr id="0" name=""/>
        <dsp:cNvSpPr/>
      </dsp:nvSpPr>
      <dsp:spPr>
        <a:xfrm>
          <a:off x="402907" y="1160"/>
          <a:ext cx="1426964" cy="856178"/>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Związek Gmin i Powiatów Subregionu Centralnego Województwa Śląskiego z siedzibą w Gliwicach</a:t>
          </a:r>
        </a:p>
      </dsp:txBody>
      <dsp:txXfrm>
        <a:off x="402907" y="1160"/>
        <a:ext cx="1426964" cy="856178"/>
      </dsp:txXfrm>
    </dsp:sp>
    <dsp:sp modelId="{0B8E8A80-ADD7-4EA4-8347-AD27C9AFF042}">
      <dsp:nvSpPr>
        <dsp:cNvPr id="0" name=""/>
        <dsp:cNvSpPr/>
      </dsp:nvSpPr>
      <dsp:spPr>
        <a:xfrm>
          <a:off x="1972567" y="1160"/>
          <a:ext cx="1426964" cy="856178"/>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Związek Gmin i Powiatów Subregionu Zachodniego Województwa Śląskiego z siedzibą w Rybniku</a:t>
          </a:r>
        </a:p>
      </dsp:txBody>
      <dsp:txXfrm>
        <a:off x="1972567" y="1160"/>
        <a:ext cx="1426964" cy="856178"/>
      </dsp:txXfrm>
    </dsp:sp>
    <dsp:sp modelId="{F7840D3A-F88D-412C-BBE4-C80A7E87AC08}">
      <dsp:nvSpPr>
        <dsp:cNvPr id="0" name=""/>
        <dsp:cNvSpPr/>
      </dsp:nvSpPr>
      <dsp:spPr>
        <a:xfrm>
          <a:off x="3542228" y="1160"/>
          <a:ext cx="1426964" cy="856178"/>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Miasto Częstochowa (IP Subregiony Północnego)</a:t>
          </a:r>
        </a:p>
      </dsp:txBody>
      <dsp:txXfrm>
        <a:off x="3542228" y="1160"/>
        <a:ext cx="1426964" cy="856178"/>
      </dsp:txXfrm>
    </dsp:sp>
    <dsp:sp modelId="{0689C16B-7337-4629-8867-29C7035A729B}">
      <dsp:nvSpPr>
        <dsp:cNvPr id="0" name=""/>
        <dsp:cNvSpPr/>
      </dsp:nvSpPr>
      <dsp:spPr>
        <a:xfrm>
          <a:off x="1972567" y="1000035"/>
          <a:ext cx="1426964" cy="856178"/>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Miasto Bielsko-Biała (IP Subregionu Południowego)</a:t>
          </a:r>
        </a:p>
      </dsp:txBody>
      <dsp:txXfrm>
        <a:off x="1972567" y="1000035"/>
        <a:ext cx="1426964" cy="856178"/>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FA1F3B16C8C704DA37A63ACA9CA61DD" ma:contentTypeVersion="12" ma:contentTypeDescription="Utwórz nowy dokument." ma:contentTypeScope="" ma:versionID="c1c551ec9c9f2bb8d70c9d9d0182552a">
  <xsd:schema xmlns:xsd="http://www.w3.org/2001/XMLSchema" xmlns:xs="http://www.w3.org/2001/XMLSchema" xmlns:p="http://schemas.microsoft.com/office/2006/metadata/properties" xmlns:ns3="d4f64a22-a125-4b7a-afce-4a30c86a8f7c" xmlns:ns4="d47a4560-aee9-43e8-973f-2abd655c26a0" targetNamespace="http://schemas.microsoft.com/office/2006/metadata/properties" ma:root="true" ma:fieldsID="0c8998035f14fc0770bd6ca0b0e3206b" ns3:_="" ns4:_="">
    <xsd:import namespace="d4f64a22-a125-4b7a-afce-4a30c86a8f7c"/>
    <xsd:import namespace="d47a4560-aee9-43e8-973f-2abd655c26a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f64a22-a125-4b7a-afce-4a30c86a8f7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7a4560-aee9-43e8-973f-2abd655c26a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3C4BB-9371-4FF6-91E6-C627712AE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f64a22-a125-4b7a-afce-4a30c86a8f7c"/>
    <ds:schemaRef ds:uri="d47a4560-aee9-43e8-973f-2abd655c26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2ABB7-0A53-4CAE-8404-73BF6A666209}">
  <ds:schemaRefs>
    <ds:schemaRef ds:uri="http://schemas.microsoft.com/sharepoint/v3/contenttype/forms"/>
  </ds:schemaRefs>
</ds:datastoreItem>
</file>

<file path=customXml/itemProps3.xml><?xml version="1.0" encoding="utf-8"?>
<ds:datastoreItem xmlns:ds="http://schemas.openxmlformats.org/officeDocument/2006/customXml" ds:itemID="{91DB9037-D410-4E5A-AC99-7ECEAD7B5A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86FE47-6401-436A-A65D-784D05820FBD}">
  <ds:schemaRefs>
    <ds:schemaRef ds:uri="http://schemas.microsoft.com/sharepoint/v3/contenttype/forms"/>
  </ds:schemaRefs>
</ds:datastoreItem>
</file>

<file path=customXml/itemProps5.xml><?xml version="1.0" encoding="utf-8"?>
<ds:datastoreItem xmlns:ds="http://schemas.openxmlformats.org/officeDocument/2006/customXml" ds:itemID="{1DE2F8D2-5B04-4320-B0A7-3B2425055470}">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4BE94D39-33B0-477C-B5AE-DB71C3E69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63378</Words>
  <Characters>380270</Characters>
  <Application>Microsoft Office Word</Application>
  <DocSecurity>0</DocSecurity>
  <Lines>3168</Lines>
  <Paragraphs>885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Eu-Consult</dc:creator>
  <cp:lastModifiedBy>Konieczna Kamila</cp:lastModifiedBy>
  <cp:revision>2</cp:revision>
  <cp:lastPrinted>2020-04-24T09:55:00Z</cp:lastPrinted>
  <dcterms:created xsi:type="dcterms:W3CDTF">2020-04-29T07:41:00Z</dcterms:created>
  <dcterms:modified xsi:type="dcterms:W3CDTF">2020-04-29T07:41:00Z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0x0101002FA1F3B16C8C704DA37A63ACA9CA61DD</vt:lpwstr>
  </property>
</Properties>
</file>