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4441B7E9" w:rsidR="00F93282" w:rsidRPr="001E7082" w:rsidRDefault="001E7082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E7082">
              <w:rPr>
                <w:rFonts w:asciiTheme="minorHAnsi" w:hAnsiTheme="minorHAnsi" w:cstheme="minorHAnsi"/>
                <w:b/>
                <w:szCs w:val="22"/>
              </w:rPr>
              <w:t>Zamykanie projektów</w:t>
            </w:r>
            <w:r w:rsidRPr="001E7082">
              <w:rPr>
                <w:rFonts w:asciiTheme="minorHAnsi" w:hAnsiTheme="minorHAnsi" w:cstheme="minorHAnsi"/>
                <w:szCs w:val="22"/>
              </w:rPr>
              <w:t xml:space="preserve"> współfinansowanych z </w:t>
            </w:r>
            <w:r w:rsidRPr="001E7082">
              <w:rPr>
                <w:rFonts w:asciiTheme="minorHAnsi" w:eastAsia="Calibri" w:hAnsiTheme="minorHAnsi" w:cstheme="minorHAnsi"/>
                <w:bCs/>
                <w:szCs w:val="22"/>
              </w:rPr>
              <w:t>Regionalnego Programu Operacyjnego Województwa Śląskiego na lata 2014-2020</w:t>
            </w:r>
            <w:r w:rsidRPr="001E708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12788">
              <w:rPr>
                <w:rFonts w:asciiTheme="minorHAnsi" w:hAnsiTheme="minorHAnsi" w:cstheme="minorHAnsi"/>
                <w:szCs w:val="22"/>
              </w:rPr>
              <w:br/>
            </w:r>
            <w:bookmarkStart w:id="0" w:name="_GoBack"/>
            <w:bookmarkEnd w:id="0"/>
            <w:r w:rsidRPr="001E7082">
              <w:rPr>
                <w:rFonts w:asciiTheme="minorHAnsi" w:hAnsiTheme="minorHAnsi" w:cstheme="minorHAnsi"/>
                <w:szCs w:val="22"/>
              </w:rPr>
              <w:t>(rozliczanie końcowe projektu, trwałość projektu)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08CAE913" w:rsidR="00F93282" w:rsidRPr="00667CAF" w:rsidRDefault="001E7082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Ingrid </w:t>
            </w:r>
            <w:proofErr w:type="spellStart"/>
            <w:r>
              <w:rPr>
                <w:rFonts w:asciiTheme="minorHAnsi" w:hAnsiTheme="minorHAnsi"/>
              </w:rPr>
              <w:t>Szrajer</w:t>
            </w:r>
            <w:proofErr w:type="spellEnd"/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6E2AEF" w14:textId="27F5943B" w:rsidR="008C6DC4" w:rsidRPr="00767649" w:rsidRDefault="008C6DC4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Główne zobowiązania Beneficjenta w kontekście zamykania projektu współfinansowanego z</w:t>
            </w:r>
            <w:r w:rsidR="00483301">
              <w:rPr>
                <w:rFonts w:cs="Calibri"/>
              </w:rPr>
              <w:t>e środków UE w latach 2014-2020.</w:t>
            </w:r>
          </w:p>
          <w:p w14:paraId="4C720DA2" w14:textId="3F2F4B55" w:rsidR="008C6DC4" w:rsidRPr="00767649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Wymogi w zakresie prowadzenia i przechowywania dokumentacji</w:t>
            </w:r>
            <w:r w:rsidR="00483301">
              <w:rPr>
                <w:rFonts w:cs="Calibri"/>
              </w:rPr>
              <w:t>.</w:t>
            </w:r>
          </w:p>
          <w:p w14:paraId="4E81CE9A" w14:textId="134452F5" w:rsidR="008C6DC4" w:rsidRPr="00767649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 xml:space="preserve">Przegląd dokumentacji niezbędnej do </w:t>
            </w:r>
            <w:r>
              <w:rPr>
                <w:rFonts w:cs="Calibri"/>
              </w:rPr>
              <w:t>archiwizacji</w:t>
            </w:r>
            <w:r w:rsidR="00483301">
              <w:rPr>
                <w:rFonts w:cs="Calibri"/>
              </w:rPr>
              <w:t>.</w:t>
            </w:r>
          </w:p>
          <w:p w14:paraId="64DFC01C" w14:textId="1469DCEA" w:rsidR="008C6DC4" w:rsidRPr="00767649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Przegląd zagadnień będących przedmiotem kontroli na zakończenie projektu</w:t>
            </w:r>
            <w:r w:rsidR="00483301">
              <w:rPr>
                <w:rFonts w:cs="Calibri"/>
              </w:rPr>
              <w:t>.</w:t>
            </w:r>
          </w:p>
          <w:p w14:paraId="76D9EE06" w14:textId="3C4CB91A" w:rsidR="008C6DC4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Wskaźniki w projekcie i ryzyko naliczenia sankcji z tytułu reguły proporcjonalności</w:t>
            </w:r>
            <w:r w:rsidR="00483301">
              <w:rPr>
                <w:rFonts w:cs="Calibri"/>
              </w:rPr>
              <w:t>.</w:t>
            </w:r>
          </w:p>
          <w:p w14:paraId="218D660D" w14:textId="77777777" w:rsidR="008C6DC4" w:rsidRDefault="008C6DC4" w:rsidP="00483301">
            <w:pPr>
              <w:pStyle w:val="Akapitzlist"/>
              <w:numPr>
                <w:ilvl w:val="2"/>
                <w:numId w:val="12"/>
              </w:numPr>
              <w:ind w:left="1072"/>
              <w:rPr>
                <w:rFonts w:ascii="Calibri" w:hAnsi="Calibri" w:cs="Calibri"/>
                <w:sz w:val="22"/>
                <w:szCs w:val="22"/>
              </w:rPr>
            </w:pPr>
            <w:r w:rsidRPr="00E2335D">
              <w:rPr>
                <w:rFonts w:ascii="Calibri" w:hAnsi="Calibri" w:cs="Calibri"/>
                <w:sz w:val="22"/>
                <w:szCs w:val="22"/>
              </w:rPr>
              <w:t>przypadki zwrotu dofinansowania</w:t>
            </w:r>
          </w:p>
          <w:p w14:paraId="4890BC97" w14:textId="77777777" w:rsidR="008C6DC4" w:rsidRPr="00E2335D" w:rsidRDefault="008C6DC4" w:rsidP="00483301">
            <w:pPr>
              <w:pStyle w:val="Akapitzlist"/>
              <w:numPr>
                <w:ilvl w:val="2"/>
                <w:numId w:val="12"/>
              </w:numPr>
              <w:tabs>
                <w:tab w:val="left" w:pos="1072"/>
              </w:tabs>
              <w:ind w:left="788" w:firstLine="142"/>
              <w:rPr>
                <w:rFonts w:ascii="Calibri" w:hAnsi="Calibri" w:cs="Calibri"/>
                <w:sz w:val="22"/>
                <w:szCs w:val="22"/>
              </w:rPr>
            </w:pPr>
            <w:r w:rsidRPr="00E2335D">
              <w:rPr>
                <w:rFonts w:ascii="Calibri" w:hAnsi="Calibri" w:cs="Calibri"/>
                <w:sz w:val="22"/>
                <w:szCs w:val="22"/>
              </w:rPr>
              <w:t>reguła proporcjonalności</w:t>
            </w:r>
          </w:p>
          <w:p w14:paraId="739FCBB6" w14:textId="1FEF6584" w:rsidR="008C6DC4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cs="Calibri"/>
              </w:rPr>
            </w:pPr>
            <w:r w:rsidRPr="00E2335D">
              <w:rPr>
                <w:rFonts w:cs="Calibri"/>
              </w:rPr>
              <w:t>Trwałość Projektu w rozumieniu art. 71 rozporządzenia 1303/2013</w:t>
            </w:r>
            <w:r>
              <w:rPr>
                <w:rFonts w:cs="Calibri"/>
              </w:rPr>
              <w:t xml:space="preserve"> - </w:t>
            </w:r>
            <w:r w:rsidRPr="00E2335D">
              <w:rPr>
                <w:rFonts w:cs="Calibri"/>
              </w:rPr>
              <w:t>dokumenty, sposoby i zasady utrzymania trwałości projektów,</w:t>
            </w:r>
            <w:r w:rsidR="003E5127">
              <w:rPr>
                <w:rFonts w:cs="Calibri"/>
              </w:rPr>
              <w:br/>
            </w:r>
            <w:r w:rsidRPr="00E2335D">
              <w:rPr>
                <w:rFonts w:cs="Calibri"/>
              </w:rPr>
              <w:t xml:space="preserve">w tym: </w:t>
            </w:r>
          </w:p>
          <w:p w14:paraId="545703AC" w14:textId="7DF8B3A3" w:rsidR="008C6DC4" w:rsidRDefault="008C6DC4" w:rsidP="00483301">
            <w:pPr>
              <w:widowControl/>
              <w:numPr>
                <w:ilvl w:val="2"/>
                <w:numId w:val="12"/>
              </w:numPr>
              <w:suppressAutoHyphens w:val="0"/>
              <w:autoSpaceDN/>
              <w:spacing w:after="0" w:line="240" w:lineRule="auto"/>
              <w:ind w:left="1072"/>
              <w:textAlignment w:val="auto"/>
              <w:rPr>
                <w:rFonts w:cs="Calibri"/>
              </w:rPr>
            </w:pPr>
            <w:r w:rsidRPr="00E2335D">
              <w:rPr>
                <w:rFonts w:cs="Calibri"/>
              </w:rPr>
              <w:t>trwałość finansowa</w:t>
            </w:r>
            <w:r w:rsidR="00AC174C">
              <w:rPr>
                <w:rFonts w:cs="Calibri"/>
              </w:rPr>
              <w:t>;</w:t>
            </w:r>
          </w:p>
          <w:p w14:paraId="2934AF62" w14:textId="4910667B" w:rsidR="008C6DC4" w:rsidRDefault="008C6DC4" w:rsidP="00483301">
            <w:pPr>
              <w:widowControl/>
              <w:numPr>
                <w:ilvl w:val="2"/>
                <w:numId w:val="12"/>
              </w:numPr>
              <w:suppressAutoHyphens w:val="0"/>
              <w:autoSpaceDN/>
              <w:spacing w:after="0" w:line="240" w:lineRule="auto"/>
              <w:ind w:left="1072"/>
              <w:textAlignment w:val="auto"/>
              <w:rPr>
                <w:rFonts w:cs="Calibri"/>
              </w:rPr>
            </w:pPr>
            <w:r w:rsidRPr="00E2335D">
              <w:rPr>
                <w:rFonts w:cs="Calibri"/>
              </w:rPr>
              <w:t>instytucjonalna</w:t>
            </w:r>
            <w:r w:rsidR="00AC174C">
              <w:rPr>
                <w:rFonts w:cs="Calibri"/>
              </w:rPr>
              <w:t>;</w:t>
            </w:r>
          </w:p>
          <w:p w14:paraId="65390A88" w14:textId="153856AD" w:rsidR="008C6DC4" w:rsidRDefault="008C6DC4" w:rsidP="00AC174C">
            <w:pPr>
              <w:widowControl/>
              <w:numPr>
                <w:ilvl w:val="2"/>
                <w:numId w:val="12"/>
              </w:numPr>
              <w:suppressAutoHyphens w:val="0"/>
              <w:autoSpaceDN/>
              <w:spacing w:after="0" w:line="240" w:lineRule="auto"/>
              <w:ind w:left="1072" w:hanging="142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różnice w trwałości </w:t>
            </w:r>
            <w:r w:rsidRPr="00E2335D">
              <w:rPr>
                <w:rFonts w:cs="Calibri"/>
              </w:rPr>
              <w:t>projekt</w:t>
            </w:r>
            <w:r>
              <w:rPr>
                <w:rFonts w:cs="Calibri"/>
              </w:rPr>
              <w:t>ów</w:t>
            </w:r>
            <w:r w:rsidRPr="00E2335D">
              <w:rPr>
                <w:rFonts w:cs="Calibri"/>
              </w:rPr>
              <w:t xml:space="preserve"> współfinansowan</w:t>
            </w:r>
            <w:r>
              <w:rPr>
                <w:rFonts w:cs="Calibri"/>
              </w:rPr>
              <w:t>ych</w:t>
            </w:r>
            <w:r w:rsidRPr="00E2335D">
              <w:rPr>
                <w:rFonts w:cs="Calibri"/>
              </w:rPr>
              <w:t xml:space="preserve"> z EFS, EFRR, </w:t>
            </w:r>
            <w:r>
              <w:rPr>
                <w:rFonts w:cs="Calibri"/>
              </w:rPr>
              <w:t xml:space="preserve">dot. </w:t>
            </w:r>
            <w:r w:rsidRPr="00E2335D">
              <w:rPr>
                <w:rFonts w:cs="Calibri"/>
              </w:rPr>
              <w:t>inwestycj</w:t>
            </w:r>
            <w:r>
              <w:rPr>
                <w:rFonts w:cs="Calibri"/>
              </w:rPr>
              <w:t>i</w:t>
            </w:r>
            <w:r w:rsidRPr="00E2335D">
              <w:rPr>
                <w:rFonts w:cs="Calibri"/>
              </w:rPr>
              <w:t xml:space="preserve"> infrastrukturaln</w:t>
            </w:r>
            <w:r>
              <w:rPr>
                <w:rFonts w:cs="Calibri"/>
              </w:rPr>
              <w:t>ych</w:t>
            </w:r>
            <w:r w:rsidRPr="00E2335D">
              <w:rPr>
                <w:rFonts w:cs="Calibri"/>
              </w:rPr>
              <w:t>, produkcyjn</w:t>
            </w:r>
            <w:r>
              <w:rPr>
                <w:rFonts w:cs="Calibri"/>
              </w:rPr>
              <w:t>ych oraz zawierających w</w:t>
            </w:r>
            <w:r w:rsidRPr="00E2335D">
              <w:rPr>
                <w:rFonts w:cs="Calibri"/>
              </w:rPr>
              <w:t>ydatki w ramach cross-</w:t>
            </w:r>
            <w:proofErr w:type="spellStart"/>
            <w:r w:rsidRPr="00E2335D">
              <w:rPr>
                <w:rFonts w:cs="Calibri"/>
              </w:rPr>
              <w:t>financingu</w:t>
            </w:r>
            <w:proofErr w:type="spellEnd"/>
            <w:r w:rsidR="00AC174C">
              <w:rPr>
                <w:rFonts w:cs="Calibri"/>
              </w:rPr>
              <w:t>;</w:t>
            </w:r>
          </w:p>
          <w:p w14:paraId="43834A5B" w14:textId="2D61E418" w:rsidR="00DE40E1" w:rsidRPr="00E64C31" w:rsidRDefault="008C6DC4" w:rsidP="00AC174C">
            <w:pPr>
              <w:widowControl/>
              <w:numPr>
                <w:ilvl w:val="2"/>
                <w:numId w:val="12"/>
              </w:numPr>
              <w:suppressAutoHyphens w:val="0"/>
              <w:autoSpaceDN/>
              <w:spacing w:after="0" w:line="240" w:lineRule="auto"/>
              <w:ind w:left="1072" w:hanging="142"/>
              <w:textAlignment w:val="auto"/>
              <w:rPr>
                <w:rFonts w:cs="Times New Roman"/>
                <w:szCs w:val="24"/>
                <w:lang w:eastAsia="ar-SA"/>
              </w:rPr>
            </w:pPr>
            <w:r w:rsidRPr="00E2335D">
              <w:rPr>
                <w:rFonts w:cs="Calibri"/>
              </w:rPr>
              <w:t>skutki naruszenia trwałości projektu</w:t>
            </w:r>
            <w:r w:rsidR="00AC174C">
              <w:rPr>
                <w:rFonts w:cs="Calibri"/>
              </w:rPr>
              <w:t>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A0F6B2" w14:textId="06AF1401" w:rsidR="00F22EAD" w:rsidRPr="00767649" w:rsidRDefault="00F22EAD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Czyszczenie projektu i budżetu - czyli ostatnie zmiany do projektu</w:t>
            </w:r>
            <w:r>
              <w:rPr>
                <w:rFonts w:cs="Calibri"/>
              </w:rPr>
              <w:t>.</w:t>
            </w:r>
          </w:p>
          <w:p w14:paraId="1124EF85" w14:textId="059F293B" w:rsidR="00F22EAD" w:rsidRPr="00767649" w:rsidRDefault="00F22EAD" w:rsidP="003E5127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Mierniki sukcesu projektu i zestaw zmian wartych rozważenia</w:t>
            </w:r>
            <w:r>
              <w:rPr>
                <w:rFonts w:cs="Calibri"/>
              </w:rPr>
              <w:t>.</w:t>
            </w:r>
          </w:p>
          <w:p w14:paraId="51058786" w14:textId="45FD7F1F" w:rsidR="00F22EAD" w:rsidRPr="00767649" w:rsidRDefault="00F22EAD" w:rsidP="003E5127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Możliwości zmian wynikających z umowy o dofinansowanie</w:t>
            </w:r>
            <w:r>
              <w:rPr>
                <w:rFonts w:cs="Calibri"/>
              </w:rPr>
              <w:t>.</w:t>
            </w:r>
          </w:p>
          <w:p w14:paraId="5C2D0116" w14:textId="4D4A1573" w:rsidR="00F22EAD" w:rsidRPr="00767649" w:rsidRDefault="00F22EAD" w:rsidP="003E5127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Możliwości wynikające ze specustawy funduszowej</w:t>
            </w:r>
            <w:r w:rsidR="00483301">
              <w:rPr>
                <w:rFonts w:cs="Calibri"/>
              </w:rPr>
              <w:br/>
            </w:r>
            <w:r w:rsidRPr="00767649">
              <w:rPr>
                <w:rFonts w:cs="Calibri"/>
              </w:rPr>
              <w:t>z dnia 3 kwietnia 2020</w:t>
            </w:r>
            <w:r w:rsidR="00483301">
              <w:rPr>
                <w:rFonts w:cs="Calibri"/>
              </w:rPr>
              <w:t xml:space="preserve">r.  </w:t>
            </w:r>
            <w:r w:rsidRPr="00767649">
              <w:rPr>
                <w:rFonts w:cs="Calibri"/>
              </w:rPr>
              <w:t>w zakresie zamykania projektów</w:t>
            </w:r>
            <w:r>
              <w:rPr>
                <w:rFonts w:cs="Calibri"/>
              </w:rPr>
              <w:t>.</w:t>
            </w:r>
          </w:p>
          <w:p w14:paraId="68DA35F9" w14:textId="4C49BD49" w:rsidR="006A639F" w:rsidRPr="003F6B3A" w:rsidRDefault="00F22EAD" w:rsidP="003E5127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83301">
              <w:rPr>
                <w:rFonts w:cs="Calibri"/>
              </w:rPr>
              <w:t>Możliwości zmian w umowach w z wykonawcami wynikające</w:t>
            </w:r>
            <w:r w:rsidR="00483301" w:rsidRPr="00483301">
              <w:rPr>
                <w:rFonts w:cs="Calibri"/>
              </w:rPr>
              <w:br/>
            </w:r>
            <w:r w:rsidRPr="00483301">
              <w:rPr>
                <w:rFonts w:cs="Calibri"/>
              </w:rPr>
              <w:t xml:space="preserve">z Ustawy </w:t>
            </w:r>
            <w:r w:rsidR="00483301" w:rsidRPr="00483301">
              <w:rPr>
                <w:rFonts w:cs="Calibri"/>
              </w:rPr>
              <w:t xml:space="preserve">z dnia </w:t>
            </w:r>
            <w:r w:rsidRPr="00483301">
              <w:rPr>
                <w:rFonts w:cs="Calibri"/>
              </w:rPr>
              <w:t>31 marca 2020 r. o zmianie ustawy o szczególnych rozwiązaniach związan</w:t>
            </w:r>
            <w:r w:rsidR="00483301">
              <w:rPr>
                <w:rFonts w:cs="Calibri"/>
              </w:rPr>
              <w:t xml:space="preserve">ych   </w:t>
            </w:r>
            <w:r w:rsidRPr="00483301">
              <w:rPr>
                <w:rFonts w:cs="Calibri"/>
              </w:rPr>
              <w:t>z zapobieganiem, przeciwdziałaniem i zwalczaniem COVID-19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804197" w14:textId="12C8B4F7" w:rsidR="00F22EAD" w:rsidRPr="00767649" w:rsidRDefault="00F22EAD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Zamykanie projektu – raporty i sprawozdania merytoryczne</w:t>
            </w:r>
            <w:r w:rsidR="00EB5B22">
              <w:rPr>
                <w:rFonts w:cs="Calibri"/>
              </w:rPr>
              <w:t>.</w:t>
            </w:r>
          </w:p>
          <w:p w14:paraId="4B612BDA" w14:textId="38D31536" w:rsidR="00F22EAD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Odbiór produktów i rezultatów</w:t>
            </w:r>
            <w:r w:rsidR="00EB5B22">
              <w:rPr>
                <w:rFonts w:cs="Calibri"/>
              </w:rPr>
              <w:t>.</w:t>
            </w:r>
          </w:p>
          <w:p w14:paraId="4535B773" w14:textId="14E19C46" w:rsidR="00EB5B22" w:rsidRDefault="00EB5B22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Opracowanie niezbędnych rejestrów i raportów</w:t>
            </w:r>
            <w:r>
              <w:rPr>
                <w:rFonts w:cs="Calibri"/>
              </w:rPr>
              <w:t>.</w:t>
            </w:r>
          </w:p>
          <w:p w14:paraId="61F1C2BD" w14:textId="2E34F33C" w:rsidR="00EB5B22" w:rsidRPr="00767649" w:rsidRDefault="00EB5B22" w:rsidP="00EB5B22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 w:hanging="1361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Powiadomienie interesariuszy o zamykaniu projektu</w:t>
            </w:r>
            <w:r>
              <w:rPr>
                <w:rFonts w:cs="Calibri"/>
              </w:rPr>
              <w:t>.</w:t>
            </w:r>
          </w:p>
          <w:p w14:paraId="29637A8A" w14:textId="04F3B899" w:rsidR="00F22EAD" w:rsidRPr="00767649" w:rsidRDefault="00483301" w:rsidP="00483301">
            <w:pPr>
              <w:pStyle w:val="Akapitzlist"/>
              <w:numPr>
                <w:ilvl w:val="0"/>
                <w:numId w:val="12"/>
              </w:numPr>
              <w:ind w:left="36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Końcowy wiosek o płatność.</w:t>
            </w:r>
          </w:p>
          <w:p w14:paraId="6860BAE0" w14:textId="479C7026" w:rsidR="00F22EAD" w:rsidRPr="00767649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Termin złoż</w:t>
            </w:r>
            <w:r w:rsidR="00483301">
              <w:rPr>
                <w:rFonts w:cs="Calibri"/>
              </w:rPr>
              <w:t>enia Wniosku o płatność końcową.</w:t>
            </w:r>
          </w:p>
          <w:p w14:paraId="61EE0CCC" w14:textId="7B55AEE2" w:rsidR="00F22EAD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cs="Calibri"/>
              </w:rPr>
            </w:pPr>
            <w:r w:rsidRPr="00767649">
              <w:rPr>
                <w:rFonts w:cs="Calibri"/>
              </w:rPr>
              <w:t>Wykazywanie postęp</w:t>
            </w:r>
            <w:r w:rsidR="00483301">
              <w:rPr>
                <w:rFonts w:cs="Calibri"/>
              </w:rPr>
              <w:t>u rzeczowo-finansowego projektu.</w:t>
            </w:r>
          </w:p>
          <w:p w14:paraId="7C3C92BE" w14:textId="212305EB" w:rsidR="00F22EAD" w:rsidRPr="00E2335D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E2335D">
              <w:rPr>
                <w:rFonts w:cs="Calibri"/>
              </w:rPr>
              <w:t>stalanie ostatecznej wysokości kosztów kwalifikowanych i wysokości należnego dofinansowania</w:t>
            </w:r>
            <w:r w:rsidR="00483301">
              <w:rPr>
                <w:rFonts w:cs="Calibri"/>
              </w:rPr>
              <w:t>.</w:t>
            </w:r>
          </w:p>
          <w:p w14:paraId="3AD66BEC" w14:textId="246299A2" w:rsidR="00F22EAD" w:rsidRPr="00767649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E2335D">
              <w:rPr>
                <w:rFonts w:cs="Calibri"/>
              </w:rPr>
              <w:t>proszczone formy dokonywania rozliczeń: stawki jednostkowe</w:t>
            </w:r>
            <w:r w:rsidR="003E5127">
              <w:rPr>
                <w:rFonts w:cs="Calibri"/>
              </w:rPr>
              <w:br/>
            </w:r>
            <w:r w:rsidRPr="00E2335D">
              <w:rPr>
                <w:rFonts w:cs="Calibri"/>
              </w:rPr>
              <w:t>i metody ryczałtowe</w:t>
            </w:r>
            <w:r w:rsidR="00483301">
              <w:rPr>
                <w:rFonts w:cs="Calibri"/>
              </w:rPr>
              <w:t>.</w:t>
            </w:r>
          </w:p>
          <w:p w14:paraId="3E28E2F4" w14:textId="37C288FB" w:rsidR="006A639F" w:rsidRPr="003F6B3A" w:rsidRDefault="00F22EAD" w:rsidP="003E5127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83301">
              <w:rPr>
                <w:rFonts w:cs="Calibri"/>
              </w:rPr>
              <w:t>Rozliczenie/zwrot środków/odsetek</w:t>
            </w:r>
            <w:r w:rsidR="00483301">
              <w:rPr>
                <w:rFonts w:cs="Calibri"/>
              </w:rPr>
              <w:t>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AD2A4" w14:textId="6BAF6DC2" w:rsidR="00F22EAD" w:rsidRDefault="00F22EAD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</w:pPr>
            <w:r>
              <w:t>Najczęstsze</w:t>
            </w:r>
            <w:r w:rsidRPr="00E2335D">
              <w:t xml:space="preserve"> błędy w trakcie rozliczeń końcowych</w:t>
            </w:r>
            <w:r w:rsidR="00483301">
              <w:t>.</w:t>
            </w:r>
          </w:p>
          <w:p w14:paraId="2363644A" w14:textId="5142B1E2" w:rsidR="00F22EAD" w:rsidRDefault="00F22EAD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</w:pPr>
            <w:r>
              <w:t>Dyskusja i konsultacje z trenerką.</w:t>
            </w:r>
          </w:p>
          <w:p w14:paraId="4375F6B7" w14:textId="3387955D" w:rsidR="006A639F" w:rsidRPr="003F6B3A" w:rsidRDefault="006A639F" w:rsidP="00F22EAD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50FEF1CC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F8F078F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7D9083B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C1D9AC6" w14:textId="1F7DE3A6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B930DC7" w14:textId="13846728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9763788" w14:textId="273D399E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72D83ABC" w14:textId="6C52446B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2B179C1B" w14:textId="43CC8C8D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E82760D" w14:textId="1DF7CC22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65EEE1F" w14:textId="77777777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1DB6" w14:textId="77777777" w:rsidR="002B1850" w:rsidRDefault="002B1850">
      <w:pPr>
        <w:spacing w:after="0" w:line="240" w:lineRule="auto"/>
      </w:pPr>
      <w:r>
        <w:separator/>
      </w:r>
    </w:p>
  </w:endnote>
  <w:endnote w:type="continuationSeparator" w:id="0">
    <w:p w14:paraId="6D21290B" w14:textId="77777777" w:rsidR="002B1850" w:rsidRDefault="002B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32ECC" w14:textId="77777777" w:rsidR="002B1850" w:rsidRDefault="002B18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59FDFC" w14:textId="77777777" w:rsidR="002B1850" w:rsidRDefault="002B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2B18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163"/>
    <w:multiLevelType w:val="hybridMultilevel"/>
    <w:tmpl w:val="7F82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EC5"/>
    <w:multiLevelType w:val="hybridMultilevel"/>
    <w:tmpl w:val="F3BA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77B7"/>
    <w:multiLevelType w:val="hybridMultilevel"/>
    <w:tmpl w:val="84A2D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440"/>
    <w:multiLevelType w:val="hybridMultilevel"/>
    <w:tmpl w:val="C638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A1ED4"/>
    <w:rsid w:val="000E5A38"/>
    <w:rsid w:val="000E7B67"/>
    <w:rsid w:val="0012151A"/>
    <w:rsid w:val="00180C51"/>
    <w:rsid w:val="001B3E22"/>
    <w:rsid w:val="001B5006"/>
    <w:rsid w:val="001D6B69"/>
    <w:rsid w:val="001E7082"/>
    <w:rsid w:val="002605C7"/>
    <w:rsid w:val="00270D4F"/>
    <w:rsid w:val="002B1850"/>
    <w:rsid w:val="002B5B30"/>
    <w:rsid w:val="002D0AB5"/>
    <w:rsid w:val="00311591"/>
    <w:rsid w:val="00390ADE"/>
    <w:rsid w:val="003A7A59"/>
    <w:rsid w:val="003B745B"/>
    <w:rsid w:val="003E5127"/>
    <w:rsid w:val="003F6B3A"/>
    <w:rsid w:val="00412788"/>
    <w:rsid w:val="00416082"/>
    <w:rsid w:val="0042319C"/>
    <w:rsid w:val="00483301"/>
    <w:rsid w:val="0048554D"/>
    <w:rsid w:val="004918DE"/>
    <w:rsid w:val="004C7DAF"/>
    <w:rsid w:val="004D5B05"/>
    <w:rsid w:val="005E1163"/>
    <w:rsid w:val="0062225B"/>
    <w:rsid w:val="006243CC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C6DC4"/>
    <w:rsid w:val="008E0123"/>
    <w:rsid w:val="009569B8"/>
    <w:rsid w:val="009979B3"/>
    <w:rsid w:val="009F5557"/>
    <w:rsid w:val="009F71CF"/>
    <w:rsid w:val="00A13CF0"/>
    <w:rsid w:val="00A375A7"/>
    <w:rsid w:val="00A43282"/>
    <w:rsid w:val="00A512F3"/>
    <w:rsid w:val="00AC174C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E40E1"/>
    <w:rsid w:val="00E450CD"/>
    <w:rsid w:val="00E635C2"/>
    <w:rsid w:val="00E64C31"/>
    <w:rsid w:val="00E7563C"/>
    <w:rsid w:val="00EA252E"/>
    <w:rsid w:val="00EB5B22"/>
    <w:rsid w:val="00ED2354"/>
    <w:rsid w:val="00F07AEC"/>
    <w:rsid w:val="00F22EAD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6DC4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22</cp:revision>
  <cp:lastPrinted>2016-11-15T21:46:00Z</cp:lastPrinted>
  <dcterms:created xsi:type="dcterms:W3CDTF">2019-04-10T07:24:00Z</dcterms:created>
  <dcterms:modified xsi:type="dcterms:W3CDTF">2021-05-18T07:24:00Z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