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7B10A520" w:rsidR="00F93282" w:rsidRPr="0014249B" w:rsidRDefault="0014249B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4249B">
              <w:rPr>
                <w:rFonts w:asciiTheme="minorHAnsi" w:hAnsiTheme="minorHAnsi" w:cstheme="minorHAnsi"/>
                <w:szCs w:val="22"/>
              </w:rPr>
              <w:t>Prowadzenie ewidencji księgowej, w tym kwalifikowalność VAT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 w:rsidRPr="0014249B">
              <w:rPr>
                <w:rFonts w:asciiTheme="minorHAnsi" w:hAnsiTheme="minorHAnsi" w:cstheme="minorHAnsi"/>
                <w:szCs w:val="22"/>
              </w:rPr>
              <w:t>w projektach współfinansowanych z RPO WSL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2687EA0D" w:rsidR="00F93282" w:rsidRPr="00667CAF" w:rsidRDefault="0014249B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Halina Kędziora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DEB04" w14:textId="4CE9B4A0" w:rsidR="00251A02" w:rsidRPr="00501520" w:rsidRDefault="00251A02" w:rsidP="00251A0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Podstawy prawne dotyczące obowiązku prowadzenia wyodrębnionej ewidencji księgowej w perspektywie finansowania 2014-2020</w:t>
            </w:r>
            <w:r w:rsidRPr="00501520">
              <w:rPr>
                <w:rFonts w:asciiTheme="minorHAnsi" w:hAnsiTheme="minorHAnsi" w:cstheme="minorHAnsi"/>
              </w:rPr>
              <w:t xml:space="preserve"> </w:t>
            </w:r>
          </w:p>
          <w:p w14:paraId="1F271222" w14:textId="7FB79BF6" w:rsidR="00251A02" w:rsidRPr="00501520" w:rsidRDefault="00251A02" w:rsidP="00251A0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Zasady i sposób prowadzenia wyodrębnionej ewidencji księgowej lub stosowania kodu księgowego</w:t>
            </w:r>
            <w:r w:rsidRPr="00501520">
              <w:rPr>
                <w:rFonts w:asciiTheme="minorHAnsi" w:hAnsiTheme="minorHAnsi" w:cstheme="minorHAnsi"/>
              </w:rPr>
              <w:t>:</w:t>
            </w:r>
          </w:p>
          <w:p w14:paraId="38EF5E25" w14:textId="2BDC04DA" w:rsidR="00251A02" w:rsidRPr="00501520" w:rsidRDefault="00251A02" w:rsidP="00251A0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Beneficjenci prowadzący księgi rachunkowe</w:t>
            </w:r>
          </w:p>
          <w:p w14:paraId="32B2EC73" w14:textId="6647737A" w:rsidR="00251A02" w:rsidRPr="00501520" w:rsidRDefault="00251A02" w:rsidP="00251A0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Jednostki sfery finansów publicznych</w:t>
            </w:r>
          </w:p>
          <w:p w14:paraId="51FB8955" w14:textId="15E16752" w:rsidR="00251A02" w:rsidRPr="00501520" w:rsidRDefault="00251A02" w:rsidP="00251A02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Pozostali Beneficjenci</w:t>
            </w:r>
          </w:p>
          <w:p w14:paraId="03456293" w14:textId="62F23557" w:rsidR="00251A02" w:rsidRPr="00501520" w:rsidRDefault="00251A02" w:rsidP="00251A0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Regulacje wewnętrzne</w:t>
            </w:r>
            <w:r w:rsidR="00501520" w:rsidRPr="00501520">
              <w:rPr>
                <w:rFonts w:asciiTheme="minorHAnsi" w:hAnsiTheme="minorHAnsi" w:cstheme="minorHAnsi"/>
              </w:rPr>
              <w:t xml:space="preserve"> Beneficjentów dotyczące prowadzenia ewidencji księgowej projektów</w:t>
            </w:r>
          </w:p>
          <w:p w14:paraId="39D05E31" w14:textId="771179EF" w:rsidR="00251A02" w:rsidRPr="00501520" w:rsidRDefault="00251A02" w:rsidP="00251A0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Kwestie szczegółowe związane z prowadzeniem wyodrębnionej ewidencji lub kodu księgowego</w:t>
            </w:r>
            <w:r w:rsidR="00501520" w:rsidRPr="00501520">
              <w:rPr>
                <w:rFonts w:asciiTheme="minorHAnsi" w:hAnsiTheme="minorHAnsi" w:cstheme="minorHAnsi"/>
              </w:rPr>
              <w:t>, w tym:</w:t>
            </w:r>
          </w:p>
          <w:p w14:paraId="09BA4F40" w14:textId="77777777" w:rsidR="00251A02" w:rsidRPr="00501520" w:rsidRDefault="00251A02" w:rsidP="00251A0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Wydatki poniesione przed podpisaniem umowy o dofinansowanie</w:t>
            </w:r>
          </w:p>
          <w:p w14:paraId="4B7F0EBC" w14:textId="77777777" w:rsidR="00251A02" w:rsidRPr="00501520" w:rsidRDefault="00251A02" w:rsidP="00251A0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Obowiązek wyodrębnienia wszystkich kosztów (kwalifikowalnych i niekwalifikowalnych)</w:t>
            </w:r>
          </w:p>
          <w:p w14:paraId="64651CE2" w14:textId="77777777" w:rsidR="00251A02" w:rsidRPr="00501520" w:rsidRDefault="00251A02" w:rsidP="00251A0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Ewidencja przychodów z tytułu dotacji (w tym MSR Nr 20)</w:t>
            </w:r>
          </w:p>
          <w:p w14:paraId="1611FB19" w14:textId="77777777" w:rsidR="00251A02" w:rsidRPr="00501520" w:rsidRDefault="00251A02" w:rsidP="00251A0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Terminy i warunki przeksięgowań</w:t>
            </w:r>
          </w:p>
          <w:p w14:paraId="4ADA9E43" w14:textId="77777777" w:rsidR="00251A02" w:rsidRPr="00501520" w:rsidRDefault="00251A02" w:rsidP="00251A0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1520">
              <w:rPr>
                <w:rFonts w:asciiTheme="minorHAnsi" w:hAnsiTheme="minorHAnsi" w:cstheme="minorHAnsi"/>
              </w:rPr>
              <w:t>Najczęściej popełniane błędy podczas prowadzenia ewidencji księgowej</w:t>
            </w:r>
          </w:p>
          <w:p w14:paraId="43834A5B" w14:textId="73298CF4" w:rsidR="00DE40E1" w:rsidRPr="00501520" w:rsidRDefault="00DE40E1" w:rsidP="00F81EBA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EC472" w14:textId="222F3CB0" w:rsidR="00501520" w:rsidRDefault="00501520" w:rsidP="00501520">
            <w:pPr>
              <w:spacing w:before="120" w:after="40" w:line="240" w:lineRule="auto"/>
            </w:pPr>
            <w:r>
              <w:t>P</w:t>
            </w:r>
            <w:r w:rsidRPr="00634226">
              <w:t>oprawność dokumen</w:t>
            </w:r>
            <w:r w:rsidR="00641328">
              <w:t>tacji (księgowej i pozaksięgowej)</w:t>
            </w:r>
            <w:r w:rsidRPr="00634226">
              <w:t xml:space="preserve"> stanowiąc</w:t>
            </w:r>
            <w:r w:rsidR="00641328">
              <w:t xml:space="preserve">ej </w:t>
            </w:r>
            <w:r w:rsidRPr="00634226">
              <w:t xml:space="preserve">podstawę rozliczania wydatków </w:t>
            </w:r>
          </w:p>
          <w:p w14:paraId="0937FDFD" w14:textId="7373DAA2" w:rsidR="00F52E46" w:rsidRDefault="00F52E46" w:rsidP="00501520">
            <w:pPr>
              <w:spacing w:before="120" w:after="4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</w:t>
            </w:r>
            <w:r w:rsidRPr="00F52E46">
              <w:rPr>
                <w:rFonts w:cstheme="minorHAnsi"/>
                <w:szCs w:val="24"/>
              </w:rPr>
              <w:t xml:space="preserve">odzaje dokumentów wymagane dla poszczególnych rodzajów wydatków </w:t>
            </w:r>
            <w:r w:rsidRPr="00F52E46">
              <w:rPr>
                <w:rFonts w:cstheme="minorHAnsi"/>
                <w:szCs w:val="24"/>
              </w:rPr>
              <w:lastRenderedPageBreak/>
              <w:t>kwalifikowanych – omówienie rzeczywistych przypadków dotyczących wynagrodzeń, podróży służbowych, umów cywilnoprawnych itp.</w:t>
            </w:r>
          </w:p>
          <w:p w14:paraId="502F0C52" w14:textId="1F383E85" w:rsidR="00F90E98" w:rsidRPr="00F90E98" w:rsidRDefault="00F90E98" w:rsidP="00F90E98">
            <w:pPr>
              <w:spacing w:before="120" w:after="4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eastAsia="ar-SA"/>
              </w:rPr>
              <w:t>P</w:t>
            </w:r>
            <w:r w:rsidRPr="00F90E98">
              <w:rPr>
                <w:rFonts w:cstheme="minorHAnsi"/>
                <w:szCs w:val="24"/>
              </w:rPr>
              <w:t>rawidłowość i kompletność sporządzanej dokumentacji w zakresie zakupu</w:t>
            </w:r>
            <w:r>
              <w:rPr>
                <w:rFonts w:cstheme="minorHAnsi"/>
                <w:szCs w:val="24"/>
              </w:rPr>
              <w:t xml:space="preserve"> </w:t>
            </w:r>
            <w:r w:rsidRPr="00F90E98">
              <w:rPr>
                <w:rFonts w:cstheme="minorHAnsi"/>
                <w:szCs w:val="24"/>
              </w:rPr>
              <w:t>i ewidencji środków trwałych oraz wartości niematerialnych i prawnych, jak również potwierdzająca poprawność rozliczania w projekcie odpisów amortyzacyjnych</w:t>
            </w:r>
            <w:r>
              <w:rPr>
                <w:rFonts w:cstheme="minorHAnsi"/>
                <w:szCs w:val="24"/>
              </w:rPr>
              <w:t xml:space="preserve"> </w:t>
            </w:r>
            <w:r w:rsidRPr="00F90E98">
              <w:rPr>
                <w:rFonts w:cstheme="minorHAnsi"/>
                <w:szCs w:val="24"/>
              </w:rPr>
              <w:t>i leasingu</w:t>
            </w:r>
            <w:r w:rsidRPr="00F90E98">
              <w:rPr>
                <w:szCs w:val="24"/>
              </w:rPr>
              <w:t>,</w:t>
            </w:r>
          </w:p>
          <w:p w14:paraId="6F8A98B2" w14:textId="77777777" w:rsidR="00F90E98" w:rsidRDefault="00641328" w:rsidP="00F90E9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Style w:val="Pogrubienie"/>
                <w:b w:val="0"/>
                <w:bCs w:val="0"/>
              </w:rPr>
            </w:pPr>
            <w:r w:rsidRPr="00641328">
              <w:rPr>
                <w:rStyle w:val="Pogrubienie"/>
                <w:b w:val="0"/>
                <w:bCs w:val="0"/>
              </w:rPr>
              <w:t>P</w:t>
            </w:r>
            <w:r w:rsidR="00501520" w:rsidRPr="00641328">
              <w:rPr>
                <w:rStyle w:val="Pogrubienie"/>
                <w:b w:val="0"/>
                <w:bCs w:val="0"/>
              </w:rPr>
              <w:t>rawidłowy opis dokumentów księgowych, zgodnie z najnowszymi wymogami IZ RPO WSL</w:t>
            </w:r>
          </w:p>
          <w:p w14:paraId="3A46CA00" w14:textId="29D86E05" w:rsidR="00501520" w:rsidRPr="00F90E98" w:rsidRDefault="00641328" w:rsidP="00F90E98">
            <w:pPr>
              <w:autoSpaceDN/>
              <w:spacing w:after="0" w:line="240" w:lineRule="auto"/>
              <w:contextualSpacing/>
              <w:textAlignment w:val="auto"/>
            </w:pPr>
            <w:r>
              <w:rPr>
                <w:szCs w:val="24"/>
              </w:rPr>
              <w:t>P</w:t>
            </w:r>
            <w:r w:rsidR="00501520" w:rsidRPr="00641328">
              <w:rPr>
                <w:szCs w:val="24"/>
              </w:rPr>
              <w:t xml:space="preserve">oprawność i kompletność danych </w:t>
            </w:r>
            <w:r w:rsidRPr="00641328">
              <w:rPr>
                <w:szCs w:val="24"/>
              </w:rPr>
              <w:t>wykazywanych</w:t>
            </w:r>
            <w:r w:rsidRPr="00641328">
              <w:rPr>
                <w:szCs w:val="24"/>
              </w:rPr>
              <w:t xml:space="preserve"> </w:t>
            </w:r>
            <w:r w:rsidR="00501520" w:rsidRPr="00641328">
              <w:rPr>
                <w:szCs w:val="24"/>
              </w:rPr>
              <w:t>we wnioskach</w:t>
            </w:r>
            <w:r w:rsidR="00F52E46">
              <w:rPr>
                <w:szCs w:val="24"/>
              </w:rPr>
              <w:t xml:space="preserve"> o płatność</w:t>
            </w:r>
            <w:r w:rsidR="00501520" w:rsidRPr="00641328">
              <w:rPr>
                <w:szCs w:val="24"/>
              </w:rPr>
              <w:t>, wynikających</w:t>
            </w:r>
            <w:r w:rsidR="00F90E98">
              <w:rPr>
                <w:szCs w:val="24"/>
              </w:rPr>
              <w:t xml:space="preserve"> </w:t>
            </w:r>
            <w:r w:rsidR="00501520" w:rsidRPr="00641328">
              <w:rPr>
                <w:szCs w:val="24"/>
              </w:rPr>
              <w:t>z dokumentów księgowych,</w:t>
            </w:r>
          </w:p>
          <w:p w14:paraId="68DA35F9" w14:textId="2536C827" w:rsidR="006A639F" w:rsidRPr="003F6B3A" w:rsidRDefault="006A639F" w:rsidP="00F52E46">
            <w:pPr>
              <w:spacing w:before="120" w:after="40" w:line="240" w:lineRule="auto"/>
              <w:rPr>
                <w:rFonts w:cs="Times New Roman"/>
                <w:szCs w:val="24"/>
                <w:lang w:eastAsia="ar-SA"/>
              </w:rPr>
            </w:pP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9D9C22" w14:textId="3F39E0BA" w:rsidR="00F90E98" w:rsidRPr="007C473B" w:rsidRDefault="007C473B" w:rsidP="007C473B">
            <w:pPr>
              <w:spacing w:before="120" w:after="4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</w:t>
            </w:r>
            <w:r w:rsidR="00F90E98" w:rsidRPr="007C473B">
              <w:rPr>
                <w:rFonts w:cstheme="minorHAnsi"/>
                <w:szCs w:val="24"/>
              </w:rPr>
              <w:t>oszty pośrednie i zasady ich ewidencji w projektach współfinansowanych ze środków EFS, EFRR</w:t>
            </w:r>
            <w:r>
              <w:rPr>
                <w:rFonts w:cstheme="minorHAnsi"/>
                <w:szCs w:val="24"/>
              </w:rPr>
              <w:t xml:space="preserve"> (rozliczane stawką ryczałtową, rozliczane na podstawie rzeczywiście poniesionych wydatkó</w:t>
            </w:r>
            <w:r w:rsidR="002B62C1">
              <w:rPr>
                <w:rFonts w:cstheme="minorHAnsi"/>
                <w:szCs w:val="24"/>
              </w:rPr>
              <w:t>w)</w:t>
            </w:r>
          </w:p>
          <w:p w14:paraId="68E9CBFA" w14:textId="77777777" w:rsidR="006A639F" w:rsidRDefault="00F90E98" w:rsidP="00F90E98">
            <w:pPr>
              <w:spacing w:before="120" w:after="4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Pr="00F52E46">
              <w:rPr>
                <w:rFonts w:cstheme="minorHAnsi"/>
                <w:szCs w:val="24"/>
              </w:rPr>
              <w:t>rawidłowość dokonywanych transakcji z rachunku bankowego wyodrębnionego</w:t>
            </w:r>
            <w:r>
              <w:rPr>
                <w:rFonts w:cstheme="minorHAnsi"/>
                <w:szCs w:val="24"/>
              </w:rPr>
              <w:t xml:space="preserve"> </w:t>
            </w:r>
            <w:r w:rsidRPr="00F52E46">
              <w:rPr>
                <w:rFonts w:cstheme="minorHAnsi"/>
                <w:szCs w:val="24"/>
              </w:rPr>
              <w:t>do projektu lub operacji gotówkowych w projekcie</w:t>
            </w:r>
          </w:p>
          <w:p w14:paraId="4500121A" w14:textId="77777777" w:rsidR="002B62C1" w:rsidRDefault="002B62C1" w:rsidP="002B62C1">
            <w:pPr>
              <w:spacing w:before="120" w:after="40" w:line="24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szCs w:val="24"/>
                <w:shd w:val="clear" w:color="auto" w:fill="FFFFFF"/>
              </w:rPr>
              <w:t>E</w:t>
            </w:r>
            <w:r w:rsidR="00D6110C" w:rsidRPr="002B62C1">
              <w:rPr>
                <w:rFonts w:cstheme="minorHAnsi"/>
                <w:bCs/>
                <w:szCs w:val="24"/>
                <w:shd w:val="clear" w:color="auto" w:fill="FFFFFF"/>
              </w:rPr>
              <w:t xml:space="preserve">liminacja podejrzenia/ ryzyka podwójnego finansowania wydatków </w:t>
            </w:r>
          </w:p>
          <w:p w14:paraId="52A0280A" w14:textId="2EC358B9" w:rsidR="00D6110C" w:rsidRPr="002B62C1" w:rsidRDefault="002B62C1" w:rsidP="002B62C1">
            <w:pPr>
              <w:spacing w:before="120" w:after="40" w:line="240" w:lineRule="auto"/>
              <w:rPr>
                <w:rFonts w:cstheme="minorHAnsi"/>
                <w:bCs/>
                <w:szCs w:val="24"/>
                <w:shd w:val="clear" w:color="auto" w:fill="FFFFFF"/>
              </w:rPr>
            </w:pPr>
            <w:r w:rsidRPr="002B62C1">
              <w:rPr>
                <w:rFonts w:cstheme="minorHAnsi"/>
                <w:bCs/>
                <w:szCs w:val="24"/>
                <w:shd w:val="clear" w:color="auto" w:fill="FFFFFF"/>
              </w:rPr>
              <w:t>N</w:t>
            </w:r>
            <w:r w:rsidR="00D6110C" w:rsidRPr="002B62C1">
              <w:rPr>
                <w:bCs/>
                <w:szCs w:val="24"/>
              </w:rPr>
              <w:t>ajnowsze</w:t>
            </w:r>
            <w:r w:rsidR="00D6110C">
              <w:rPr>
                <w:szCs w:val="24"/>
              </w:rPr>
              <w:t xml:space="preserve"> </w:t>
            </w:r>
            <w:r w:rsidR="00D6110C" w:rsidRPr="00E459D8">
              <w:rPr>
                <w:szCs w:val="24"/>
              </w:rPr>
              <w:t>zapisy umowy o dofinansowanie, przewodnika dla beneficjentów, instrukcji wypełniania wniosków o płatność dla projektów współfinansowanych w ramach EFRR:</w:t>
            </w:r>
          </w:p>
          <w:p w14:paraId="62011158" w14:textId="77777777" w:rsidR="002B62C1" w:rsidRDefault="002B62C1" w:rsidP="002B62C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a) </w:t>
            </w:r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dokumenty niezbędne przy złożeniu pierwszego wniosku o płatność (polityka rachunkowości, zakładowy plan kont, informacja o sposobie wyodrębnienia ewidencji księgowej),</w:t>
            </w:r>
          </w:p>
          <w:p w14:paraId="09DAA234" w14:textId="09357665" w:rsidR="00D6110C" w:rsidRPr="00634226" w:rsidRDefault="002B62C1" w:rsidP="002B62C1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b) </w:t>
            </w:r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oświadczenia o kwalifikowaniu podatku VAT (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w całości, </w:t>
            </w:r>
            <w:proofErr w:type="spellStart"/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prewspółczynnik</w:t>
            </w:r>
            <w:r>
              <w:rPr>
                <w:rFonts w:eastAsia="Times New Roman" w:cs="Times New Roman"/>
                <w:szCs w:val="24"/>
                <w:lang w:eastAsia="pl-PL"/>
              </w:rPr>
              <w:t>iem</w:t>
            </w:r>
            <w:proofErr w:type="spellEnd"/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, współczynnik</w:t>
            </w:r>
            <w:r>
              <w:rPr>
                <w:rFonts w:eastAsia="Times New Roman" w:cs="Times New Roman"/>
                <w:szCs w:val="24"/>
                <w:lang w:eastAsia="pl-PL"/>
              </w:rPr>
              <w:t>iem</w:t>
            </w:r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),</w:t>
            </w:r>
          </w:p>
          <w:p w14:paraId="238D68A1" w14:textId="6F2E3FB5" w:rsidR="00D6110C" w:rsidRDefault="002B62C1" w:rsidP="002B62C1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c) </w:t>
            </w:r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>dokumenty niezbędne przy złożeniu wniosku o płatność końcową (oświadczenie</w:t>
            </w:r>
            <w:r w:rsidR="00D6110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D6110C" w:rsidRPr="00634226">
              <w:rPr>
                <w:rFonts w:eastAsia="Times New Roman" w:cs="Times New Roman"/>
                <w:szCs w:val="24"/>
                <w:lang w:eastAsia="pl-PL"/>
              </w:rPr>
              <w:t xml:space="preserve">o kwalifikowalności podatku VAT, </w:t>
            </w:r>
            <w:r w:rsidR="00D6110C" w:rsidRPr="00AC05A5">
              <w:rPr>
                <w:rFonts w:eastAsia="Times New Roman" w:cs="Times New Roman"/>
                <w:szCs w:val="24"/>
                <w:lang w:eastAsia="pl-PL"/>
              </w:rPr>
              <w:t>dokumenty OT potwierdzające wartość księgową projektu, jeśli w projekcie powstają środki trwałe).</w:t>
            </w:r>
          </w:p>
          <w:p w14:paraId="3E28E2F4" w14:textId="16738609" w:rsidR="00D6110C" w:rsidRPr="003F6B3A" w:rsidRDefault="00D6110C" w:rsidP="00F90E98">
            <w:pPr>
              <w:spacing w:before="120" w:after="40" w:line="240" w:lineRule="auto"/>
              <w:rPr>
                <w:rFonts w:cs="Times New Roman"/>
                <w:szCs w:val="24"/>
                <w:lang w:eastAsia="ar-SA"/>
              </w:rPr>
            </w:pP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BD2977" w14:textId="77777777" w:rsidR="006A639F" w:rsidRPr="00150599" w:rsidRDefault="002B62C1" w:rsidP="002B62C1">
            <w:pPr>
              <w:spacing w:before="120" w:after="40" w:line="240" w:lineRule="auto"/>
              <w:rPr>
                <w:rFonts w:cstheme="minorHAnsi"/>
                <w:b/>
                <w:bCs/>
                <w:szCs w:val="24"/>
              </w:rPr>
            </w:pPr>
            <w:r w:rsidRPr="00150599">
              <w:rPr>
                <w:rFonts w:cstheme="minorHAnsi"/>
                <w:b/>
                <w:bCs/>
                <w:szCs w:val="24"/>
              </w:rPr>
              <w:t>P</w:t>
            </w:r>
            <w:r w:rsidR="00501520" w:rsidRPr="00150599">
              <w:rPr>
                <w:rFonts w:cstheme="minorHAnsi"/>
                <w:b/>
                <w:bCs/>
                <w:szCs w:val="24"/>
              </w:rPr>
              <w:t xml:space="preserve">oprawność kwalifikowania w projekcie podatku VAT </w:t>
            </w:r>
          </w:p>
          <w:p w14:paraId="70BB1FF8" w14:textId="77777777" w:rsidR="00150599" w:rsidRDefault="00150599" w:rsidP="00150599">
            <w:pPr>
              <w:rPr>
                <w:lang w:eastAsia="pl-PL"/>
              </w:rPr>
            </w:pPr>
            <w:r w:rsidRPr="00150599">
              <w:rPr>
                <w:lang w:eastAsia="pl-PL"/>
              </w:rPr>
              <w:lastRenderedPageBreak/>
              <w:t>Zakres opodatkowania </w:t>
            </w:r>
          </w:p>
          <w:p w14:paraId="0E4081E5" w14:textId="77777777" w:rsidR="00150599" w:rsidRDefault="00150599" w:rsidP="00150599">
            <w:pPr>
              <w:pStyle w:val="Akapitzlist"/>
              <w:numPr>
                <w:ilvl w:val="0"/>
                <w:numId w:val="19"/>
              </w:numPr>
              <w:rPr>
                <w:lang w:eastAsia="pl-PL"/>
              </w:rPr>
            </w:pPr>
            <w:r>
              <w:rPr>
                <w:lang w:eastAsia="pl-PL"/>
              </w:rPr>
              <w:t>d</w:t>
            </w:r>
            <w:r w:rsidRPr="00150599">
              <w:rPr>
                <w:lang w:eastAsia="pl-PL"/>
              </w:rPr>
              <w:t>ziałalność nie objęta ustawą o VAT</w:t>
            </w:r>
          </w:p>
          <w:p w14:paraId="5518527D" w14:textId="5BC3EDE1" w:rsidR="00150599" w:rsidRPr="00150599" w:rsidRDefault="00150599" w:rsidP="00150599">
            <w:pPr>
              <w:pStyle w:val="Akapitzlist"/>
              <w:numPr>
                <w:ilvl w:val="0"/>
                <w:numId w:val="19"/>
              </w:numPr>
              <w:rPr>
                <w:lang w:eastAsia="pl-PL"/>
              </w:rPr>
            </w:pPr>
            <w:r>
              <w:rPr>
                <w:lang w:eastAsia="pl-PL"/>
              </w:rPr>
              <w:t>d</w:t>
            </w:r>
            <w:r w:rsidRPr="00150599">
              <w:rPr>
                <w:lang w:eastAsia="pl-PL"/>
              </w:rPr>
              <w:t>ziałalność objęta ustawą o VAT</w:t>
            </w:r>
          </w:p>
          <w:p w14:paraId="1A7E9722" w14:textId="77777777" w:rsidR="00150599" w:rsidRDefault="00150599" w:rsidP="00150599">
            <w:pPr>
              <w:rPr>
                <w:lang w:eastAsia="pl-PL"/>
              </w:rPr>
            </w:pPr>
            <w:r>
              <w:rPr>
                <w:lang w:eastAsia="pl-PL"/>
              </w:rPr>
              <w:t>C</w:t>
            </w:r>
            <w:r w:rsidRPr="00150599">
              <w:rPr>
                <w:lang w:eastAsia="pl-PL"/>
              </w:rPr>
              <w:t>zynności opodatkowane</w:t>
            </w:r>
          </w:p>
          <w:p w14:paraId="1B01CCE3" w14:textId="0578A5C8" w:rsidR="00150599" w:rsidRPr="00150599" w:rsidRDefault="00150599" w:rsidP="00150599">
            <w:pPr>
              <w:rPr>
                <w:lang w:eastAsia="pl-PL"/>
              </w:rPr>
            </w:pPr>
            <w:r>
              <w:rPr>
                <w:lang w:eastAsia="pl-PL"/>
              </w:rPr>
              <w:t>C</w:t>
            </w:r>
            <w:r w:rsidRPr="00150599">
              <w:rPr>
                <w:lang w:eastAsia="pl-PL"/>
              </w:rPr>
              <w:t>zynności zwolnione</w:t>
            </w:r>
          </w:p>
          <w:p w14:paraId="2F1DDBE2" w14:textId="6AA81212" w:rsidR="00150599" w:rsidRPr="00150599" w:rsidRDefault="00150599" w:rsidP="00150599">
            <w:pPr>
              <w:rPr>
                <w:lang w:eastAsia="pl-PL"/>
              </w:rPr>
            </w:pPr>
            <w:r w:rsidRPr="00150599">
              <w:rPr>
                <w:lang w:eastAsia="pl-PL"/>
              </w:rPr>
              <w:t>Opodatkowanie podatkiem VAT dotacji – dotacja będąca dopłatą do ceny sprzedaży towarów i usług</w:t>
            </w:r>
          </w:p>
          <w:p w14:paraId="27894884" w14:textId="578C26F5" w:rsidR="00150599" w:rsidRPr="00150599" w:rsidRDefault="00150599" w:rsidP="00150599">
            <w:pPr>
              <w:rPr>
                <w:lang w:eastAsia="pl-PL"/>
              </w:rPr>
            </w:pPr>
            <w:r w:rsidRPr="00150599">
              <w:rPr>
                <w:lang w:eastAsia="pl-PL"/>
              </w:rPr>
              <w:t>Odliczenie i zwrot podatku naliczonego</w:t>
            </w:r>
          </w:p>
          <w:p w14:paraId="141F205A" w14:textId="77777777" w:rsidR="00150599" w:rsidRDefault="00150599" w:rsidP="00150599">
            <w:pPr>
              <w:pStyle w:val="Akapitzlist"/>
              <w:numPr>
                <w:ilvl w:val="0"/>
                <w:numId w:val="20"/>
              </w:numPr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Pr="00150599">
              <w:rPr>
                <w:lang w:eastAsia="pl-PL"/>
              </w:rPr>
              <w:t>asady ogólne (przesłanki do odliczenia VAT, zasada natychmiastowości odliczenia)</w:t>
            </w:r>
          </w:p>
          <w:p w14:paraId="21FC492E" w14:textId="77777777" w:rsidR="00150599" w:rsidRDefault="00150599" w:rsidP="00150599">
            <w:pPr>
              <w:pStyle w:val="Akapitzlist"/>
              <w:numPr>
                <w:ilvl w:val="0"/>
                <w:numId w:val="20"/>
              </w:num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</w:t>
            </w:r>
            <w:r w:rsidRPr="00150599">
              <w:rPr>
                <w:lang w:eastAsia="pl-PL"/>
              </w:rPr>
              <w:t>rewspółczynnik</w:t>
            </w:r>
            <w:proofErr w:type="spellEnd"/>
          </w:p>
          <w:p w14:paraId="652D7A90" w14:textId="6690298C" w:rsidR="00150599" w:rsidRPr="00150599" w:rsidRDefault="00150599" w:rsidP="00150599">
            <w:pPr>
              <w:pStyle w:val="Akapitzlist"/>
              <w:numPr>
                <w:ilvl w:val="0"/>
                <w:numId w:val="20"/>
              </w:numPr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150599">
              <w:rPr>
                <w:lang w:eastAsia="pl-PL"/>
              </w:rPr>
              <w:t>spółczynnik</w:t>
            </w:r>
          </w:p>
          <w:p w14:paraId="4375F6B7" w14:textId="2D5FBC07" w:rsidR="002B62C1" w:rsidRPr="003F6B3A" w:rsidRDefault="002B62C1" w:rsidP="002B62C1">
            <w:pPr>
              <w:spacing w:before="120" w:after="40" w:line="240" w:lineRule="auto"/>
              <w:rPr>
                <w:rFonts w:cs="Times New Roman"/>
                <w:szCs w:val="24"/>
                <w:lang w:eastAsia="ar-SA"/>
              </w:rPr>
            </w:pP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50FEF1CC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F8F078F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7D9083B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C1D9AC6" w14:textId="1F7DE3A6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B930DC7" w14:textId="13846728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9763788" w14:textId="273D399E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72D83ABC" w14:textId="6C52446B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2B179C1B" w14:textId="43CC8C8D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E82760D" w14:textId="1DF7CC22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65EEE1F" w14:textId="77777777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864" w14:textId="77777777" w:rsidR="00232528" w:rsidRDefault="00232528">
      <w:pPr>
        <w:spacing w:after="0" w:line="240" w:lineRule="auto"/>
      </w:pPr>
      <w:r>
        <w:separator/>
      </w:r>
    </w:p>
  </w:endnote>
  <w:endnote w:type="continuationSeparator" w:id="0">
    <w:p w14:paraId="49FFF428" w14:textId="77777777" w:rsidR="00232528" w:rsidRDefault="0023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8EB9" w14:textId="77777777" w:rsidR="00232528" w:rsidRDefault="002325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9297BA" w14:textId="77777777" w:rsidR="00232528" w:rsidRDefault="0023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232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3E9"/>
    <w:multiLevelType w:val="multilevel"/>
    <w:tmpl w:val="7EC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CF9"/>
    <w:multiLevelType w:val="hybridMultilevel"/>
    <w:tmpl w:val="DD2EE568"/>
    <w:lvl w:ilvl="0" w:tplc="7D3E2FD8">
      <w:start w:val="1"/>
      <w:numFmt w:val="lowerLetter"/>
      <w:lvlText w:val="%1)"/>
      <w:lvlJc w:val="left"/>
      <w:pPr>
        <w:ind w:left="2160" w:hanging="360"/>
      </w:pPr>
      <w:rPr>
        <w:rFonts w:ascii="Times New Roman" w:eastAsia="Lucida Sans Unicode" w:hAnsi="Times New Roman" w:cs="Tahom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DC60F4F"/>
    <w:multiLevelType w:val="multilevel"/>
    <w:tmpl w:val="03BA3BA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BD2F11"/>
    <w:multiLevelType w:val="hybridMultilevel"/>
    <w:tmpl w:val="0046F578"/>
    <w:lvl w:ilvl="0" w:tplc="94980ED0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3554"/>
    <w:multiLevelType w:val="hybridMultilevel"/>
    <w:tmpl w:val="3BCC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56B3"/>
    <w:multiLevelType w:val="hybridMultilevel"/>
    <w:tmpl w:val="DD6AE4CC"/>
    <w:lvl w:ilvl="0" w:tplc="158E55EE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B34113"/>
    <w:multiLevelType w:val="hybridMultilevel"/>
    <w:tmpl w:val="6E3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45BE"/>
    <w:multiLevelType w:val="multilevel"/>
    <w:tmpl w:val="9D6A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8"/>
  </w:num>
  <w:num w:numId="6">
    <w:abstractNumId w:val="19"/>
  </w:num>
  <w:num w:numId="7">
    <w:abstractNumId w:val="6"/>
  </w:num>
  <w:num w:numId="8">
    <w:abstractNumId w:val="15"/>
  </w:num>
  <w:num w:numId="9">
    <w:abstractNumId w:val="2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8"/>
  </w:num>
  <w:num w:numId="16">
    <w:abstractNumId w:val="12"/>
  </w:num>
  <w:num w:numId="17">
    <w:abstractNumId w:val="16"/>
  </w:num>
  <w:num w:numId="18">
    <w:abstractNumId w:val="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2"/>
    <w:rsid w:val="000A1ED4"/>
    <w:rsid w:val="000E5A38"/>
    <w:rsid w:val="000E7B67"/>
    <w:rsid w:val="0012151A"/>
    <w:rsid w:val="0014249B"/>
    <w:rsid w:val="00150599"/>
    <w:rsid w:val="00180C51"/>
    <w:rsid w:val="001B3E22"/>
    <w:rsid w:val="001B5006"/>
    <w:rsid w:val="001D6B69"/>
    <w:rsid w:val="001E7082"/>
    <w:rsid w:val="00232528"/>
    <w:rsid w:val="00251A02"/>
    <w:rsid w:val="002605C7"/>
    <w:rsid w:val="00270D4F"/>
    <w:rsid w:val="002B62C1"/>
    <w:rsid w:val="002D0AB5"/>
    <w:rsid w:val="00311591"/>
    <w:rsid w:val="00390ADE"/>
    <w:rsid w:val="003A7A59"/>
    <w:rsid w:val="003B745B"/>
    <w:rsid w:val="003F6B3A"/>
    <w:rsid w:val="00416082"/>
    <w:rsid w:val="0042319C"/>
    <w:rsid w:val="0048554D"/>
    <w:rsid w:val="004918DE"/>
    <w:rsid w:val="004948E4"/>
    <w:rsid w:val="004C7DAF"/>
    <w:rsid w:val="004D5B05"/>
    <w:rsid w:val="00501520"/>
    <w:rsid w:val="00511724"/>
    <w:rsid w:val="005E1163"/>
    <w:rsid w:val="0062225B"/>
    <w:rsid w:val="006243CC"/>
    <w:rsid w:val="00641328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C473B"/>
    <w:rsid w:val="007F4A21"/>
    <w:rsid w:val="0081703F"/>
    <w:rsid w:val="00836767"/>
    <w:rsid w:val="00840969"/>
    <w:rsid w:val="008E0123"/>
    <w:rsid w:val="009979B3"/>
    <w:rsid w:val="009F5557"/>
    <w:rsid w:val="009F71CF"/>
    <w:rsid w:val="00A13CF0"/>
    <w:rsid w:val="00A375A7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6110C"/>
    <w:rsid w:val="00DA4626"/>
    <w:rsid w:val="00DE40E1"/>
    <w:rsid w:val="00E450CD"/>
    <w:rsid w:val="00E635C2"/>
    <w:rsid w:val="00E64C31"/>
    <w:rsid w:val="00E7563C"/>
    <w:rsid w:val="00EA252E"/>
    <w:rsid w:val="00ED2354"/>
    <w:rsid w:val="00F07AEC"/>
    <w:rsid w:val="00F449BF"/>
    <w:rsid w:val="00F52E46"/>
    <w:rsid w:val="00F81EBA"/>
    <w:rsid w:val="00F83A57"/>
    <w:rsid w:val="00F90E98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1A02"/>
    <w:pPr>
      <w:widowControl/>
      <w:suppressAutoHyphens w:val="0"/>
      <w:autoSpaceDN/>
      <w:ind w:left="720"/>
      <w:contextualSpacing/>
      <w:textAlignment w:val="auto"/>
    </w:pPr>
    <w:rPr>
      <w:rFonts w:eastAsiaTheme="minorHAnsi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501520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0599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D5D8-9811-42FF-B765-81093952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Kędziora Kędziora</cp:lastModifiedBy>
  <cp:revision>4</cp:revision>
  <cp:lastPrinted>2016-11-15T21:46:00Z</cp:lastPrinted>
  <dcterms:created xsi:type="dcterms:W3CDTF">2021-06-23T08:27:00Z</dcterms:created>
  <dcterms:modified xsi:type="dcterms:W3CDTF">2021-07-05T18:20:00Z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