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10B1F83B" w:rsidR="00F93282" w:rsidRPr="00270D4F" w:rsidRDefault="007B6669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Podatek VAT</w:t>
            </w:r>
            <w:r>
              <w:rPr>
                <w:rFonts w:asciiTheme="minorHAnsi" w:hAnsiTheme="minorHAnsi" w:cstheme="minorHAnsi"/>
              </w:rPr>
              <w:t xml:space="preserve"> w projektach współfinansowanych z Regionalnego Programu Operacyjnego Województwa Śląskiego na lata 2014 – 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2022E09" w:rsidR="00F93282" w:rsidRPr="00667CAF" w:rsidRDefault="007B66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Mariusz Jabłoński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0EDBF0" w14:textId="77777777" w:rsidR="00583114" w:rsidRPr="00065262" w:rsidRDefault="00583114" w:rsidP="00583114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>1. Kwalifikowalność podatku VAT</w:t>
            </w:r>
          </w:p>
          <w:p w14:paraId="29187F80" w14:textId="77777777" w:rsidR="00583114" w:rsidRPr="00583114" w:rsidRDefault="00583114" w:rsidP="00583114">
            <w:pPr>
              <w:pStyle w:val="NormalnyWeb"/>
              <w:numPr>
                <w:ilvl w:val="0"/>
                <w:numId w:val="15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zasady kwalifikowalności podatku VAT,</w:t>
            </w:r>
          </w:p>
          <w:p w14:paraId="0931CC29" w14:textId="77777777" w:rsidR="00583114" w:rsidRPr="00583114" w:rsidRDefault="00583114" w:rsidP="00583114">
            <w:pPr>
              <w:pStyle w:val="NormalnyWeb"/>
              <w:numPr>
                <w:ilvl w:val="0"/>
                <w:numId w:val="15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podstawa prawna kwalifikowalności</w:t>
            </w: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 xml:space="preserve"> podatku VAT w perspektywie 2014 – 2020,</w:t>
            </w:r>
          </w:p>
          <w:p w14:paraId="12602A2F" w14:textId="77777777" w:rsidR="00583114" w:rsidRPr="00583114" w:rsidRDefault="00583114" w:rsidP="00583114">
            <w:pPr>
              <w:pStyle w:val="NormalnyWeb"/>
              <w:numPr>
                <w:ilvl w:val="0"/>
                <w:numId w:val="15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sz w:val="18"/>
                <w:szCs w:val="18"/>
              </w:rPr>
              <w:t>Wytyczne Ministra i Rozwoju w zakresie kwalifikowalności VAT,</w:t>
            </w:r>
          </w:p>
          <w:p w14:paraId="297D8C97" w14:textId="77777777" w:rsidR="00583114" w:rsidRPr="00583114" w:rsidRDefault="00583114" w:rsidP="00583114">
            <w:pPr>
              <w:pStyle w:val="NormalnyWeb"/>
              <w:numPr>
                <w:ilvl w:val="0"/>
                <w:numId w:val="15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sz w:val="18"/>
                <w:szCs w:val="18"/>
              </w:rPr>
              <w:t>stanowisko Komisji Europejskiej w sprawie kwalifikowalności podatku VAT,</w:t>
            </w:r>
          </w:p>
          <w:p w14:paraId="081EDC65" w14:textId="4CF9E2C5" w:rsidR="00583114" w:rsidRPr="00583114" w:rsidRDefault="00583114" w:rsidP="00583114">
            <w:pPr>
              <w:pStyle w:val="NormalnyWeb"/>
              <w:numPr>
                <w:ilvl w:val="0"/>
                <w:numId w:val="15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sz w:val="18"/>
                <w:szCs w:val="18"/>
              </w:rPr>
              <w:t>Przewodnik dla beneficjentów EFRR RPO WSL 2014-2020 (wersja 13).</w:t>
            </w:r>
          </w:p>
          <w:p w14:paraId="22F9C431" w14:textId="77777777" w:rsidR="00583114" w:rsidRPr="00065262" w:rsidRDefault="00583114" w:rsidP="00583114">
            <w:pPr>
              <w:pStyle w:val="Bezodstpw"/>
              <w:rPr>
                <w:b/>
                <w:bCs/>
              </w:rPr>
            </w:pPr>
            <w:r w:rsidRPr="00065262">
              <w:rPr>
                <w:b/>
                <w:bCs/>
              </w:rPr>
              <w:t>2. Zasady funkcjonowania podatku VAT</w:t>
            </w:r>
          </w:p>
          <w:p w14:paraId="62E859CD" w14:textId="77777777" w:rsidR="00583114" w:rsidRDefault="00583114" w:rsidP="00583114">
            <w:pPr>
              <w:pStyle w:val="Bezodstpw"/>
              <w:rPr>
                <w:b/>
                <w:bCs/>
              </w:rPr>
            </w:pPr>
            <w:r w:rsidRPr="00065262">
              <w:rPr>
                <w:b/>
                <w:bCs/>
              </w:rPr>
              <w:t>2.1. Zakres opodatkowania</w:t>
            </w:r>
          </w:p>
          <w:p w14:paraId="3D74A311" w14:textId="3CC7B78D" w:rsidR="00583114" w:rsidRDefault="00583114" w:rsidP="00583114">
            <w:pPr>
              <w:pStyle w:val="NormalnyWeb"/>
              <w:numPr>
                <w:ilvl w:val="0"/>
                <w:numId w:val="16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czynności podlegające opodatkowaniu,</w:t>
            </w:r>
          </w:p>
          <w:p w14:paraId="43834A5B" w14:textId="3290015A" w:rsidR="00583114" w:rsidRPr="00583114" w:rsidRDefault="00583114" w:rsidP="00583114">
            <w:pPr>
              <w:pStyle w:val="NormalnyWeb"/>
              <w:numPr>
                <w:ilvl w:val="0"/>
                <w:numId w:val="16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czynności niepodlegające opodatkowaniu.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16BDA1" w14:textId="77777777" w:rsidR="00583114" w:rsidRPr="00065262" w:rsidRDefault="00583114" w:rsidP="00583114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>2.2. Podatni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cy</w:t>
            </w: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VAT</w:t>
            </w:r>
          </w:p>
          <w:p w14:paraId="5A75B48F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pojęcie działalności gospodarczej,</w:t>
            </w:r>
          </w:p>
          <w:p w14:paraId="709CC171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jednostka samorządu terytorialnego jako podatnik VAT,</w:t>
            </w:r>
          </w:p>
          <w:p w14:paraId="48B5F0AE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r</w:t>
            </w:r>
            <w:r w:rsidRPr="00583114">
              <w:rPr>
                <w:rFonts w:cstheme="minorHAnsi"/>
                <w:sz w:val="18"/>
                <w:szCs w:val="18"/>
                <w:shd w:val="clear" w:color="auto" w:fill="FFFFFF"/>
              </w:rPr>
              <w:t>odzaje działalności podejmowanych przez jednostki samorządu terytorialnego a podatek VAT,</w:t>
            </w:r>
          </w:p>
          <w:p w14:paraId="06DF1AF5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c</w:t>
            </w:r>
            <w:r w:rsidRPr="0058311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zynności wykonywane przez jednostki samorządu terytorialnego w związku z realizacją zadań publicznych w zakresie edukacji publicznej oraz pomocy społecznej </w:t>
            </w:r>
            <w:r w:rsidRPr="00583114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(</w:t>
            </w:r>
            <w:r w:rsidRPr="00583114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Interpretacja ogólna Nr PT1.8101.3.2019 Ministra Finansów z dnia 10 czerwca 2020 r.),</w:t>
            </w:r>
          </w:p>
          <w:p w14:paraId="3819D104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centralizacja VAT w jednostkach samorządu terytorialnego (skutki wyroku TSUE z 29 września 2015 r. sygn. C-276/14 Gmina Wrocław v. Minister Finansów oraz uchwały NSA z 26 października 2015 r., I FPS 4/15),</w:t>
            </w:r>
          </w:p>
          <w:p w14:paraId="51746024" w14:textId="77777777" w:rsidR="00583114" w:rsidRPr="00583114" w:rsidRDefault="00583114" w:rsidP="005831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3114">
              <w:rPr>
                <w:rFonts w:cstheme="minorHAnsi"/>
                <w:sz w:val="18"/>
                <w:szCs w:val="18"/>
              </w:rPr>
              <w:t>kontrola centralizacji VAT przeprowadzona przez NIK.</w:t>
            </w:r>
          </w:p>
          <w:p w14:paraId="78992F2C" w14:textId="77777777" w:rsidR="00583114" w:rsidRPr="00065262" w:rsidRDefault="00583114" w:rsidP="00583114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2.3. Podstawa opodatkowania </w:t>
            </w:r>
          </w:p>
          <w:p w14:paraId="27B3B2FB" w14:textId="77777777" w:rsidR="00583114" w:rsidRPr="00583114" w:rsidRDefault="00583114" w:rsidP="00583114">
            <w:pPr>
              <w:pStyle w:val="NormalnyWeb"/>
              <w:numPr>
                <w:ilvl w:val="0"/>
                <w:numId w:val="19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zasady ustalania podstawy opodatkowania,</w:t>
            </w:r>
          </w:p>
          <w:p w14:paraId="33E614BC" w14:textId="77777777" w:rsidR="00583114" w:rsidRPr="00583114" w:rsidRDefault="00583114" w:rsidP="00583114">
            <w:pPr>
              <w:pStyle w:val="NormalnyWeb"/>
              <w:numPr>
                <w:ilvl w:val="0"/>
                <w:numId w:val="19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świadczenia kompleksowe,</w:t>
            </w:r>
          </w:p>
          <w:p w14:paraId="1CB64A10" w14:textId="77777777" w:rsidR="00583114" w:rsidRPr="00583114" w:rsidRDefault="00583114" w:rsidP="00583114">
            <w:pPr>
              <w:pStyle w:val="NormalnyWeb"/>
              <w:numPr>
                <w:ilvl w:val="0"/>
                <w:numId w:val="19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opodatkowanie podatkiem VAT otrzymanej dotacji.</w:t>
            </w:r>
          </w:p>
          <w:p w14:paraId="18441285" w14:textId="77777777" w:rsidR="00583114" w:rsidRPr="00065262" w:rsidRDefault="00583114" w:rsidP="00583114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>2.4. Zwolnienia od podatku</w:t>
            </w:r>
          </w:p>
          <w:p w14:paraId="06872F78" w14:textId="77777777" w:rsidR="00583114" w:rsidRPr="00583114" w:rsidRDefault="00583114" w:rsidP="00583114">
            <w:pPr>
              <w:pStyle w:val="NormalnyWeb"/>
              <w:numPr>
                <w:ilvl w:val="0"/>
                <w:numId w:val="18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zwolnienie podmiotowe,</w:t>
            </w:r>
          </w:p>
          <w:p w14:paraId="0B34B616" w14:textId="77777777" w:rsidR="00583114" w:rsidRPr="00583114" w:rsidRDefault="00583114" w:rsidP="00583114">
            <w:pPr>
              <w:pStyle w:val="NormalnyWeb"/>
              <w:numPr>
                <w:ilvl w:val="0"/>
                <w:numId w:val="18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zwolnienia przedmiotowe (ze szczególnym uwzględnieniem usługi doradztwa zawodowego, kursów zawodowych, zakupu sprzętu komputerowego do placówek oświatowych),</w:t>
            </w:r>
          </w:p>
          <w:p w14:paraId="68DA35F9" w14:textId="58D8DEBF" w:rsidR="006A639F" w:rsidRPr="00583114" w:rsidRDefault="00583114" w:rsidP="00583114">
            <w:pPr>
              <w:pStyle w:val="NormalnyWeb"/>
              <w:numPr>
                <w:ilvl w:val="0"/>
                <w:numId w:val="18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ustawowe wyłączenia ze zwolnień (podmiotowe i przedmiotowe)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963F92" w14:textId="77777777" w:rsidR="00583114" w:rsidRPr="00065262" w:rsidRDefault="00583114" w:rsidP="00583114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5262">
              <w:rPr>
                <w:rFonts w:asciiTheme="minorHAnsi" w:hAnsiTheme="minorHAnsi" w:cstheme="minorHAnsi"/>
                <w:b/>
                <w:bCs/>
                <w:color w:val="000000"/>
              </w:rPr>
              <w:t>2.5. Prawo do odliczenia podatku naliczonego</w:t>
            </w:r>
          </w:p>
          <w:p w14:paraId="1F117C9D" w14:textId="77777777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przesłanki odliczenia podatku naliczonego,</w:t>
            </w:r>
          </w:p>
          <w:p w14:paraId="7CE64BD4" w14:textId="77777777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moment odliczenia podatku naliczonego,</w:t>
            </w:r>
          </w:p>
          <w:p w14:paraId="29F80395" w14:textId="77777777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ustawowe wyłączenia,</w:t>
            </w:r>
          </w:p>
          <w:p w14:paraId="2AAE3B3B" w14:textId="77777777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odliczenie przy zastosowaniu proporcji sprzedaży (współczynnika),</w:t>
            </w:r>
          </w:p>
          <w:p w14:paraId="79230093" w14:textId="77777777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odliczenie przy zastosowaniu sposobu określenia proporcji (</w:t>
            </w:r>
            <w:proofErr w:type="spellStart"/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prewspółczynnika</w:t>
            </w:r>
            <w:proofErr w:type="spellEnd"/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</w:t>
            </w:r>
          </w:p>
          <w:p w14:paraId="1D1D9A29" w14:textId="406BAE56" w:rsidR="00583114" w:rsidRPr="00583114" w:rsidRDefault="00583114" w:rsidP="00583114">
            <w:pPr>
              <w:pStyle w:val="NormalnyWeb"/>
              <w:numPr>
                <w:ilvl w:val="0"/>
                <w:numId w:val="20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korekta wieloletnia (5-letnia i 10-letnia podatku naliczonego) i jej wpływ na kwalifikowalność podatku VAT</w:t>
            </w:r>
          </w:p>
          <w:p w14:paraId="5E405EA6" w14:textId="3D16DADA" w:rsidR="00583114" w:rsidRPr="00583114" w:rsidRDefault="00583114" w:rsidP="0058311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583114">
              <w:rPr>
                <w:rFonts w:cstheme="minorHAnsi"/>
                <w:b/>
                <w:bCs/>
                <w:shd w:val="clear" w:color="auto" w:fill="FFFFFF"/>
              </w:rPr>
              <w:t>Interpretacje indywidualne Dyrektora Krajowej Informacji Skarbowej i zakres wynikającej z nich ochrony prawnej</w:t>
            </w:r>
          </w:p>
          <w:p w14:paraId="667C0096" w14:textId="77777777" w:rsidR="00583114" w:rsidRPr="00583114" w:rsidRDefault="00583114" w:rsidP="00583114">
            <w:pPr>
              <w:pStyle w:val="NormalnyWeb"/>
              <w:numPr>
                <w:ilvl w:val="0"/>
                <w:numId w:val="13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8311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Ocena i kontrola kwalifikowalności podatku VAT</w:t>
            </w:r>
          </w:p>
          <w:p w14:paraId="3E2F651E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ocena na etapie sprawdzania wniosku o dofinansowanie,</w:t>
            </w:r>
          </w:p>
          <w:p w14:paraId="3B46F595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ocena na etapie sprawdzania wniosku o płatność;</w:t>
            </w:r>
          </w:p>
          <w:p w14:paraId="2C482C1F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ocena na etapie kontroli na miejscu,</w:t>
            </w:r>
          </w:p>
          <w:p w14:paraId="67D176AE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kontrola ksiąg/ewidencji w zakresie odliczenia podatku VAT,</w:t>
            </w:r>
          </w:p>
          <w:p w14:paraId="69C2CDBF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procedury kontrolne organów podatkowych,</w:t>
            </w:r>
          </w:p>
          <w:p w14:paraId="715BFEBC" w14:textId="77777777" w:rsidR="00583114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rodzaje błędów dotyczących kwalifikowalności VAT wykrytych w kontrolach,</w:t>
            </w:r>
          </w:p>
          <w:p w14:paraId="3E28E2F4" w14:textId="143A7D1E" w:rsidR="006A639F" w:rsidRPr="00583114" w:rsidRDefault="00583114" w:rsidP="00583114">
            <w:pPr>
              <w:pStyle w:val="NormalnyWeb"/>
              <w:numPr>
                <w:ilvl w:val="0"/>
                <w:numId w:val="21"/>
              </w:numPr>
              <w:autoSpaceDN/>
              <w:spacing w:before="0"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zmiany w sytuacji prawno-podatkowej beneficjenta w trakcie trwania i po zakończeniu projektu.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35B2E3" w14:textId="77777777" w:rsidR="00583114" w:rsidRPr="008872A5" w:rsidRDefault="00583114" w:rsidP="0058311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583114">
              <w:rPr>
                <w:rFonts w:cstheme="minorHAnsi"/>
                <w:b/>
                <w:bCs/>
                <w:shd w:val="clear" w:color="auto" w:fill="FFFFFF"/>
              </w:rPr>
              <w:t>Obowiązek stosowania mechanizmu podzielonej płatności do określonych towarów i usług (MPP</w:t>
            </w:r>
            <w:r w:rsidRPr="008872A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251C7413" w14:textId="77777777" w:rsidR="00583114" w:rsidRPr="00583114" w:rsidRDefault="00583114" w:rsidP="005831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58311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nowy katalog towarów wrażliwych – załącznik nr 15 z uwzględnieniem zmian wynikających z projektu ustawy z 14 sierpnia 2020 r. o zmianie ustawy o podatku od towarów i usług oraz ustawy - Prawo bankowe,</w:t>
            </w:r>
          </w:p>
          <w:p w14:paraId="4F9DCCED" w14:textId="77777777" w:rsidR="00583114" w:rsidRPr="00583114" w:rsidRDefault="00583114" w:rsidP="005831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58311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likwidacja stosowania mechanizmu odwrotnego obciążenia w transakcjach krajowych </w:t>
            </w:r>
            <w:r w:rsidRPr="00583114">
              <w:rPr>
                <w:rFonts w:cstheme="minorHAnsi"/>
                <w:noProof/>
                <w:sz w:val="18"/>
                <w:szCs w:val="18"/>
                <w:lang w:eastAsia="pl-PL"/>
              </w:rPr>
              <w:t>(uchylenie załączników 11, 13 i 14 do ustawy),</w:t>
            </w:r>
          </w:p>
          <w:p w14:paraId="73CB79A2" w14:textId="77777777" w:rsidR="00583114" w:rsidRPr="00583114" w:rsidRDefault="00583114" w:rsidP="005831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583114">
              <w:rPr>
                <w:rFonts w:cstheme="minorHAnsi"/>
                <w:noProof/>
                <w:sz w:val="18"/>
                <w:szCs w:val="18"/>
                <w:lang w:eastAsia="pl-PL"/>
              </w:rPr>
              <w:t>rachunek VAT w jednostkach samorządu terytorialnego,</w:t>
            </w:r>
          </w:p>
          <w:p w14:paraId="60063E60" w14:textId="77777777" w:rsidR="00583114" w:rsidRPr="00583114" w:rsidRDefault="00583114" w:rsidP="005831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58311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obowiązek umieszczania na fakturach adnotacji „mechanizm podzielonej płatności,</w:t>
            </w:r>
          </w:p>
          <w:p w14:paraId="440E9C38" w14:textId="5A16ABD6" w:rsidR="00583114" w:rsidRPr="00583114" w:rsidRDefault="00583114" w:rsidP="005831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58311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sankcje dla podatników naruszających nowe obowiązki.</w:t>
            </w:r>
          </w:p>
          <w:p w14:paraId="7F8BE1F0" w14:textId="77777777" w:rsidR="00583114" w:rsidRPr="00583114" w:rsidRDefault="00583114" w:rsidP="00583114">
            <w:pPr>
              <w:pStyle w:val="Bezodstpw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58311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Rejestr podatników VAT (tzw. biała lista)</w:t>
            </w:r>
          </w:p>
          <w:p w14:paraId="3467ACF9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udostępnienie nowego wykazu podatników VAT zastępującego dotychczasowe rejestry,</w:t>
            </w:r>
          </w:p>
          <w:p w14:paraId="08639ECF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zakres danych zawartych w rejestrze podatników VAT,</w:t>
            </w:r>
          </w:p>
          <w:p w14:paraId="70D01036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obowiązek dokonywania płatności na rachunki bankowe kontrahentów zgłoszone do urzędu skarbowego,</w:t>
            </w:r>
          </w:p>
          <w:p w14:paraId="790ADD7A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zasady zgłaszania rachunków bankowych przez jednostki samorządu terytorialnego</w:t>
            </w:r>
          </w:p>
          <w:p w14:paraId="30DF86E2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składanie zawiadomień na druku ZAW-NR,</w:t>
            </w:r>
          </w:p>
          <w:p w14:paraId="0A4665CB" w14:textId="77777777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sankcje za wpłatę na rachunek bankowy kontrahenta inny niż wskazany w rejestrze podatników VAT,</w:t>
            </w:r>
          </w:p>
          <w:p w14:paraId="2BA28E31" w14:textId="6C09474D" w:rsidR="00583114" w:rsidRPr="00583114" w:rsidRDefault="00583114" w:rsidP="00583114">
            <w:pPr>
              <w:pStyle w:val="Bezodstpw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3114">
              <w:rPr>
                <w:rFonts w:asciiTheme="minorHAnsi" w:hAnsiTheme="minorHAnsi" w:cstheme="minorHAnsi"/>
                <w:sz w:val="18"/>
                <w:szCs w:val="18"/>
              </w:rPr>
              <w:t>zmiany doprecyzowujące wynikające z projektu ustawy z 14 sierpnia 2020 r. o zmianie ustawy o podatku od towarów i usług oraz ustawy - Prawo bankowe</w:t>
            </w:r>
          </w:p>
          <w:p w14:paraId="28359D7E" w14:textId="398B2F4E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b/>
                <w:bCs/>
                <w:szCs w:val="24"/>
                <w:lang w:eastAsia="ar-SA"/>
              </w:rPr>
            </w:pPr>
            <w:r w:rsidRPr="00583114">
              <w:rPr>
                <w:rFonts w:cs="Times New Roman"/>
                <w:b/>
                <w:bCs/>
                <w:szCs w:val="24"/>
                <w:lang w:eastAsia="ar-SA"/>
              </w:rPr>
              <w:t>7.</w:t>
            </w:r>
            <w:r w:rsidRPr="00583114">
              <w:rPr>
                <w:rFonts w:cs="Times New Roman"/>
                <w:b/>
                <w:bCs/>
                <w:szCs w:val="24"/>
                <w:lang w:eastAsia="ar-SA"/>
              </w:rPr>
              <w:tab/>
              <w:t xml:space="preserve">Zastąpienie z dniem 1 października 2020 r. deklaracji VAT-7 plikiem JPK_VAT (JPK_V7M oraz JPK_V7K) </w:t>
            </w:r>
          </w:p>
          <w:p w14:paraId="2BE7A18C" w14:textId="256F01BD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 xml:space="preserve">termin wejścia w życie nowych przepisów </w:t>
            </w:r>
          </w:p>
          <w:p w14:paraId="702D493B" w14:textId="6808D753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lastRenderedPageBreak/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zastąpienie deklaracji VAT-7 i VAT-7K oraz załączników do deklaracji VAT – ZT, VAT– ZZ, VAT– ZD przez nowe pliki JPK_V7M i JPK_V7K,</w:t>
            </w:r>
          </w:p>
          <w:p w14:paraId="145F4051" w14:textId="39063208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struktura nowych plików JPK_V7M i JPK_V7K,</w:t>
            </w:r>
          </w:p>
          <w:p w14:paraId="25331BD9" w14:textId="21FB0163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wymóg oznaczania rodzaju towaru/usługi będącego przedmiotem sprzedaży,</w:t>
            </w:r>
          </w:p>
          <w:p w14:paraId="34C0250E" w14:textId="1C620062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zakres danych umieszczanych w ewidencji, m.in.:</w:t>
            </w:r>
          </w:p>
          <w:p w14:paraId="4A5A6007" w14:textId="172E9E6C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 w:rsidRPr="00583114">
              <w:rPr>
                <w:rFonts w:cs="Times New Roman"/>
                <w:sz w:val="18"/>
                <w:szCs w:val="18"/>
                <w:lang w:eastAsia="ar-SA"/>
              </w:rPr>
              <w:tab/>
              <w:t>grupy towarów i usług – oznaczenia GTU od 01 do 13,</w:t>
            </w:r>
          </w:p>
          <w:p w14:paraId="0822D380" w14:textId="728044A9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 w:rsidRPr="00583114">
              <w:rPr>
                <w:rFonts w:cs="Times New Roman"/>
                <w:sz w:val="18"/>
                <w:szCs w:val="18"/>
                <w:lang w:eastAsia="ar-SA"/>
              </w:rPr>
              <w:tab/>
              <w:t xml:space="preserve">oznaczanie transakcji symbolami literowymi –SW, EE, TP, TT_WNT, TT_D, MR_T, MR_UZ, I_42, I_63, B_SPV, </w:t>
            </w:r>
            <w:proofErr w:type="spellStart"/>
            <w:r w:rsidRPr="00583114">
              <w:rPr>
                <w:rFonts w:cs="Times New Roman"/>
                <w:sz w:val="18"/>
                <w:szCs w:val="18"/>
                <w:lang w:eastAsia="ar-SA"/>
              </w:rPr>
              <w:t>B_SPV_dostawa</w:t>
            </w:r>
            <w:proofErr w:type="spellEnd"/>
            <w:r w:rsidRPr="00583114">
              <w:rPr>
                <w:rFonts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83114">
              <w:rPr>
                <w:rFonts w:cs="Times New Roman"/>
                <w:sz w:val="18"/>
                <w:szCs w:val="18"/>
                <w:lang w:eastAsia="ar-SA"/>
              </w:rPr>
              <w:t>B_MPV_prowizja</w:t>
            </w:r>
            <w:proofErr w:type="spellEnd"/>
            <w:r w:rsidRPr="00583114">
              <w:rPr>
                <w:rFonts w:cs="Times New Roman"/>
                <w:sz w:val="18"/>
                <w:szCs w:val="18"/>
                <w:lang w:eastAsia="ar-SA"/>
              </w:rPr>
              <w:t>, MK, VAT_RR,</w:t>
            </w:r>
          </w:p>
          <w:p w14:paraId="3B1878A4" w14:textId="3DD706C6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 w:rsidRPr="00583114">
              <w:rPr>
                <w:rFonts w:cs="Times New Roman"/>
                <w:sz w:val="18"/>
                <w:szCs w:val="18"/>
                <w:lang w:eastAsia="ar-SA"/>
              </w:rPr>
              <w:tab/>
              <w:t>nowe zasady wykazywania transakcji objętych obowiązkiem podzielonej płatności,</w:t>
            </w:r>
          </w:p>
          <w:p w14:paraId="34D90CB0" w14:textId="7D2BABAC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 w:rsidRPr="00583114">
              <w:rPr>
                <w:rFonts w:cs="Times New Roman"/>
                <w:sz w:val="18"/>
                <w:szCs w:val="18"/>
                <w:lang w:eastAsia="ar-SA"/>
              </w:rPr>
              <w:tab/>
              <w:t>analiza poszczególnych kodów,</w:t>
            </w:r>
          </w:p>
          <w:p w14:paraId="05C87F01" w14:textId="6E10A3D2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zasady dokonywania korekty plików JPK,</w:t>
            </w:r>
          </w:p>
          <w:p w14:paraId="77BCEC47" w14:textId="6BD28040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zasady wykazywania w JPK faktur wystawionych do paragonów,</w:t>
            </w:r>
          </w:p>
          <w:p w14:paraId="25C1525C" w14:textId="2AC10FC3" w:rsidR="00583114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sankcje związane z nieprawidłowościami w zakresie raportowania,</w:t>
            </w:r>
          </w:p>
          <w:p w14:paraId="0DC132E6" w14:textId="6EB60424" w:rsidR="00CA439C" w:rsidRPr="00583114" w:rsidRDefault="00583114" w:rsidP="0058311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- </w:t>
            </w:r>
            <w:r w:rsidRPr="00583114">
              <w:rPr>
                <w:rFonts w:cs="Times New Roman"/>
                <w:sz w:val="18"/>
                <w:szCs w:val="18"/>
                <w:lang w:eastAsia="ar-SA"/>
              </w:rPr>
              <w:t>wyjaśnienia Ministerstwa Finansów dotyczące struktury JPK_V7M i JPK_V7K.</w:t>
            </w:r>
          </w:p>
          <w:p w14:paraId="4375F6B7" w14:textId="3387955D" w:rsidR="006A639F" w:rsidRPr="003F6B3A" w:rsidRDefault="006A639F" w:rsidP="00E64C31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50FEF1CC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F8F078F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7D9083B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C1D9AC6" w14:textId="1F7DE3A6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B930DC7" w14:textId="13846728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9763788" w14:textId="273D399E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72D83ABC" w14:textId="6C52446B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2B179C1B" w14:textId="43CC8C8D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E82760D" w14:textId="1DF7CC22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65EEE1F" w14:textId="77777777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783E" w14:textId="77777777" w:rsidR="00242946" w:rsidRDefault="00242946">
      <w:pPr>
        <w:spacing w:after="0" w:line="240" w:lineRule="auto"/>
      </w:pPr>
      <w:r>
        <w:separator/>
      </w:r>
    </w:p>
  </w:endnote>
  <w:endnote w:type="continuationSeparator" w:id="0">
    <w:p w14:paraId="5E060001" w14:textId="77777777" w:rsidR="00242946" w:rsidRDefault="002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A48C" w14:textId="77777777" w:rsidR="00AF3DAB" w:rsidRDefault="00AF3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4958" w14:textId="77777777" w:rsidR="00AF3DAB" w:rsidRDefault="00AF3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A4A9E" w14:textId="77777777" w:rsidR="00242946" w:rsidRDefault="002429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0EB20" w14:textId="77777777" w:rsidR="00242946" w:rsidRDefault="002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F4E7" w14:textId="77777777" w:rsidR="00AF3DAB" w:rsidRDefault="00AF3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CC0D" w14:textId="19EED25C" w:rsidR="008079DD" w:rsidRDefault="00AF3DAB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7A08D295" wp14:editId="3F83A30D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2429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A8EF" w14:textId="77777777" w:rsidR="00AF3DAB" w:rsidRDefault="00AF3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C96"/>
    <w:multiLevelType w:val="hybridMultilevel"/>
    <w:tmpl w:val="CBC836D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71177"/>
    <w:multiLevelType w:val="hybridMultilevel"/>
    <w:tmpl w:val="8036FB6C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50F"/>
    <w:multiLevelType w:val="hybridMultilevel"/>
    <w:tmpl w:val="46D83F44"/>
    <w:lvl w:ilvl="0" w:tplc="60E486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5233F4B"/>
    <w:multiLevelType w:val="hybridMultilevel"/>
    <w:tmpl w:val="C966FE58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5E20BF"/>
    <w:multiLevelType w:val="hybridMultilevel"/>
    <w:tmpl w:val="E3A0ECC4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4E16652B"/>
    <w:multiLevelType w:val="hybridMultilevel"/>
    <w:tmpl w:val="D7BE28E6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96888"/>
    <w:multiLevelType w:val="hybridMultilevel"/>
    <w:tmpl w:val="FC74A734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87617"/>
    <w:multiLevelType w:val="hybridMultilevel"/>
    <w:tmpl w:val="280E146A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534"/>
    <w:multiLevelType w:val="hybridMultilevel"/>
    <w:tmpl w:val="EA508E72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 w15:restartNumberingAfterBreak="0">
    <w:nsid w:val="7DCE2532"/>
    <w:multiLevelType w:val="hybridMultilevel"/>
    <w:tmpl w:val="30104CD6"/>
    <w:lvl w:ilvl="0" w:tplc="A582E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8"/>
  </w:num>
  <w:num w:numId="6">
    <w:abstractNumId w:val="19"/>
  </w:num>
  <w:num w:numId="7">
    <w:abstractNumId w:val="8"/>
  </w:num>
  <w:num w:numId="8">
    <w:abstractNumId w:val="15"/>
  </w:num>
  <w:num w:numId="9">
    <w:abstractNumId w:val="2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2"/>
    <w:rsid w:val="000A1ED4"/>
    <w:rsid w:val="000E5A38"/>
    <w:rsid w:val="0012151A"/>
    <w:rsid w:val="00180C51"/>
    <w:rsid w:val="001B3E22"/>
    <w:rsid w:val="001B5006"/>
    <w:rsid w:val="001D6B69"/>
    <w:rsid w:val="00242946"/>
    <w:rsid w:val="002605C7"/>
    <w:rsid w:val="00270D4F"/>
    <w:rsid w:val="002D0AB5"/>
    <w:rsid w:val="00311591"/>
    <w:rsid w:val="00390ADE"/>
    <w:rsid w:val="003A7A59"/>
    <w:rsid w:val="003F6B3A"/>
    <w:rsid w:val="00416082"/>
    <w:rsid w:val="0042319C"/>
    <w:rsid w:val="0048554D"/>
    <w:rsid w:val="004918DE"/>
    <w:rsid w:val="004D5B05"/>
    <w:rsid w:val="00583114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E0123"/>
    <w:rsid w:val="009979B3"/>
    <w:rsid w:val="009F5557"/>
    <w:rsid w:val="009F71CF"/>
    <w:rsid w:val="00A13CF0"/>
    <w:rsid w:val="00A43282"/>
    <w:rsid w:val="00A512F3"/>
    <w:rsid w:val="00AC1E56"/>
    <w:rsid w:val="00AF3DAB"/>
    <w:rsid w:val="00AF75C7"/>
    <w:rsid w:val="00B322FB"/>
    <w:rsid w:val="00C06235"/>
    <w:rsid w:val="00C07E4B"/>
    <w:rsid w:val="00C20DA1"/>
    <w:rsid w:val="00CA439C"/>
    <w:rsid w:val="00CB4FE4"/>
    <w:rsid w:val="00D601C5"/>
    <w:rsid w:val="00DE40E1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uiPriority w:val="99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83114"/>
  </w:style>
  <w:style w:type="paragraph" w:styleId="Akapitzlist">
    <w:name w:val="List Paragraph"/>
    <w:basedOn w:val="Normalny"/>
    <w:link w:val="AkapitzlistZnak"/>
    <w:uiPriority w:val="99"/>
    <w:qFormat/>
    <w:rsid w:val="00583114"/>
    <w:pPr>
      <w:widowControl/>
      <w:suppressAutoHyphens w:val="0"/>
      <w:autoSpaceDN/>
      <w:ind w:left="720"/>
      <w:contextualSpacing/>
      <w:textAlignment w:val="auto"/>
    </w:pPr>
  </w:style>
  <w:style w:type="character" w:styleId="Pogrubienie">
    <w:name w:val="Strong"/>
    <w:basedOn w:val="Domylnaczcionkaakapitu"/>
    <w:uiPriority w:val="22"/>
    <w:qFormat/>
    <w:rsid w:val="00583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Mariusz Jabłoński</cp:lastModifiedBy>
  <cp:revision>2</cp:revision>
  <cp:lastPrinted>2016-11-15T21:46:00Z</cp:lastPrinted>
  <dcterms:created xsi:type="dcterms:W3CDTF">2020-09-13T08:17:00Z</dcterms:created>
  <dcterms:modified xsi:type="dcterms:W3CDTF">2020-09-13T08:17:00Z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