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9379444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7D2D9171" w:rsidR="00F93282" w:rsidRPr="00CE6E75" w:rsidRDefault="00296271" w:rsidP="0062225B">
            <w:pPr>
              <w:pStyle w:val="NormalnyWeb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96271">
              <w:rPr>
                <w:rFonts w:ascii="Cambria" w:hAnsi="Cambria"/>
                <w:b/>
                <w:sz w:val="24"/>
              </w:rPr>
              <w:t>Rozeznanie rynku i zasada konkurencyjności stosowana</w:t>
            </w:r>
            <w:r w:rsidR="00AD682D">
              <w:rPr>
                <w:rFonts w:ascii="Cambria" w:hAnsi="Cambria"/>
                <w:b/>
                <w:sz w:val="24"/>
              </w:rPr>
              <w:br/>
            </w:r>
            <w:r w:rsidRPr="00296271">
              <w:rPr>
                <w:rFonts w:ascii="Cambria" w:hAnsi="Cambria"/>
                <w:b/>
                <w:sz w:val="24"/>
              </w:rPr>
              <w:t>w projektach współfinansowanych z Regionalnego Programu Operacyjnego Województwa Śląskiego 2014-2020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7E0CCD25" w14:textId="77777777" w:rsidTr="008075F3">
        <w:trPr>
          <w:trHeight w:val="83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0DD6BD1C" w:rsidR="00F93282" w:rsidRPr="00CE6E75" w:rsidRDefault="00667CAF" w:rsidP="0029627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 xml:space="preserve">Urząd Marszałkowski Województwa Śląskiego, </w:t>
            </w:r>
            <w:r w:rsidR="00D6422F">
              <w:rPr>
                <w:rFonts w:ascii="Cambria" w:hAnsi="Cambria"/>
                <w:sz w:val="24"/>
                <w:szCs w:val="24"/>
              </w:rPr>
              <w:br/>
            </w:r>
            <w:bookmarkStart w:id="0" w:name="_GoBack"/>
            <w:bookmarkEnd w:id="0"/>
            <w:r w:rsidR="00296271">
              <w:rPr>
                <w:rFonts w:ascii="Cambria" w:hAnsi="Cambria"/>
                <w:sz w:val="24"/>
                <w:szCs w:val="24"/>
              </w:rPr>
              <w:t>Departament</w:t>
            </w:r>
            <w:r w:rsidRPr="00CE6E75">
              <w:rPr>
                <w:rFonts w:ascii="Cambria" w:hAnsi="Cambria"/>
                <w:sz w:val="24"/>
                <w:szCs w:val="24"/>
              </w:rPr>
              <w:t xml:space="preserve">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6767E2" w14:textId="77777777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Omówienie charakteru wytycznych Ministra Infrastruktury i Rozwoju dotyczących kwalifikowalności wydatków w ramach EFRR, EFS i FS (zwanych dalej wytycznymi horyzontalnymi).</w:t>
            </w:r>
          </w:p>
          <w:p w14:paraId="2E091A40" w14:textId="3D711FD9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Obowiązek udzielania interpretacji dotyczących wytycznych horyzontalnych przez instytucje będące stroną umowy o dofinansowanie.</w:t>
            </w:r>
          </w:p>
          <w:p w14:paraId="2E40D83A" w14:textId="3597EF4E" w:rsidR="003B17F5" w:rsidRDefault="003B17F5" w:rsidP="003B17F5">
            <w:pPr>
              <w:autoSpaceDE w:val="0"/>
              <w:adjustRightInd w:val="0"/>
              <w:spacing w:after="0" w:line="360" w:lineRule="auto"/>
              <w:ind w:left="567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Rola wytycznych horyzontalnych w procesie rozliczenia projektu.</w:t>
            </w:r>
          </w:p>
          <w:p w14:paraId="08B3EDC9" w14:textId="45B1DF93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Zasady kwalifikowalności wydatków w zakresie oszczędności i efektywności jego poniesienia.</w:t>
            </w:r>
          </w:p>
          <w:p w14:paraId="79B5DAC8" w14:textId="4F3034EA" w:rsidR="003B17F5" w:rsidRDefault="003B17F5" w:rsidP="003B17F5">
            <w:pPr>
              <w:autoSpaceDE w:val="0"/>
              <w:adjustRightInd w:val="0"/>
              <w:spacing w:after="0" w:line="360" w:lineRule="auto"/>
              <w:ind w:left="567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Zasady dokonywania wydatków do 20.000 PLN netto.</w:t>
            </w:r>
          </w:p>
          <w:p w14:paraId="43834A5B" w14:textId="4FBB7FA8" w:rsidR="006459BB" w:rsidRPr="00C16AB8" w:rsidRDefault="006459BB" w:rsidP="008D08AE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47DF7A41" w:rsidR="00EA252E" w:rsidRPr="00CE6E75" w:rsidRDefault="00D405B8" w:rsidP="00D405B8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65577A9" w14:textId="77777777" w:rsidTr="009749BB">
        <w:trPr>
          <w:trHeight w:val="116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1348AC" w14:textId="19267325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Ustalanie wartości zamówienia</w:t>
            </w:r>
            <w:r>
              <w:rPr>
                <w:rFonts w:asciiTheme="majorHAnsi" w:hAnsiTheme="majorHAnsi" w:cs="Times New Roman"/>
                <w:bCs/>
              </w:rPr>
              <w:tab/>
              <w:t xml:space="preserve"> </w:t>
            </w:r>
          </w:p>
          <w:p w14:paraId="05D7AC4E" w14:textId="168762E4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Zasady dokonywania wydatków w przedziale 20.000 PLN netto – 50.000 PLN netto (tzw. zasada rozeznania rynku)</w:t>
            </w:r>
            <w:r w:rsidR="00D6422F">
              <w:rPr>
                <w:rFonts w:asciiTheme="majorHAnsi" w:hAnsiTheme="majorHAnsi" w:cs="Times New Roman"/>
                <w:bCs/>
              </w:rPr>
              <w:t>.</w:t>
            </w:r>
          </w:p>
          <w:p w14:paraId="68DA35F9" w14:textId="671D2ED0" w:rsidR="00534A07" w:rsidRPr="00534A07" w:rsidRDefault="00534A07" w:rsidP="006459BB">
            <w:pPr>
              <w:ind w:left="116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D4A99C7" w:rsidR="006A639F" w:rsidRPr="00CE6E75" w:rsidRDefault="00D405B8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D73EF4" w14:textId="6F987528" w:rsidR="003B17F5" w:rsidRDefault="003B17F5" w:rsidP="003B17F5">
            <w:pPr>
              <w:autoSpaceDE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Zasada konkurencyjności dla zamówień o wartości od 50.000 PLN netto do 30.000 euro netto:</w:t>
            </w:r>
          </w:p>
          <w:p w14:paraId="6396F0B4" w14:textId="77777777" w:rsidR="003B17F5" w:rsidRDefault="003B17F5" w:rsidP="003B17F5">
            <w:pPr>
              <w:autoSpaceDE w:val="0"/>
              <w:adjustRightInd w:val="0"/>
              <w:spacing w:after="0" w:line="360" w:lineRule="auto"/>
              <w:ind w:left="1134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lastRenderedPageBreak/>
              <w:t>-</w:t>
            </w:r>
            <w:r>
              <w:rPr>
                <w:rFonts w:asciiTheme="majorHAnsi" w:hAnsiTheme="majorHAnsi" w:cs="Times New Roman"/>
                <w:bCs/>
              </w:rPr>
              <w:tab/>
              <w:t>upublicznianie postępowania;</w:t>
            </w:r>
          </w:p>
          <w:p w14:paraId="309D0FF8" w14:textId="77777777" w:rsidR="003B17F5" w:rsidRDefault="003B17F5" w:rsidP="003B17F5">
            <w:pPr>
              <w:autoSpaceDE w:val="0"/>
              <w:adjustRightInd w:val="0"/>
              <w:spacing w:after="0" w:line="360" w:lineRule="auto"/>
              <w:ind w:left="1134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- </w:t>
            </w:r>
            <w:r>
              <w:rPr>
                <w:rFonts w:asciiTheme="majorHAnsi" w:hAnsiTheme="majorHAnsi" w:cs="Times New Roman"/>
                <w:bCs/>
              </w:rPr>
              <w:tab/>
              <w:t>opis przedmiotu zamówienia, kryteria oceny ofert, warunki udziału w postępowaniu;</w:t>
            </w:r>
          </w:p>
          <w:p w14:paraId="147A6A1F" w14:textId="77777777" w:rsidR="003B17F5" w:rsidRDefault="003B17F5" w:rsidP="003B17F5">
            <w:pPr>
              <w:autoSpaceDE w:val="0"/>
              <w:adjustRightInd w:val="0"/>
              <w:spacing w:after="0" w:line="360" w:lineRule="auto"/>
              <w:ind w:left="1134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-  </w:t>
            </w:r>
            <w:r>
              <w:rPr>
                <w:rFonts w:asciiTheme="majorHAnsi" w:hAnsiTheme="majorHAnsi" w:cs="Times New Roman"/>
                <w:bCs/>
              </w:rPr>
              <w:tab/>
              <w:t>konflikt interesów;</w:t>
            </w:r>
          </w:p>
          <w:p w14:paraId="3745F69D" w14:textId="10CC6F4E" w:rsidR="003B17F5" w:rsidRDefault="003B17F5" w:rsidP="003B17F5">
            <w:pPr>
              <w:autoSpaceDE w:val="0"/>
              <w:adjustRightInd w:val="0"/>
              <w:spacing w:after="0" w:line="360" w:lineRule="auto"/>
              <w:ind w:left="1134" w:hanging="567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-  </w:t>
            </w:r>
            <w:r>
              <w:rPr>
                <w:rFonts w:asciiTheme="majorHAnsi" w:hAnsiTheme="majorHAnsi" w:cs="Times New Roman"/>
                <w:bCs/>
              </w:rPr>
              <w:tab/>
              <w:t>przebie</w:t>
            </w:r>
            <w:r w:rsidR="00D6422F">
              <w:rPr>
                <w:rFonts w:asciiTheme="majorHAnsi" w:hAnsiTheme="majorHAnsi" w:cs="Times New Roman"/>
                <w:bCs/>
              </w:rPr>
              <w:t>g i dokumentowanie postępowania.</w:t>
            </w:r>
          </w:p>
          <w:p w14:paraId="3E28E2F4" w14:textId="6599D925" w:rsidR="00534A07" w:rsidRPr="00534A07" w:rsidRDefault="00534A07" w:rsidP="00534A07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lastRenderedPageBreak/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1FA2D80" w:rsidR="006A639F" w:rsidRPr="00CE6E75" w:rsidRDefault="006A639F" w:rsidP="00D405B8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5CEBD6BC" w:rsidR="00B31BBF" w:rsidRPr="003B17F5" w:rsidRDefault="003B17F5" w:rsidP="00534A07">
            <w:pPr>
              <w:ind w:hanging="2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 w:rsidRPr="003B17F5">
              <w:rPr>
                <w:rFonts w:ascii="Cambria" w:hAnsi="Cambria" w:cs="Times New Roman"/>
                <w:sz w:val="24"/>
                <w:szCs w:val="24"/>
                <w:lang w:eastAsia="ar-SA"/>
              </w:rPr>
              <w:t>Zmiany umów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9D53" w14:textId="77777777" w:rsidR="00C355A3" w:rsidRDefault="00C355A3">
      <w:pPr>
        <w:spacing w:after="0" w:line="240" w:lineRule="auto"/>
      </w:pPr>
      <w:r>
        <w:separator/>
      </w:r>
    </w:p>
  </w:endnote>
  <w:endnote w:type="continuationSeparator" w:id="0">
    <w:p w14:paraId="6C7AFAE0" w14:textId="77777777" w:rsidR="00C355A3" w:rsidRDefault="00C3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4843" w14:textId="77777777" w:rsidR="00C355A3" w:rsidRDefault="00C355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326C73" w14:textId="77777777" w:rsidR="00C355A3" w:rsidRDefault="00C3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C35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42784"/>
    <w:rsid w:val="00062E65"/>
    <w:rsid w:val="000A1ED4"/>
    <w:rsid w:val="000E5A38"/>
    <w:rsid w:val="0010005D"/>
    <w:rsid w:val="00180C51"/>
    <w:rsid w:val="001B3E22"/>
    <w:rsid w:val="001B5006"/>
    <w:rsid w:val="001D6B69"/>
    <w:rsid w:val="00256B7C"/>
    <w:rsid w:val="002605C7"/>
    <w:rsid w:val="0027541A"/>
    <w:rsid w:val="00296271"/>
    <w:rsid w:val="002D0AB5"/>
    <w:rsid w:val="00311591"/>
    <w:rsid w:val="00363535"/>
    <w:rsid w:val="003A7A59"/>
    <w:rsid w:val="003B17F5"/>
    <w:rsid w:val="003F6B3A"/>
    <w:rsid w:val="004107FC"/>
    <w:rsid w:val="00416082"/>
    <w:rsid w:val="0042319C"/>
    <w:rsid w:val="0048143A"/>
    <w:rsid w:val="0048554D"/>
    <w:rsid w:val="004918DE"/>
    <w:rsid w:val="004D5B05"/>
    <w:rsid w:val="00534A07"/>
    <w:rsid w:val="0057762B"/>
    <w:rsid w:val="005E1163"/>
    <w:rsid w:val="0062225B"/>
    <w:rsid w:val="006459BB"/>
    <w:rsid w:val="0064799E"/>
    <w:rsid w:val="0065767C"/>
    <w:rsid w:val="00667CAF"/>
    <w:rsid w:val="006701B0"/>
    <w:rsid w:val="0067665E"/>
    <w:rsid w:val="00691604"/>
    <w:rsid w:val="006A639F"/>
    <w:rsid w:val="006D1D40"/>
    <w:rsid w:val="00702290"/>
    <w:rsid w:val="007209ED"/>
    <w:rsid w:val="007339F1"/>
    <w:rsid w:val="00746E6E"/>
    <w:rsid w:val="00762DF2"/>
    <w:rsid w:val="00780FA1"/>
    <w:rsid w:val="007B2803"/>
    <w:rsid w:val="007B59F2"/>
    <w:rsid w:val="007F4A21"/>
    <w:rsid w:val="008075F3"/>
    <w:rsid w:val="00836767"/>
    <w:rsid w:val="00840969"/>
    <w:rsid w:val="008D08AE"/>
    <w:rsid w:val="008E0123"/>
    <w:rsid w:val="009068DA"/>
    <w:rsid w:val="009749BB"/>
    <w:rsid w:val="00990A25"/>
    <w:rsid w:val="009979B3"/>
    <w:rsid w:val="009F5557"/>
    <w:rsid w:val="009F71CF"/>
    <w:rsid w:val="00A108ED"/>
    <w:rsid w:val="00A13CF0"/>
    <w:rsid w:val="00A43282"/>
    <w:rsid w:val="00A512F3"/>
    <w:rsid w:val="00AC1E56"/>
    <w:rsid w:val="00AD682D"/>
    <w:rsid w:val="00AF75C7"/>
    <w:rsid w:val="00B31BBF"/>
    <w:rsid w:val="00B322FB"/>
    <w:rsid w:val="00B4054D"/>
    <w:rsid w:val="00C06235"/>
    <w:rsid w:val="00C07E4B"/>
    <w:rsid w:val="00C16AB8"/>
    <w:rsid w:val="00C20DA1"/>
    <w:rsid w:val="00C355A3"/>
    <w:rsid w:val="00CB4D6E"/>
    <w:rsid w:val="00CB4FE4"/>
    <w:rsid w:val="00CE6E75"/>
    <w:rsid w:val="00D405B8"/>
    <w:rsid w:val="00D601C5"/>
    <w:rsid w:val="00D6422F"/>
    <w:rsid w:val="00D75DFD"/>
    <w:rsid w:val="00DE40E1"/>
    <w:rsid w:val="00DE5E5D"/>
    <w:rsid w:val="00E06F7F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D5BC-BFCE-4E41-B4BD-E9662ED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8</cp:revision>
  <cp:lastPrinted>2016-11-15T21:46:00Z</cp:lastPrinted>
  <dcterms:created xsi:type="dcterms:W3CDTF">2020-06-16T19:31:00Z</dcterms:created>
  <dcterms:modified xsi:type="dcterms:W3CDTF">2020-08-14T06:44:00Z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