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A9" w:rsidRDefault="00810FA9" w:rsidP="005E565C">
      <w:pPr>
        <w:pStyle w:val="Tytu"/>
        <w:spacing w:after="60"/>
        <w:rPr>
          <w:rFonts w:ascii="Tahoma" w:hAnsi="Tahoma" w:cs="Tahoma"/>
          <w:sz w:val="28"/>
          <w:szCs w:val="28"/>
        </w:rPr>
      </w:pPr>
      <w:bookmarkStart w:id="0" w:name="_GoBack"/>
      <w:bookmarkEnd w:id="0"/>
      <w:r w:rsidRPr="007C3952">
        <w:rPr>
          <w:rFonts w:ascii="Bookman Old Style" w:hAnsi="Bookman Old Style"/>
          <w:noProof/>
        </w:rPr>
        <w:drawing>
          <wp:inline distT="0" distB="0" distL="0" distR="0" wp14:anchorId="64407CA9" wp14:editId="18FB48BF">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[nazwa i adres Beneficjenta,</w:t>
      </w:r>
      <w:r w:rsidRPr="00281303">
        <w:rPr>
          <w:rStyle w:val="Odwoanieprzypisudolnego"/>
          <w:rFonts w:ascii="Tahoma" w:hAnsi="Tahoma" w:cs="Tahoma"/>
          <w:sz w:val="20"/>
          <w:szCs w:val="20"/>
        </w:rPr>
        <w:footnoteReference w:id="2"/>
      </w:r>
      <w:r w:rsidRPr="00281303">
        <w:rPr>
          <w:rFonts w:ascii="Tahoma" w:hAnsi="Tahoma" w:cs="Tahoma"/>
          <w:sz w:val="20"/>
          <w:szCs w:val="20"/>
        </w:rPr>
        <w:t xml:space="preserve"> a gdy posiada - również NIP i REGON], zwaną/</w:t>
      </w:r>
      <w:proofErr w:type="spellStart"/>
      <w:r w:rsidRPr="00281303">
        <w:rPr>
          <w:rFonts w:ascii="Tahoma" w:hAnsi="Tahoma" w:cs="Tahoma"/>
          <w:sz w:val="20"/>
          <w:szCs w:val="20"/>
        </w:rPr>
        <w:t>ym</w:t>
      </w:r>
      <w:proofErr w:type="spellEnd"/>
      <w:r w:rsidRPr="00281303">
        <w:rPr>
          <w:rFonts w:ascii="Tahoma" w:hAnsi="Tahoma" w:cs="Tahoma"/>
          <w:sz w:val="20"/>
          <w:szCs w:val="20"/>
        </w:rPr>
        <w:t xml:space="preserve"> dalej „Beneficjentem”,</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reprezentowanym przez:</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2014 r. poz. 1146, z </w:t>
      </w:r>
      <w:proofErr w:type="spellStart"/>
      <w:r w:rsidRPr="00281303">
        <w:rPr>
          <w:rFonts w:ascii="Tahoma" w:hAnsi="Tahoma" w:cs="Tahoma"/>
          <w:sz w:val="20"/>
          <w:szCs w:val="20"/>
        </w:rPr>
        <w:t>późn</w:t>
      </w:r>
      <w:proofErr w:type="spellEnd"/>
      <w:r w:rsidRPr="00281303">
        <w:rPr>
          <w:rFonts w:ascii="Tahoma" w:hAnsi="Tahoma" w:cs="Tahoma"/>
          <w:sz w:val="20"/>
          <w:szCs w:val="20"/>
        </w:rPr>
        <w:t>. zm.);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2014 r. poz. 121,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885, z </w:t>
      </w:r>
      <w:proofErr w:type="spellStart"/>
      <w:r w:rsidRPr="00281303">
        <w:rPr>
          <w:rFonts w:ascii="Tahoma" w:hAnsi="Tahoma" w:cs="Tahoma"/>
          <w:sz w:val="20"/>
          <w:szCs w:val="20"/>
        </w:rPr>
        <w:t>późn</w:t>
      </w:r>
      <w:proofErr w:type="spellEnd"/>
      <w:r w:rsidRPr="00281303">
        <w:rPr>
          <w:rFonts w:ascii="Tahoma" w:hAnsi="Tahoma" w:cs="Tahoma"/>
          <w:sz w:val="20"/>
          <w:szCs w:val="20"/>
        </w:rPr>
        <w:t>. zm.)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330,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stycznia 2004 r. - Prawo zamówień publicznych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907, </w:t>
      </w:r>
      <w:r w:rsidRPr="00281303">
        <w:rPr>
          <w:rFonts w:ascii="Tahoma" w:hAnsi="Tahoma" w:cs="Tahoma"/>
          <w:sz w:val="20"/>
          <w:szCs w:val="20"/>
        </w:rPr>
        <w:br/>
        <w:t xml:space="preserve">z </w:t>
      </w:r>
      <w:proofErr w:type="spellStart"/>
      <w:r w:rsidRPr="00281303">
        <w:rPr>
          <w:rFonts w:ascii="Tahoma" w:hAnsi="Tahoma" w:cs="Tahoma"/>
          <w:sz w:val="20"/>
          <w:szCs w:val="20"/>
        </w:rPr>
        <w:t>późn</w:t>
      </w:r>
      <w:proofErr w:type="spellEnd"/>
      <w:r w:rsidRPr="00281303">
        <w:rPr>
          <w:rFonts w:ascii="Tahoma" w:hAnsi="Tahoma" w:cs="Tahoma"/>
          <w:sz w:val="20"/>
          <w:szCs w:val="20"/>
        </w:rPr>
        <w:t>. zm.) – zwana dalej PZP;</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Style w:val="Uwydatnienie"/>
          <w:rFonts w:ascii="Tahoma" w:hAnsi="Tahoma" w:cs="Tahoma"/>
          <w:i w:val="0"/>
          <w:iCs w:val="0"/>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br/>
        <w:t>(</w:t>
      </w:r>
      <w:proofErr w:type="spellStart"/>
      <w:r w:rsidRPr="00281303">
        <w:rPr>
          <w:rStyle w:val="Uwydatnienie"/>
          <w:rFonts w:ascii="Tahoma" w:hAnsi="Tahoma" w:cs="Tahoma"/>
          <w:i w:val="0"/>
          <w:iCs w:val="0"/>
          <w:sz w:val="20"/>
          <w:szCs w:val="20"/>
        </w:rPr>
        <w:t>t.j</w:t>
      </w:r>
      <w:proofErr w:type="spellEnd"/>
      <w:r w:rsidRPr="00281303">
        <w:rPr>
          <w:rStyle w:val="Uwydatnienie"/>
          <w:rFonts w:ascii="Tahoma" w:hAnsi="Tahoma" w:cs="Tahoma"/>
          <w:i w:val="0"/>
          <w:iCs w:val="0"/>
          <w:sz w:val="20"/>
          <w:szCs w:val="20"/>
        </w:rPr>
        <w:t xml:space="preserve">. Dz. U. z 2007 r. Nr 59, poz. 404, z </w:t>
      </w:r>
      <w:proofErr w:type="spellStart"/>
      <w:r w:rsidRPr="00281303">
        <w:rPr>
          <w:rStyle w:val="Uwydatnienie"/>
          <w:rFonts w:ascii="Tahoma" w:hAnsi="Tahoma" w:cs="Tahoma"/>
          <w:i w:val="0"/>
          <w:iCs w:val="0"/>
          <w:sz w:val="20"/>
          <w:szCs w:val="20"/>
        </w:rPr>
        <w:t>późn</w:t>
      </w:r>
      <w:proofErr w:type="spellEnd"/>
      <w:r w:rsidRPr="00281303">
        <w:rPr>
          <w:rStyle w:val="Uwydatnienie"/>
          <w:rFonts w:ascii="Tahoma" w:hAnsi="Tahoma" w:cs="Tahoma"/>
          <w:i w:val="0"/>
          <w:iCs w:val="0"/>
          <w:sz w:val="20"/>
          <w:szCs w:val="20"/>
        </w:rPr>
        <w:t>. zm.);</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Pr="00281303"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t>(</w:t>
      </w:r>
      <w:proofErr w:type="spellStart"/>
      <w:r w:rsidRPr="00281303">
        <w:rPr>
          <w:rStyle w:val="Uwydatnienie"/>
          <w:rFonts w:ascii="Tahoma" w:hAnsi="Tahoma" w:cs="Tahoma"/>
          <w:i w:val="0"/>
          <w:iCs w:val="0"/>
          <w:sz w:val="20"/>
          <w:szCs w:val="20"/>
        </w:rPr>
        <w:t>t.j</w:t>
      </w:r>
      <w:proofErr w:type="spellEnd"/>
      <w:r w:rsidRPr="00281303">
        <w:rPr>
          <w:rStyle w:val="Uwydatnienie"/>
          <w:rFonts w:ascii="Tahoma" w:hAnsi="Tahoma" w:cs="Tahoma"/>
          <w:i w:val="0"/>
          <w:iCs w:val="0"/>
          <w:sz w:val="20"/>
          <w:szCs w:val="20"/>
        </w:rPr>
        <w:t xml:space="preserve">. Dz. U. z 2007 r. Nr 59, poz. 404, z </w:t>
      </w:r>
      <w:proofErr w:type="spellStart"/>
      <w:r w:rsidRPr="00281303">
        <w:rPr>
          <w:rStyle w:val="Uwydatnienie"/>
          <w:rFonts w:ascii="Tahoma" w:hAnsi="Tahoma" w:cs="Tahoma"/>
          <w:i w:val="0"/>
          <w:iCs w:val="0"/>
          <w:sz w:val="20"/>
          <w:szCs w:val="20"/>
        </w:rPr>
        <w:t>późn</w:t>
      </w:r>
      <w:proofErr w:type="spellEnd"/>
      <w:r w:rsidRPr="00281303">
        <w:rPr>
          <w:rStyle w:val="Uwydatnienie"/>
          <w:rFonts w:ascii="Tahoma" w:hAnsi="Tahoma" w:cs="Tahoma"/>
          <w:i w:val="0"/>
          <w:iCs w:val="0"/>
          <w:sz w:val="20"/>
          <w:szCs w:val="20"/>
        </w:rPr>
        <w:t>. zm.);</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 xml:space="preserve">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r w:rsidR="003F57AE">
        <w:rPr>
          <w:rFonts w:ascii="Tahoma" w:hAnsi="Tahoma" w:cs="Tahoma"/>
          <w:sz w:val="20"/>
          <w:szCs w:val="20"/>
        </w:rPr>
        <w:t xml:space="preserve"> </w:t>
      </w:r>
      <w:r w:rsidRPr="00281303">
        <w:rPr>
          <w:rFonts w:ascii="Tahoma" w:hAnsi="Tahoma" w:cs="Tahoma"/>
          <w:sz w:val="20"/>
          <w:szCs w:val="20"/>
        </w:rPr>
        <w:t>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Pr="00281303">
        <w:rPr>
          <w:rFonts w:ascii="Tahoma" w:hAnsi="Tahoma" w:cs="Tahoma"/>
          <w:kern w:val="0"/>
          <w:sz w:val="20"/>
          <w:szCs w:val="20"/>
        </w:rPr>
        <w:t>dotacji celowej” oznacza to współfinansowanie krajowe z budżetu państwa na dofinansowanie projektu przekazywane przez IZ</w:t>
      </w:r>
      <w:r w:rsidR="007379E9">
        <w:rPr>
          <w:rFonts w:ascii="Tahoma" w:hAnsi="Tahoma" w:cs="Tahoma"/>
          <w:kern w:val="0"/>
          <w:sz w:val="20"/>
          <w:szCs w:val="20"/>
        </w:rPr>
        <w:t>,</w:t>
      </w:r>
      <w:r w:rsidRPr="00281303">
        <w:rPr>
          <w:rFonts w:ascii="Tahoma" w:hAnsi="Tahoma" w:cs="Tahoma"/>
          <w:kern w:val="0"/>
          <w:sz w:val="20"/>
          <w:szCs w:val="20"/>
        </w:rPr>
        <w:t xml:space="preserve"> </w:t>
      </w:r>
      <w:r w:rsidR="00A9589C">
        <w:rPr>
          <w:rFonts w:ascii="Tahoma" w:hAnsi="Tahoma" w:cs="Tahoma"/>
          <w:kern w:val="0"/>
          <w:sz w:val="20"/>
          <w:szCs w:val="20"/>
        </w:rPr>
        <w:t xml:space="preserve">o którym mowa w </w:t>
      </w:r>
      <w:r w:rsidRPr="00281303">
        <w:rPr>
          <w:rFonts w:ascii="Tahoma" w:hAnsi="Tahoma" w:cs="Tahoma"/>
          <w:kern w:val="0"/>
          <w:sz w:val="20"/>
          <w:szCs w:val="20"/>
        </w:rPr>
        <w:t xml:space="preserve">art. 2 </w:t>
      </w:r>
      <w:r w:rsidR="00A9589C">
        <w:rPr>
          <w:rFonts w:ascii="Tahoma" w:hAnsi="Tahoma" w:cs="Tahoma"/>
          <w:kern w:val="0"/>
          <w:sz w:val="20"/>
          <w:szCs w:val="20"/>
        </w:rPr>
        <w:t>pkt.</w:t>
      </w:r>
      <w:r w:rsidR="00EB4A98">
        <w:rPr>
          <w:rFonts w:ascii="Tahoma" w:hAnsi="Tahoma" w:cs="Tahoma"/>
          <w:kern w:val="0"/>
          <w:sz w:val="20"/>
          <w:szCs w:val="20"/>
        </w:rPr>
        <w:t xml:space="preserve">  </w:t>
      </w:r>
      <w:r w:rsidRPr="00281303">
        <w:rPr>
          <w:rFonts w:ascii="Tahoma" w:hAnsi="Tahoma" w:cs="Tahoma"/>
          <w:kern w:val="0"/>
          <w:sz w:val="20"/>
          <w:szCs w:val="20"/>
        </w:rPr>
        <w:t xml:space="preserve"> 30 Ustawy</w:t>
      </w:r>
      <w:r w:rsidR="00EB6C75">
        <w:rPr>
          <w:rFonts w:ascii="Tahoma" w:hAnsi="Tahoma" w:cs="Tahoma"/>
          <w:kern w:val="0"/>
          <w:sz w:val="20"/>
          <w:szCs w:val="20"/>
        </w:rPr>
        <w:t xml:space="preserve">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Pr="00281303">
        <w:rPr>
          <w:rStyle w:val="Odwoanieprzypisudolnego"/>
          <w:rFonts w:ascii="Tahoma" w:hAnsi="Tahoma"/>
          <w:bCs/>
        </w:rPr>
        <w:footnoteReference w:id="3"/>
      </w:r>
      <w:r w:rsidRPr="00281303">
        <w:rPr>
          <w:rFonts w:ascii="Tahoma" w:hAnsi="Tahoma" w:cs="Tahoma"/>
          <w:bCs/>
        </w:rPr>
        <w:t>;</w:t>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lastRenderedPageBreak/>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„pracowniku” oznacza to:</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a.</w:t>
      </w:r>
      <w:r w:rsidRPr="00281303">
        <w:rPr>
          <w:rFonts w:ascii="Tahoma" w:hAnsi="Tahoma" w:cs="Tahoma"/>
          <w:sz w:val="20"/>
          <w:szCs w:val="20"/>
        </w:rPr>
        <w:tab/>
        <w:t>osobę świadczącą pracę na podstawie stosunku pracy lub stosunku cywilnoprawnego,</w:t>
      </w:r>
    </w:p>
    <w:p w:rsidR="00FA2916" w:rsidRPr="00281303" w:rsidRDefault="00FA2916" w:rsidP="00057A63">
      <w:pPr>
        <w:pStyle w:val="Standard"/>
        <w:numPr>
          <w:ilvl w:val="0"/>
          <w:numId w:val="163"/>
        </w:numPr>
        <w:spacing w:after="60"/>
        <w:ind w:left="709" w:hanging="283"/>
        <w:jc w:val="both"/>
        <w:rPr>
          <w:rFonts w:ascii="Tahoma" w:hAnsi="Tahoma" w:cs="Tahoma"/>
          <w:sz w:val="20"/>
          <w:szCs w:val="20"/>
        </w:rPr>
      </w:pPr>
      <w:r w:rsidRPr="00281303">
        <w:rPr>
          <w:rFonts w:ascii="Tahoma" w:hAnsi="Tahoma" w:cs="Tahoma"/>
          <w:sz w:val="20"/>
          <w:szCs w:val="20"/>
        </w:rPr>
        <w:t>osobę fizyczną, która w ramach prowadzonej działalności gospodarczej wykonuje wyłącznie osobiście, powierzone jej na podstawie umowy cywilnoprawnej zadania,</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c.</w:t>
      </w:r>
      <w:r w:rsidRPr="00281303">
        <w:rPr>
          <w:rFonts w:ascii="Tahoma" w:hAnsi="Tahoma" w:cs="Tahoma"/>
          <w:sz w:val="20"/>
          <w:szCs w:val="20"/>
        </w:rPr>
        <w:tab/>
        <w:t>osobę współpracującą w rozumieniu ustawy z dnia 13 października 1998 r. o systemie ubezpieczeń społecznych (</w:t>
      </w:r>
      <w:proofErr w:type="spellStart"/>
      <w:r w:rsidRPr="00281303">
        <w:rPr>
          <w:rFonts w:ascii="Tahoma" w:hAnsi="Tahoma" w:cs="Tahoma"/>
          <w:sz w:val="20"/>
          <w:szCs w:val="20"/>
        </w:rPr>
        <w:t>t.j</w:t>
      </w:r>
      <w:proofErr w:type="spellEnd"/>
      <w:r w:rsidRPr="00281303">
        <w:rPr>
          <w:rFonts w:ascii="Tahoma" w:hAnsi="Tahoma" w:cs="Tahoma"/>
          <w:sz w:val="20"/>
          <w:szCs w:val="20"/>
        </w:rPr>
        <w:t>. Dz. U. z 2015r. poz. 121),</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d.</w:t>
      </w:r>
      <w:r w:rsidRPr="0028130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2014r. poz.1118,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4"/>
        </w:numPr>
        <w:spacing w:after="60"/>
        <w:ind w:left="426" w:firstLine="0"/>
        <w:jc w:val="both"/>
        <w:rPr>
          <w:rFonts w:ascii="Tahoma" w:hAnsi="Tahoma" w:cs="Tahoma"/>
          <w:sz w:val="20"/>
          <w:szCs w:val="20"/>
        </w:rPr>
      </w:pPr>
      <w:r w:rsidRPr="00281303">
        <w:rPr>
          <w:rFonts w:ascii="Tahoma" w:hAnsi="Tahoma" w:cs="Tahoma"/>
          <w:sz w:val="20"/>
          <w:szCs w:val="20"/>
        </w:rPr>
        <w:t>właściciela pełniącego funkcje kierownicze,</w:t>
      </w:r>
    </w:p>
    <w:p w:rsidR="00FA2916" w:rsidRPr="00281303" w:rsidRDefault="00FA2916" w:rsidP="00057A63">
      <w:pPr>
        <w:pStyle w:val="Standard"/>
        <w:numPr>
          <w:ilvl w:val="0"/>
          <w:numId w:val="164"/>
        </w:numPr>
        <w:spacing w:after="60"/>
        <w:ind w:left="709" w:hanging="283"/>
        <w:jc w:val="both"/>
        <w:rPr>
          <w:rFonts w:ascii="Tahoma" w:hAnsi="Tahoma" w:cs="Tahoma"/>
          <w:sz w:val="20"/>
          <w:szCs w:val="20"/>
        </w:rPr>
      </w:pPr>
      <w:r w:rsidRPr="00281303">
        <w:rPr>
          <w:rFonts w:ascii="Tahoma" w:hAnsi="Tahoma" w:cs="Tahoma"/>
          <w:sz w:val="20"/>
          <w:szCs w:val="20"/>
        </w:rPr>
        <w:t xml:space="preserve">wspólnika, w tym Partnera prowadzącego regularną działalność w przedsiębiorstwie </w:t>
      </w:r>
      <w:r w:rsidRPr="00281303">
        <w:rPr>
          <w:rFonts w:ascii="Tahoma" w:hAnsi="Tahoma" w:cs="Tahoma"/>
          <w:sz w:val="20"/>
          <w:szCs w:val="20"/>
        </w:rPr>
        <w:br/>
        <w:t>i czerpiącego z niego korzyści finansowe.</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 xml:space="preserve">w rozumieniu ustawy z dnia 29 sierpnia 1997 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r w:rsidRPr="00281303">
        <w:rPr>
          <w:rFonts w:ascii="Tahoma" w:hAnsi="Tahoma" w:cs="Tahoma"/>
          <w:sz w:val="20"/>
          <w:szCs w:val="20"/>
        </w:rPr>
        <w: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 xml:space="preserve">za kwalifikowalne i spełniające kryteria, zgodnie z  rozporządzeniem ogólnym, rozporządzeniem </w:t>
      </w:r>
      <w:r w:rsidRPr="00281303">
        <w:rPr>
          <w:rFonts w:ascii="Tahoma" w:hAnsi="Tahoma" w:cs="Tahoma"/>
          <w:sz w:val="20"/>
          <w:szCs w:val="20"/>
        </w:rPr>
        <w:lastRenderedPageBreak/>
        <w:t>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„wydatkach niekwalifikowalnych nie stanowiących nieprawidłowości” należy przez to rozumieć wydatek niekwalifikowalny, który nie został zatwierdzony we wniosku o płatność;</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 oraz zasady równości szans kobiet i mężczyzn w ramach funduszy unijnych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sprawozdawczości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281303">
        <w:rPr>
          <w:rFonts w:ascii="Tahoma" w:hAnsi="Tahoma" w:cs="Tahoma"/>
          <w:b/>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trybów wyboru projektów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gromadzenia i przekazywania danych w postaci elektronicznej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rewitalizacji w programach operacyjnych na lata 2014-2020 </w:t>
      </w:r>
      <w:r w:rsidRPr="00281303">
        <w:rPr>
          <w:rFonts w:ascii="Tahoma" w:hAnsi="Tahoma" w:cs="Tahoma"/>
          <w:sz w:val="20"/>
          <w:szCs w:val="20"/>
        </w:rPr>
        <w:br/>
        <w:t>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kontroli realizacji programów operacyjnych na lata 2014-2020 </w:t>
      </w:r>
      <w:r w:rsidRPr="00281303">
        <w:rPr>
          <w:rFonts w:ascii="Tahoma" w:hAnsi="Tahoma" w:cs="Tahoma"/>
          <w:sz w:val="20"/>
          <w:szCs w:val="20"/>
        </w:rPr>
        <w:br/>
        <w:t>z dnia……………….;</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D77087" w:rsidRPr="004A0EE1" w:rsidRDefault="00FA2916" w:rsidP="00D77087">
      <w:pPr>
        <w:pStyle w:val="Standard"/>
        <w:numPr>
          <w:ilvl w:val="0"/>
          <w:numId w:val="27"/>
        </w:numPr>
        <w:tabs>
          <w:tab w:val="left" w:pos="426"/>
        </w:tabs>
        <w:spacing w:after="60"/>
        <w:ind w:left="426" w:hanging="426"/>
        <w:jc w:val="both"/>
        <w:rPr>
          <w:rFonts w:ascii="Tahoma" w:hAnsi="Tahoma" w:cs="Tahoma"/>
          <w:sz w:val="20"/>
          <w:szCs w:val="20"/>
        </w:rPr>
      </w:pPr>
      <w:r w:rsidRPr="00281303">
        <w:rPr>
          <w:rFonts w:ascii="Tahoma" w:hAnsi="Tahoma" w:cs="Tahoma"/>
          <w:sz w:val="20"/>
          <w:szCs w:val="20"/>
        </w:rPr>
        <w:t>„zleceniu usługi merytorycznej” należy przez to rozumieć powierzenie wykonawcom zewnętrznym, nie będącym personelem projektu, realizacji działań merytorycznych przewidzianych w ramach danego projektu. Wydatki związane ze zleceniem usługi merytorycznej w ramach projektu mogą stanowić wydatki kwalifikowalne pod warunkiem, że są wskazane w zatwierd</w:t>
      </w:r>
      <w:r w:rsidR="00D53979">
        <w:rPr>
          <w:rFonts w:ascii="Tahoma" w:hAnsi="Tahoma" w:cs="Tahoma"/>
          <w:sz w:val="20"/>
          <w:szCs w:val="20"/>
        </w:rPr>
        <w:t xml:space="preserve">zonym wniosku </w:t>
      </w:r>
      <w:r w:rsidR="00D53979">
        <w:rPr>
          <w:rFonts w:ascii="Tahoma" w:hAnsi="Tahoma" w:cs="Tahoma"/>
          <w:sz w:val="20"/>
          <w:szCs w:val="20"/>
        </w:rPr>
        <w:br/>
      </w:r>
      <w:r w:rsidR="00D53979">
        <w:rPr>
          <w:rFonts w:ascii="Tahoma" w:hAnsi="Tahoma" w:cs="Tahoma"/>
          <w:sz w:val="20"/>
          <w:szCs w:val="20"/>
        </w:rPr>
        <w:lastRenderedPageBreak/>
        <w:t>o dofinansowanie</w:t>
      </w:r>
      <w:r w:rsidRPr="00281303">
        <w:rPr>
          <w:rFonts w:ascii="Tahoma" w:hAnsi="Tahoma" w:cs="Tahoma"/>
          <w:sz w:val="20"/>
          <w:szCs w:val="20"/>
        </w:rPr>
        <w:t>.</w:t>
      </w:r>
      <w:r w:rsidR="00D77087" w:rsidRPr="00D77087">
        <w:rPr>
          <w:rFonts w:ascii="Tahoma" w:hAnsi="Tahoma" w:cs="Tahoma"/>
          <w:sz w:val="20"/>
          <w:szCs w:val="20"/>
        </w:rPr>
        <w:t xml:space="preserve"> </w:t>
      </w:r>
      <w:r w:rsidR="00D77087" w:rsidRPr="00B30FC3">
        <w:rPr>
          <w:rFonts w:ascii="Tahoma" w:hAnsi="Tahoma" w:cs="Tahoma"/>
          <w:sz w:val="20"/>
          <w:szCs w:val="20"/>
        </w:rPr>
        <w:t>Nie jest kwalifikowalne zlecenie usługi me</w:t>
      </w:r>
      <w:r w:rsidR="00D77087">
        <w:rPr>
          <w:rFonts w:ascii="Tahoma" w:hAnsi="Tahoma" w:cs="Tahoma"/>
          <w:sz w:val="20"/>
          <w:szCs w:val="20"/>
        </w:rPr>
        <w:t>rytorycznej przez Beneficjenta P</w:t>
      </w:r>
      <w:r w:rsidR="00D77087" w:rsidRPr="00B30FC3">
        <w:rPr>
          <w:rFonts w:ascii="Tahoma" w:hAnsi="Tahoma" w:cs="Tahoma"/>
          <w:sz w:val="20"/>
          <w:szCs w:val="20"/>
        </w:rPr>
        <w:t xml:space="preserve">artnerom </w:t>
      </w:r>
      <w:r w:rsidR="00D77087">
        <w:rPr>
          <w:rFonts w:ascii="Tahoma" w:hAnsi="Tahoma" w:cs="Tahoma"/>
          <w:sz w:val="20"/>
          <w:szCs w:val="20"/>
        </w:rPr>
        <w:t>p</w:t>
      </w:r>
      <w:r w:rsidR="00D77087" w:rsidRPr="00B30FC3">
        <w:rPr>
          <w:rFonts w:ascii="Tahoma" w:hAnsi="Tahoma" w:cs="Tahoma"/>
          <w:sz w:val="20"/>
          <w:szCs w:val="20"/>
        </w:rPr>
        <w:t>rojektu i odwrotnie</w:t>
      </w:r>
      <w:r w:rsidR="00D77087">
        <w:rPr>
          <w:rFonts w:ascii="Tahoma" w:hAnsi="Tahoma" w:cs="Tahoma"/>
          <w:sz w:val="20"/>
          <w:szCs w:val="20"/>
        </w:rPr>
        <w:t>.</w:t>
      </w:r>
    </w:p>
    <w:p w:rsidR="00FA2916" w:rsidRPr="00A672D8" w:rsidRDefault="00FA2916"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281303">
        <w:rPr>
          <w:rFonts w:ascii="Tahoma" w:hAnsi="Tahoma" w:cs="Tahoma"/>
          <w:iCs/>
          <w:sz w:val="20"/>
          <w:szCs w:val="20"/>
        </w:rPr>
        <w:t>Beneficjent zobowiązuje się do wniesienia wkładu własnego</w:t>
      </w:r>
      <w:r w:rsidRPr="00281303">
        <w:rPr>
          <w:rFonts w:ascii="Tahoma" w:hAnsi="Tahoma" w:cs="Tahoma"/>
          <w:sz w:val="20"/>
          <w:szCs w:val="20"/>
        </w:rPr>
        <w:t xml:space="preserve"> </w:t>
      </w:r>
      <w:r w:rsidRPr="00281303">
        <w:rPr>
          <w:rFonts w:ascii="Tahoma" w:hAnsi="Tahoma" w:cs="Tahoma"/>
          <w:iCs/>
          <w:sz w:val="20"/>
          <w:szCs w:val="20"/>
        </w:rPr>
        <w:t>pieniężnego / i / niepieniężnego</w:t>
      </w:r>
      <w:r w:rsidRPr="00281303">
        <w:rPr>
          <w:rStyle w:val="Odwoanieprzypisudolnego"/>
          <w:rFonts w:ascii="Tahoma" w:hAnsi="Tahoma" w:cs="Tahoma"/>
          <w:iCs/>
          <w:sz w:val="20"/>
          <w:szCs w:val="20"/>
        </w:rPr>
        <w:footnoteReference w:id="7"/>
      </w:r>
      <w:r w:rsidRPr="00281303">
        <w:rPr>
          <w:rFonts w:ascii="Tahoma" w:hAnsi="Tahoma" w:cs="Tahoma"/>
          <w:iCs/>
          <w:sz w:val="20"/>
          <w:szCs w:val="20"/>
        </w:rPr>
        <w:t xml:space="preserve">  </w:t>
      </w:r>
      <w:r w:rsidRPr="00281303">
        <w:rPr>
          <w:rFonts w:ascii="Tahoma" w:hAnsi="Tahoma" w:cs="Tahoma"/>
          <w:iCs/>
          <w:sz w:val="20"/>
          <w:szCs w:val="20"/>
        </w:rPr>
        <w:br/>
        <w:t xml:space="preserve">w kwocie ………… PLN (słownie: … ), co stanowi … %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8"/>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Beneficjent oświadcza, że zapoznał się z treścią Wytycznych, o których mowa w § 1 pkt 27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IZ zobowiązuje się powiadomić Beneficjenta o wszelkich zmianach Wytycznych, o których mowa </w:t>
      </w:r>
      <w:r w:rsidRPr="00281303">
        <w:rPr>
          <w:rFonts w:ascii="Tahoma" w:hAnsi="Tahoma" w:cs="Tahoma"/>
          <w:sz w:val="20"/>
          <w:szCs w:val="20"/>
        </w:rPr>
        <w:br/>
        <w:t>w § 1 pkt 27. Powiadomienie następuje poprzez publikację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Przy wydatkowaniu środków przyznanych w ramach projektu Beneficjent zobowiązuje się stosować przepisy prawa krajowego i unijnego oraz treść Wytycznych, o których mowa w  § 1 pkt 27.</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Ocena kwalifikowalności poniesionych wydatków dokonywana jest w szczególności na podstawie Wytycznych o których mowa w § 1 pkt 27 lit. e, przy czym do oceny prawidłowości wydatków oraz umów zawartych w ramach realizacji projektu w wyniku przeprowadzonych postępowań</w:t>
      </w:r>
      <w:r w:rsidRPr="00281303">
        <w:rPr>
          <w:rStyle w:val="Odwoanieprzypisudolnego"/>
          <w:rFonts w:ascii="Tahoma" w:hAnsi="Tahoma"/>
          <w:sz w:val="20"/>
          <w:szCs w:val="20"/>
        </w:rPr>
        <w:footnoteReference w:id="9"/>
      </w:r>
      <w:r w:rsidR="00335776">
        <w:rPr>
          <w:rFonts w:ascii="Tahoma" w:hAnsi="Tahoma" w:cs="Tahoma"/>
          <w:sz w:val="20"/>
          <w:szCs w:val="20"/>
        </w:rPr>
        <w:t>, stosuje się wersję W</w:t>
      </w:r>
      <w:r w:rsidRPr="00281303">
        <w:rPr>
          <w:rFonts w:ascii="Tahoma" w:hAnsi="Tahoma" w:cs="Tahoma"/>
          <w:sz w:val="20"/>
          <w:szCs w:val="20"/>
        </w:rPr>
        <w:t xml:space="preserve">ytycznych obowiązującą w dniu wszczęcia postępowania, które zakończyło się podpisaniem danej umowy. </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w:t>
      </w:r>
      <w:r w:rsidR="00D667B5">
        <w:rPr>
          <w:rFonts w:ascii="Tahoma" w:hAnsi="Tahoma" w:cs="Tahoma"/>
          <w:sz w:val="20"/>
          <w:szCs w:val="20"/>
        </w:rPr>
        <w:t>z § 24</w:t>
      </w:r>
      <w:r w:rsidRPr="00C751E3">
        <w:rPr>
          <w:rFonts w:ascii="Tahoma" w:hAnsi="Tahoma" w:cs="Tahoma"/>
          <w:sz w:val="20"/>
          <w:szCs w:val="20"/>
        </w:rPr>
        <w:t xml:space="preserve"> niniejszej</w:t>
      </w:r>
      <w:r w:rsidRPr="00281303">
        <w:rPr>
          <w:rFonts w:ascii="Tahoma" w:hAnsi="Tahoma" w:cs="Tahoma"/>
          <w:sz w:val="20"/>
          <w:szCs w:val="20"/>
        </w:rPr>
        <w:t xml:space="preserve"> umowy. </w:t>
      </w:r>
    </w:p>
    <w:p w:rsidR="00D57FFB" w:rsidRDefault="00D57FFB" w:rsidP="00D57FFB">
      <w:pPr>
        <w:pStyle w:val="Textbody"/>
        <w:tabs>
          <w:tab w:val="clear" w:pos="900"/>
        </w:tabs>
        <w:spacing w:after="60"/>
        <w:rPr>
          <w:rFonts w:ascii="Tahoma" w:hAnsi="Tahoma" w:cs="Tahoma"/>
          <w:sz w:val="20"/>
          <w:szCs w:val="20"/>
        </w:rPr>
      </w:pP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lastRenderedPageBreak/>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w:t>
      </w:r>
    </w:p>
    <w:p w:rsidR="006D0C82" w:rsidRPr="00281303"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281303">
        <w:rPr>
          <w:rFonts w:ascii="Tahoma" w:hAnsi="Tahoma" w:cs="Tahoma"/>
        </w:rPr>
        <w:t>Określona</w:t>
      </w:r>
      <w:r>
        <w:rPr>
          <w:rFonts w:ascii="Tahoma" w:hAnsi="Tahoma" w:cs="Tahoma"/>
        </w:rPr>
        <w:t xml:space="preserve"> dla</w:t>
      </w:r>
      <w:r w:rsidR="00D70BF0">
        <w:rPr>
          <w:rFonts w:ascii="Tahoma" w:hAnsi="Tahoma" w:cs="Tahoma"/>
        </w:rPr>
        <w:t xml:space="preserve"> danych </w:t>
      </w:r>
      <w:r w:rsidR="00FA2916" w:rsidRPr="00281303">
        <w:rPr>
          <w:rFonts w:ascii="Tahoma" w:hAnsi="Tahoma" w:cs="Tahoma"/>
        </w:rPr>
        <w:t>zada</w:t>
      </w:r>
      <w:r w:rsidR="00D70BF0">
        <w:rPr>
          <w:rFonts w:ascii="Tahoma" w:hAnsi="Tahoma" w:cs="Tahoma"/>
        </w:rPr>
        <w:t>ń</w:t>
      </w:r>
      <w:r w:rsidR="00FA2916" w:rsidRPr="00281303">
        <w:rPr>
          <w:rFonts w:ascii="Tahoma" w:hAnsi="Tahoma" w:cs="Tahoma"/>
        </w:rPr>
        <w:t xml:space="preserve"> wysokość kwot ryczałtowych jest niezmienna.</w:t>
      </w:r>
      <w:r w:rsidR="006D0C82">
        <w:rPr>
          <w:rFonts w:ascii="Tahoma" w:hAnsi="Tahoma" w:cs="Tahoma"/>
        </w:rPr>
        <w:t xml:space="preserve"> </w:t>
      </w:r>
      <w:r w:rsidR="006D0C82" w:rsidRPr="00A754FD">
        <w:rPr>
          <w:rFonts w:ascii="Tahoma" w:hAnsi="Tahoma" w:cs="Tahoma"/>
        </w:rPr>
        <w:t>W odniesieniu do każdego zadania oraz kosztów pośrednich konieczne jest zachowanie montażu finansowego</w:t>
      </w:r>
      <w:r w:rsidR="006D0C82" w:rsidRPr="006D0C82">
        <w:rPr>
          <w:rFonts w:ascii="Tahoma" w:hAnsi="Tahoma" w:cs="Tahoma"/>
          <w:color w:val="92D050"/>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Wydatki związane z zakupem środków trwałych, określone w Wytycznych, o których mowa w § 1 pkt 27 lit. e, stanowią … % wydatków Projektu z włączeniem wydatków w ramach</w:t>
      </w:r>
      <w:r w:rsidR="00A754FD">
        <w:rPr>
          <w:rFonts w:ascii="Tahoma" w:hAnsi="Tahoma" w:cs="Tahoma"/>
        </w:rPr>
        <w:t xml:space="preserve"> </w:t>
      </w:r>
      <w:r w:rsidRPr="00281303">
        <w:rPr>
          <w:rFonts w:ascii="Tahoma" w:hAnsi="Tahoma" w:cs="Tahoma"/>
        </w:rPr>
        <w:t>cross-financingu.</w:t>
      </w:r>
      <w:r w:rsidR="006D0C82">
        <w:rPr>
          <w:rFonts w:ascii="Tahoma" w:hAnsi="Tahoma" w:cs="Tahoma"/>
        </w:rPr>
        <w:t xml:space="preserve"> Kwoty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 i wynoszą</w:t>
      </w:r>
      <w:r w:rsidR="00750C3E">
        <w:rPr>
          <w:rStyle w:val="Odwoanieprzypisudolnego"/>
          <w:rFonts w:ascii="Tahoma" w:hAnsi="Tahoma"/>
        </w:rPr>
        <w:footnoteReference w:id="10"/>
      </w:r>
      <w:r w:rsidR="005E04E9">
        <w:rPr>
          <w:rFonts w:ascii="Tahoma" w:hAnsi="Tahoma" w:cs="Tahoma"/>
        </w:rPr>
        <w:t>:</w:t>
      </w:r>
    </w:p>
    <w:p w:rsidR="00926C32" w:rsidRDefault="00926C32" w:rsidP="00057A63">
      <w:pPr>
        <w:pStyle w:val="Tekstpodstawowy"/>
        <w:widowControl/>
        <w:numPr>
          <w:ilvl w:val="4"/>
          <w:numId w:val="181"/>
        </w:numPr>
        <w:tabs>
          <w:tab w:val="left" w:pos="709"/>
        </w:tabs>
        <w:suppressAutoHyphens w:val="0"/>
        <w:autoSpaceDN/>
        <w:spacing w:after="60"/>
        <w:ind w:hanging="3174"/>
        <w:jc w:val="both"/>
        <w:textAlignment w:val="auto"/>
        <w:rPr>
          <w:rFonts w:ascii="Tahoma" w:hAnsi="Tahoma" w:cs="Tahoma"/>
        </w:rPr>
      </w:pPr>
      <w:r>
        <w:rPr>
          <w:rFonts w:ascii="Tahoma" w:hAnsi="Tahoma" w:cs="Tahoma"/>
        </w:rPr>
        <w:t>Dla zadania ……</w:t>
      </w:r>
      <w:r w:rsidRPr="00281303">
        <w:rPr>
          <w:rFonts w:ascii="Tahoma" w:hAnsi="Tahoma" w:cs="Tahoma"/>
        </w:rPr>
        <w:t>, o któr</w:t>
      </w:r>
      <w:r w:rsidR="00A754FD">
        <w:rPr>
          <w:rFonts w:ascii="Tahoma" w:hAnsi="Tahoma" w:cs="Tahoma"/>
        </w:rPr>
        <w:t>ym</w:t>
      </w:r>
      <w:r w:rsidRPr="00281303">
        <w:rPr>
          <w:rFonts w:ascii="Tahoma" w:hAnsi="Tahoma" w:cs="Tahoma"/>
        </w:rPr>
        <w:t xml:space="preserve"> mowa w ust. 1 pkt 1</w:t>
      </w:r>
      <w:r w:rsidR="007E344B">
        <w:rPr>
          <w:rFonts w:ascii="Tahoma" w:hAnsi="Tahoma" w:cs="Tahoma"/>
        </w:rPr>
        <w:t>:</w:t>
      </w:r>
    </w:p>
    <w:p w:rsidR="00FA2916" w:rsidRPr="00AD7801" w:rsidRDefault="00926C32" w:rsidP="00A83EE5">
      <w:pPr>
        <w:pStyle w:val="Tekstpodstawowy"/>
        <w:widowControl/>
        <w:tabs>
          <w:tab w:val="left" w:pos="709"/>
        </w:tabs>
        <w:suppressAutoHyphens w:val="0"/>
        <w:autoSpaceDN/>
        <w:spacing w:after="60"/>
        <w:ind w:left="709"/>
        <w:jc w:val="both"/>
        <w:textAlignment w:val="auto"/>
        <w:rPr>
          <w:rFonts w:ascii="Tahoma" w:hAnsi="Tahoma" w:cs="Tahoma"/>
          <w:lang w:val="en-US"/>
        </w:rPr>
      </w:pPr>
      <w:r w:rsidRPr="00AD7801">
        <w:rPr>
          <w:rFonts w:ascii="Tahoma" w:hAnsi="Tahoma" w:cs="Tahoma"/>
          <w:lang w:val="en-US"/>
        </w:rPr>
        <w:t xml:space="preserve">a) </w:t>
      </w:r>
      <w:r w:rsidR="00FA2916" w:rsidRPr="00AD7801">
        <w:rPr>
          <w:rFonts w:ascii="Tahoma" w:hAnsi="Tahoma" w:cs="Tahoma"/>
          <w:lang w:val="en-US"/>
        </w:rPr>
        <w:t xml:space="preserve">cross-financing </w:t>
      </w:r>
      <w:proofErr w:type="spellStart"/>
      <w:r w:rsidR="00FA2916" w:rsidRPr="00AD7801">
        <w:rPr>
          <w:rFonts w:ascii="Tahoma" w:hAnsi="Tahoma" w:cs="Tahoma"/>
          <w:lang w:val="en-US"/>
        </w:rPr>
        <w:t>stanowi</w:t>
      </w:r>
      <w:proofErr w:type="spellEnd"/>
      <w:r w:rsidR="00FA2916" w:rsidRPr="00AD7801">
        <w:rPr>
          <w:rFonts w:ascii="Tahoma" w:hAnsi="Tahoma" w:cs="Tahoma"/>
          <w:lang w:val="en-US"/>
        </w:rPr>
        <w:t xml:space="preserve"> ……</w:t>
      </w:r>
      <w:proofErr w:type="spellStart"/>
      <w:r w:rsidR="00FA2916" w:rsidRPr="00AD7801">
        <w:rPr>
          <w:rFonts w:ascii="Tahoma" w:hAnsi="Tahoma" w:cs="Tahoma"/>
          <w:lang w:val="en-US"/>
        </w:rPr>
        <w:t>zł</w:t>
      </w:r>
      <w:proofErr w:type="spellEnd"/>
      <w:r w:rsidR="00AD7801" w:rsidRPr="00AD7801">
        <w:rPr>
          <w:rFonts w:ascii="Tahoma" w:hAnsi="Tahoma" w:cs="Tahoma"/>
          <w:lang w:val="en-US"/>
        </w:rPr>
        <w:t>.</w:t>
      </w:r>
      <w:r w:rsidR="00FA2916" w:rsidRPr="00AD7801">
        <w:rPr>
          <w:rFonts w:ascii="Tahoma" w:hAnsi="Tahoma" w:cs="Tahoma"/>
          <w:lang w:val="en-US"/>
        </w:rPr>
        <w:t xml:space="preserve"> </w:t>
      </w:r>
    </w:p>
    <w:p w:rsidR="00FA2916" w:rsidRPr="00281303" w:rsidRDefault="00926C32" w:rsidP="00FA2916">
      <w:pPr>
        <w:pStyle w:val="Tekstpodstawowy"/>
        <w:widowControl/>
        <w:tabs>
          <w:tab w:val="left" w:pos="709"/>
        </w:tabs>
        <w:suppressAutoHyphens w:val="0"/>
        <w:autoSpaceDN/>
        <w:spacing w:after="60"/>
        <w:ind w:left="709"/>
        <w:jc w:val="both"/>
        <w:textAlignment w:val="auto"/>
        <w:rPr>
          <w:rFonts w:ascii="Tahoma" w:hAnsi="Tahoma" w:cs="Tahoma"/>
        </w:rPr>
      </w:pPr>
      <w:r>
        <w:rPr>
          <w:rFonts w:ascii="Tahoma" w:hAnsi="Tahoma" w:cs="Tahoma"/>
        </w:rPr>
        <w:t xml:space="preserve">b) </w:t>
      </w:r>
      <w:r w:rsidR="00FA2916" w:rsidRPr="00281303">
        <w:rPr>
          <w:rFonts w:ascii="Tahoma" w:hAnsi="Tahoma" w:cs="Tahoma"/>
        </w:rPr>
        <w:t>środki trwałe stanowi</w:t>
      </w:r>
      <w:r w:rsidR="000D2F14">
        <w:rPr>
          <w:rFonts w:ascii="Tahoma" w:hAnsi="Tahoma" w:cs="Tahoma"/>
        </w:rPr>
        <w:t>ą</w:t>
      </w:r>
      <w:r w:rsidR="00FA2916" w:rsidRPr="00281303">
        <w:rPr>
          <w:rFonts w:ascii="Tahoma" w:hAnsi="Tahoma" w:cs="Tahoma"/>
        </w:rPr>
        <w:t xml:space="preserve">  ……zł</w:t>
      </w:r>
      <w:r w:rsidR="00AD7801">
        <w:rPr>
          <w:rFonts w:ascii="Tahoma" w:hAnsi="Tahoma" w:cs="Tahoma"/>
        </w:rPr>
        <w:t>.</w:t>
      </w:r>
      <w:r w:rsidR="00FA2916" w:rsidRPr="00281303">
        <w:rPr>
          <w:rFonts w:ascii="Tahoma" w:hAnsi="Tahoma" w:cs="Tahoma"/>
        </w:rPr>
        <w:t xml:space="preserve"> </w:t>
      </w:r>
    </w:p>
    <w:p w:rsidR="00926C32" w:rsidRDefault="00926C32" w:rsidP="00057A63">
      <w:pPr>
        <w:pStyle w:val="Tekstpodstawowy"/>
        <w:widowControl/>
        <w:numPr>
          <w:ilvl w:val="4"/>
          <w:numId w:val="181"/>
        </w:numPr>
        <w:tabs>
          <w:tab w:val="left" w:pos="709"/>
        </w:tabs>
        <w:suppressAutoHyphens w:val="0"/>
        <w:autoSpaceDN/>
        <w:spacing w:after="60"/>
        <w:ind w:hanging="3174"/>
        <w:jc w:val="both"/>
        <w:textAlignment w:val="auto"/>
        <w:rPr>
          <w:rFonts w:ascii="Tahoma" w:hAnsi="Tahoma" w:cs="Tahoma"/>
        </w:rPr>
      </w:pPr>
      <w:r>
        <w:rPr>
          <w:rFonts w:ascii="Tahoma" w:hAnsi="Tahoma" w:cs="Tahoma"/>
        </w:rPr>
        <w:t xml:space="preserve">Dla zadania … </w:t>
      </w:r>
      <w:r w:rsidRPr="00281303">
        <w:rPr>
          <w:rFonts w:ascii="Tahoma" w:hAnsi="Tahoma" w:cs="Tahoma"/>
        </w:rPr>
        <w:t>o któr</w:t>
      </w:r>
      <w:r w:rsidR="00A754FD">
        <w:rPr>
          <w:rFonts w:ascii="Tahoma" w:hAnsi="Tahoma" w:cs="Tahoma"/>
        </w:rPr>
        <w:t>ym</w:t>
      </w:r>
      <w:r w:rsidRPr="00281303">
        <w:rPr>
          <w:rFonts w:ascii="Tahoma" w:hAnsi="Tahoma" w:cs="Tahoma"/>
        </w:rPr>
        <w:t xml:space="preserve"> mowa w ust. 1 pkt 2</w:t>
      </w:r>
      <w:r w:rsidR="007E344B">
        <w:rPr>
          <w:rFonts w:ascii="Tahoma" w:hAnsi="Tahoma" w:cs="Tahoma"/>
        </w:rPr>
        <w:t>:</w:t>
      </w:r>
    </w:p>
    <w:p w:rsidR="00FA2916" w:rsidRPr="00A754FD" w:rsidRDefault="00926C32" w:rsidP="00A83EE5">
      <w:pPr>
        <w:pStyle w:val="Tekstpodstawowy"/>
        <w:widowControl/>
        <w:tabs>
          <w:tab w:val="left" w:pos="709"/>
        </w:tabs>
        <w:suppressAutoHyphens w:val="0"/>
        <w:autoSpaceDN/>
        <w:spacing w:after="60"/>
        <w:ind w:left="709"/>
        <w:jc w:val="both"/>
        <w:textAlignment w:val="auto"/>
        <w:rPr>
          <w:rFonts w:ascii="Tahoma" w:hAnsi="Tahoma" w:cs="Tahoma"/>
          <w:lang w:val="en-US"/>
        </w:rPr>
      </w:pPr>
      <w:r w:rsidRPr="00A754FD">
        <w:rPr>
          <w:rFonts w:ascii="Tahoma" w:hAnsi="Tahoma" w:cs="Tahoma"/>
          <w:lang w:val="en-US"/>
        </w:rPr>
        <w:t xml:space="preserve">a) </w:t>
      </w:r>
      <w:r w:rsidR="00FA2916" w:rsidRPr="00A754FD">
        <w:rPr>
          <w:rFonts w:ascii="Tahoma" w:hAnsi="Tahoma" w:cs="Tahoma"/>
          <w:lang w:val="en-US"/>
        </w:rPr>
        <w:t xml:space="preserve">cross-financing </w:t>
      </w:r>
      <w:proofErr w:type="spellStart"/>
      <w:r w:rsidR="00FA2916" w:rsidRPr="00A754FD">
        <w:rPr>
          <w:rFonts w:ascii="Tahoma" w:hAnsi="Tahoma" w:cs="Tahoma"/>
          <w:lang w:val="en-US"/>
        </w:rPr>
        <w:t>stanowi</w:t>
      </w:r>
      <w:proofErr w:type="spellEnd"/>
      <w:r w:rsidR="00FA2916" w:rsidRPr="00A754FD">
        <w:rPr>
          <w:rFonts w:ascii="Tahoma" w:hAnsi="Tahoma" w:cs="Tahoma"/>
          <w:lang w:val="en-US"/>
        </w:rPr>
        <w:t xml:space="preserve"> ……</w:t>
      </w:r>
      <w:proofErr w:type="spellStart"/>
      <w:r w:rsidR="00FA2916" w:rsidRPr="00A754FD">
        <w:rPr>
          <w:rFonts w:ascii="Tahoma" w:hAnsi="Tahoma" w:cs="Tahoma"/>
          <w:lang w:val="en-US"/>
        </w:rPr>
        <w:t>zł</w:t>
      </w:r>
      <w:proofErr w:type="spellEnd"/>
      <w:r w:rsidR="00FA2916" w:rsidRPr="00A754FD">
        <w:rPr>
          <w:rFonts w:ascii="Tahoma" w:hAnsi="Tahoma" w:cs="Tahoma"/>
          <w:lang w:val="en-US"/>
        </w:rPr>
        <w:t>.</w:t>
      </w:r>
    </w:p>
    <w:p w:rsidR="00FA2916" w:rsidRPr="00281303" w:rsidRDefault="00926C32" w:rsidP="00FA2916">
      <w:pPr>
        <w:pStyle w:val="Tekstpodstawowy"/>
        <w:widowControl/>
        <w:tabs>
          <w:tab w:val="left" w:pos="709"/>
        </w:tabs>
        <w:suppressAutoHyphens w:val="0"/>
        <w:autoSpaceDN/>
        <w:spacing w:after="60"/>
        <w:ind w:firstLine="709"/>
        <w:jc w:val="both"/>
        <w:textAlignment w:val="auto"/>
        <w:rPr>
          <w:rFonts w:ascii="Tahoma" w:hAnsi="Tahoma" w:cs="Tahoma"/>
        </w:rPr>
      </w:pPr>
      <w:r>
        <w:rPr>
          <w:rFonts w:ascii="Tahoma" w:hAnsi="Tahoma" w:cs="Tahoma"/>
        </w:rPr>
        <w:t xml:space="preserve">b) </w:t>
      </w:r>
      <w:r w:rsidR="00FA2916" w:rsidRPr="00281303">
        <w:rPr>
          <w:rFonts w:ascii="Tahoma" w:hAnsi="Tahoma" w:cs="Tahoma"/>
        </w:rPr>
        <w:t>środki trwałe stanowi</w:t>
      </w:r>
      <w:r w:rsidR="000D2F14">
        <w:rPr>
          <w:rFonts w:ascii="Tahoma" w:hAnsi="Tahoma" w:cs="Tahoma"/>
        </w:rPr>
        <w:t>ą</w:t>
      </w:r>
      <w:r w:rsidR="00FA2916" w:rsidRPr="00281303">
        <w:rPr>
          <w:rFonts w:ascii="Tahoma" w:hAnsi="Tahoma" w:cs="Tahoma"/>
        </w:rPr>
        <w:t xml:space="preserve"> ……zł</w:t>
      </w:r>
      <w:r w:rsidR="00AD7801">
        <w:rPr>
          <w:rFonts w:ascii="Tahoma" w:hAnsi="Tahoma" w:cs="Tahoma"/>
        </w:rPr>
        <w:t>.</w:t>
      </w:r>
      <w:r w:rsidR="00FA2916" w:rsidRPr="00281303">
        <w:rPr>
          <w:rFonts w:ascii="Tahoma" w:hAnsi="Tahoma" w:cs="Tahoma"/>
        </w:rPr>
        <w:t xml:space="preserve"> </w:t>
      </w:r>
    </w:p>
    <w:p w:rsidR="00FA2916" w:rsidRPr="00281303" w:rsidRDefault="00FA2916" w:rsidP="00057A63">
      <w:pPr>
        <w:pStyle w:val="Tekstpodstawowy"/>
        <w:widowControl/>
        <w:numPr>
          <w:ilvl w:val="4"/>
          <w:numId w:val="181"/>
        </w:numPr>
        <w:tabs>
          <w:tab w:val="left" w:pos="709"/>
        </w:tabs>
        <w:suppressAutoHyphens w:val="0"/>
        <w:autoSpaceDN/>
        <w:spacing w:after="60"/>
        <w:ind w:hanging="3174"/>
        <w:jc w:val="both"/>
        <w:textAlignment w:val="auto"/>
        <w:rPr>
          <w:rFonts w:ascii="Tahoma" w:hAnsi="Tahoma" w:cs="Tahoma"/>
        </w:rPr>
      </w:pPr>
      <w:r w:rsidRPr="00281303">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 mowa               w § 1 pkt 27 lit. e, stanowią ………% zatwierdzonych w ramach Projektu wydatków bezpośrednich zgodnie ust 1.</w:t>
      </w:r>
    </w:p>
    <w:p w:rsidR="00FA2916" w:rsidRPr="00742D02" w:rsidRDefault="00FA2916" w:rsidP="00742D02">
      <w:pPr>
        <w:pStyle w:val="Akapitzlist"/>
        <w:numPr>
          <w:ilvl w:val="0"/>
          <w:numId w:val="189"/>
        </w:numPr>
        <w:ind w:left="284" w:hanging="284"/>
        <w:jc w:val="both"/>
        <w:rPr>
          <w:rFonts w:ascii="Tahoma" w:hAnsi="Tahoma" w:cs="Tahoma"/>
          <w:sz w:val="20"/>
          <w:szCs w:val="20"/>
        </w:rPr>
      </w:pPr>
      <w:r w:rsidRPr="00742D02">
        <w:rPr>
          <w:rFonts w:ascii="Tahoma" w:hAnsi="Tahoma" w:cs="Tahoma"/>
          <w:sz w:val="20"/>
          <w:szCs w:val="20"/>
        </w:rPr>
        <w:t>W przypadku nieosiągnięcia w ramach danej kwoty ryczałtowej wskaźników</w:t>
      </w:r>
      <w:r w:rsidR="008E3F53" w:rsidRPr="00742D02">
        <w:rPr>
          <w:rFonts w:ascii="Tahoma" w:hAnsi="Tahoma" w:cs="Tahoma"/>
          <w:sz w:val="20"/>
          <w:szCs w:val="20"/>
        </w:rPr>
        <w:t xml:space="preserve"> produktu lub rezultatu</w:t>
      </w:r>
      <w:r w:rsidRPr="00742D02">
        <w:rPr>
          <w:rFonts w:ascii="Tahoma" w:hAnsi="Tahoma" w:cs="Tahoma"/>
          <w:sz w:val="20"/>
          <w:szCs w:val="20"/>
        </w:rPr>
        <w:t>, o</w:t>
      </w:r>
      <w:r w:rsidR="009F0C90" w:rsidRPr="00742D02">
        <w:rPr>
          <w:rFonts w:ascii="Tahoma" w:hAnsi="Tahoma" w:cs="Tahoma"/>
          <w:sz w:val="20"/>
          <w:szCs w:val="20"/>
        </w:rPr>
        <w:t xml:space="preserve"> </w:t>
      </w:r>
      <w:r w:rsidRPr="00742D02">
        <w:rPr>
          <w:rFonts w:ascii="Tahoma" w:hAnsi="Tahoma" w:cs="Tahoma"/>
          <w:sz w:val="20"/>
          <w:szCs w:val="20"/>
        </w:rPr>
        <w:t>których</w:t>
      </w:r>
      <w:r w:rsidR="009F0C90" w:rsidRPr="00742D02">
        <w:rPr>
          <w:rFonts w:ascii="Tahoma" w:hAnsi="Tahoma" w:cs="Tahoma"/>
          <w:sz w:val="20"/>
          <w:szCs w:val="20"/>
        </w:rPr>
        <w:t xml:space="preserve"> </w:t>
      </w:r>
      <w:r w:rsidR="00A411B9" w:rsidRPr="00742D02">
        <w:rPr>
          <w:rFonts w:ascii="Tahoma" w:hAnsi="Tahoma" w:cs="Tahoma"/>
          <w:sz w:val="20"/>
          <w:szCs w:val="20"/>
        </w:rPr>
        <w:t>mowa</w:t>
      </w:r>
      <w:r w:rsidRPr="00742D02">
        <w:rPr>
          <w:rFonts w:ascii="Tahoma" w:hAnsi="Tahoma" w:cs="Tahoma"/>
          <w:sz w:val="20"/>
          <w:szCs w:val="20"/>
        </w:rPr>
        <w:t xml:space="preserve"> ust. 4 uznaje się, iż Beneficjent nie wykonał zadania prawidłowo oraz nie rozliczył przyznanej kwoty ryczałtowej (rozliczenie w systemie „spełnia - nie spełnia”)</w:t>
      </w:r>
      <w:r w:rsidR="009F0C90" w:rsidRPr="00742D02">
        <w:rPr>
          <w:rFonts w:ascii="Tahoma" w:hAnsi="Tahoma" w:cs="Tahoma"/>
          <w:sz w:val="20"/>
          <w:szCs w:val="20"/>
        </w:rPr>
        <w:t>,</w:t>
      </w:r>
      <w:r w:rsidRPr="00742D02">
        <w:rPr>
          <w:rFonts w:ascii="Tahoma" w:hAnsi="Tahoma" w:cs="Tahoma"/>
          <w:sz w:val="20"/>
          <w:szCs w:val="20"/>
        </w:rPr>
        <w:t xml:space="preserve"> </w:t>
      </w:r>
      <w:r w:rsidR="009F0C90" w:rsidRPr="00742D02">
        <w:rPr>
          <w:rFonts w:ascii="Tahoma" w:hAnsi="Tahoma" w:cs="Tahoma"/>
          <w:sz w:val="20"/>
          <w:szCs w:val="20"/>
        </w:rPr>
        <w:t>c</w:t>
      </w:r>
      <w:r w:rsidR="008E3F53" w:rsidRPr="00742D02">
        <w:rPr>
          <w:rFonts w:ascii="Tahoma" w:hAnsi="Tahoma" w:cs="Tahoma"/>
          <w:sz w:val="20"/>
          <w:szCs w:val="20"/>
        </w:rPr>
        <w:t xml:space="preserve">o skutkuje </w:t>
      </w:r>
      <w:r w:rsidRPr="00742D02">
        <w:rPr>
          <w:rFonts w:ascii="Tahoma" w:hAnsi="Tahoma" w:cs="Tahoma"/>
          <w:sz w:val="20"/>
          <w:szCs w:val="20"/>
        </w:rPr>
        <w:br/>
      </w:r>
      <w:r w:rsidR="008E3F53" w:rsidRPr="00742D02">
        <w:rPr>
          <w:rFonts w:ascii="Tahoma" w:hAnsi="Tahoma" w:cs="Tahoma"/>
          <w:sz w:val="20"/>
          <w:szCs w:val="20"/>
        </w:rPr>
        <w:t xml:space="preserve">zmniejszeniem </w:t>
      </w:r>
      <w:r w:rsidRPr="00742D02">
        <w:rPr>
          <w:rFonts w:ascii="Tahoma" w:hAnsi="Tahoma" w:cs="Tahoma"/>
          <w:sz w:val="20"/>
          <w:szCs w:val="20"/>
        </w:rPr>
        <w:t xml:space="preserve">kosztów pośrednich Projektu proporcjonalne do </w:t>
      </w:r>
      <w:r w:rsidR="008E3F53" w:rsidRPr="00742D02">
        <w:rPr>
          <w:rFonts w:ascii="Tahoma" w:hAnsi="Tahoma" w:cs="Tahoma"/>
          <w:sz w:val="20"/>
          <w:szCs w:val="20"/>
        </w:rPr>
        <w:t>kwot</w:t>
      </w:r>
      <w:r w:rsidR="0039571F" w:rsidRPr="00742D02">
        <w:rPr>
          <w:rFonts w:ascii="Tahoma" w:hAnsi="Tahoma" w:cs="Tahoma"/>
          <w:sz w:val="20"/>
          <w:szCs w:val="20"/>
        </w:rPr>
        <w:t xml:space="preserve"> przekazanych</w:t>
      </w:r>
      <w:r w:rsidR="008E3F53" w:rsidRPr="00742D02">
        <w:rPr>
          <w:rFonts w:ascii="Tahoma" w:hAnsi="Tahoma" w:cs="Tahoma"/>
          <w:sz w:val="20"/>
          <w:szCs w:val="20"/>
        </w:rPr>
        <w:t xml:space="preserve"> na </w:t>
      </w:r>
      <w:r w:rsidRPr="00742D02">
        <w:rPr>
          <w:rFonts w:ascii="Tahoma" w:hAnsi="Tahoma" w:cs="Tahoma"/>
          <w:sz w:val="20"/>
          <w:szCs w:val="20"/>
        </w:rPr>
        <w:t>zada</w:t>
      </w:r>
      <w:r w:rsidR="0039571F" w:rsidRPr="00742D02">
        <w:rPr>
          <w:rFonts w:ascii="Tahoma" w:hAnsi="Tahoma" w:cs="Tahoma"/>
          <w:sz w:val="20"/>
          <w:szCs w:val="20"/>
        </w:rPr>
        <w:t>ni</w:t>
      </w:r>
      <w:r w:rsidR="00713560" w:rsidRPr="00742D02">
        <w:rPr>
          <w:rFonts w:ascii="Tahoma" w:hAnsi="Tahoma" w:cs="Tahoma"/>
          <w:sz w:val="20"/>
          <w:szCs w:val="20"/>
        </w:rPr>
        <w:t>e</w:t>
      </w:r>
      <w:r w:rsidRPr="00742D02">
        <w:rPr>
          <w:rFonts w:ascii="Tahoma" w:hAnsi="Tahoma" w:cs="Tahoma"/>
          <w:sz w:val="20"/>
          <w:szCs w:val="20"/>
        </w:rPr>
        <w:t xml:space="preserve"> merytoryczn</w:t>
      </w:r>
      <w:r w:rsidR="003E4312">
        <w:rPr>
          <w:rFonts w:ascii="Tahoma" w:hAnsi="Tahoma" w:cs="Tahoma"/>
          <w:sz w:val="20"/>
          <w:szCs w:val="20"/>
        </w:rPr>
        <w:t>e</w:t>
      </w:r>
      <w:r w:rsidR="008E3F53" w:rsidRPr="00742D02">
        <w:rPr>
          <w:rFonts w:ascii="Tahoma" w:hAnsi="Tahoma" w:cs="Tahoma"/>
          <w:sz w:val="20"/>
          <w:szCs w:val="20"/>
        </w:rPr>
        <w:t>, które nie zostało rozliczone</w:t>
      </w:r>
      <w:r w:rsidR="00376F8F" w:rsidRPr="00742D02">
        <w:rPr>
          <w:rFonts w:ascii="Tahoma" w:hAnsi="Tahoma" w:cs="Tahoma"/>
          <w:sz w:val="20"/>
          <w:szCs w:val="20"/>
        </w:rPr>
        <w:t xml:space="preserve"> w związku z nieosiągnięciem </w:t>
      </w:r>
      <w:r w:rsidR="009F0C90" w:rsidRPr="00742D02">
        <w:rPr>
          <w:rFonts w:ascii="Tahoma" w:hAnsi="Tahoma" w:cs="Tahoma"/>
          <w:sz w:val="20"/>
          <w:szCs w:val="20"/>
        </w:rPr>
        <w:t>wskaźników</w:t>
      </w:r>
      <w:r w:rsidR="0039571F" w:rsidRPr="00742D02">
        <w:rPr>
          <w:rFonts w:ascii="Tahoma" w:hAnsi="Tahoma" w:cs="Tahoma"/>
          <w:sz w:val="20"/>
          <w:szCs w:val="20"/>
        </w:rPr>
        <w:t>.</w:t>
      </w:r>
      <w:r w:rsidRPr="00742D02">
        <w:rPr>
          <w:rFonts w:ascii="Tahoma" w:hAnsi="Tahoma" w:cs="Tahoma"/>
          <w:sz w:val="20"/>
          <w:szCs w:val="20"/>
        </w:rPr>
        <w:t xml:space="preserve"> </w:t>
      </w:r>
      <w:r w:rsidR="00742D02" w:rsidRPr="00742D02">
        <w:rPr>
          <w:rFonts w:ascii="Tahoma" w:hAnsi="Tahoma" w:cs="Tahoma"/>
          <w:sz w:val="20"/>
          <w:szCs w:val="20"/>
        </w:rPr>
        <w:t>W takim przypadku nie stosuje się reguły proporcjon</w:t>
      </w:r>
      <w:r w:rsidR="003E4312">
        <w:rPr>
          <w:rFonts w:ascii="Tahoma" w:hAnsi="Tahoma" w:cs="Tahoma"/>
          <w:sz w:val="20"/>
          <w:szCs w:val="20"/>
        </w:rPr>
        <w:t>alności, o której mowa</w:t>
      </w:r>
      <w:r w:rsidR="00742D02">
        <w:rPr>
          <w:rFonts w:ascii="Tahoma" w:hAnsi="Tahoma" w:cs="Tahoma"/>
          <w:sz w:val="20"/>
          <w:szCs w:val="20"/>
        </w:rPr>
        <w:t xml:space="preserve"> </w:t>
      </w:r>
      <w:r w:rsidR="00742D02" w:rsidRPr="00281303">
        <w:rPr>
          <w:rFonts w:ascii="Tahoma" w:hAnsi="Tahoma" w:cs="Tahoma"/>
          <w:sz w:val="20"/>
          <w:szCs w:val="20"/>
        </w:rPr>
        <w:t xml:space="preserve">w § </w:t>
      </w:r>
      <w:r w:rsidR="00742D02">
        <w:rPr>
          <w:rFonts w:ascii="Tahoma" w:hAnsi="Tahoma" w:cs="Tahoma"/>
          <w:sz w:val="20"/>
          <w:szCs w:val="20"/>
        </w:rPr>
        <w:t xml:space="preserve">1 pkt </w:t>
      </w:r>
      <w:r w:rsidR="00742D02" w:rsidRPr="00281303">
        <w:rPr>
          <w:rFonts w:ascii="Tahoma" w:hAnsi="Tahoma" w:cs="Tahoma"/>
          <w:sz w:val="20"/>
          <w:szCs w:val="20"/>
        </w:rPr>
        <w:t>27 lit. e</w:t>
      </w:r>
      <w:r w:rsidR="00742D02" w:rsidRPr="00742D02">
        <w:rPr>
          <w:rFonts w:ascii="Tahoma" w:hAnsi="Tahoma" w:cs="Tahoma"/>
          <w:sz w:val="20"/>
          <w:szCs w:val="20"/>
        </w:rPr>
        <w:t>.</w:t>
      </w:r>
    </w:p>
    <w:p w:rsidR="00FA2916" w:rsidRPr="00281303" w:rsidRDefault="00FA2916" w:rsidP="00057A63">
      <w:pPr>
        <w:pStyle w:val="Akapitzlist"/>
        <w:numPr>
          <w:ilvl w:val="0"/>
          <w:numId w:val="189"/>
        </w:numPr>
        <w:tabs>
          <w:tab w:val="left" w:pos="284"/>
        </w:tabs>
        <w:ind w:left="284" w:hanging="284"/>
        <w:jc w:val="both"/>
        <w:rPr>
          <w:rFonts w:ascii="Tahoma" w:hAnsi="Tahoma" w:cs="Tahoma"/>
          <w:sz w:val="20"/>
          <w:szCs w:val="20"/>
        </w:rPr>
      </w:pPr>
      <w:r w:rsidRPr="00281303">
        <w:rPr>
          <w:rFonts w:ascii="Tahoma" w:hAnsi="Tahoma" w:cs="Tahoma"/>
          <w:sz w:val="20"/>
          <w:szCs w:val="20"/>
        </w:rPr>
        <w:lastRenderedPageBreak/>
        <w:t>Wydatki, które Beneficjent poniósł na zadanie objęte kwotą ryczałtową, która nie została uznana za rozliczoną, uznaje się za niekwalifikowalne</w:t>
      </w:r>
      <w:r w:rsidR="0039571F">
        <w:rPr>
          <w:rFonts w:ascii="Tahoma" w:hAnsi="Tahoma" w:cs="Tahoma"/>
          <w:sz w:val="20"/>
          <w:szCs w:val="20"/>
        </w:rPr>
        <w:t>.</w:t>
      </w:r>
      <w:r w:rsidRPr="00281303">
        <w:rPr>
          <w:rFonts w:ascii="Tahoma" w:hAnsi="Tahoma" w:cs="Tahoma"/>
          <w:sz w:val="20"/>
          <w:szCs w:val="20"/>
        </w:rPr>
        <w:t xml:space="preserve"> </w:t>
      </w:r>
    </w:p>
    <w:p w:rsidR="00FA2916" w:rsidRPr="00803A53" w:rsidRDefault="00FA2916" w:rsidP="00057A63">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 xml:space="preserve">celów, w tym wskaźników produktu i rezultatu zakładanych we wniosku w trakcie realizacji oraz </w:t>
      </w:r>
      <w:r w:rsidRPr="00803A53">
        <w:rPr>
          <w:rFonts w:ascii="Tahoma" w:eastAsia="Calibri" w:hAnsi="Tahoma" w:cs="Tahoma"/>
          <w:kern w:val="0"/>
          <w:sz w:val="20"/>
          <w:szCs w:val="20"/>
          <w:lang w:eastAsia="en-US"/>
        </w:rPr>
        <w:br/>
        <w:t>w okresie trwałości projektu.</w:t>
      </w:r>
    </w:p>
    <w:p w:rsidR="00803A53" w:rsidRPr="00803A53" w:rsidRDefault="00E72CC6" w:rsidP="00803A53">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803A53">
        <w:rPr>
          <w:rFonts w:ascii="Tahoma" w:eastAsia="Calibri" w:hAnsi="Tahoma" w:cs="Tahoma"/>
          <w:kern w:val="0"/>
          <w:sz w:val="20"/>
          <w:szCs w:val="20"/>
          <w:lang w:eastAsia="en-US"/>
        </w:rPr>
        <w:t xml:space="preserve">W </w:t>
      </w:r>
      <w:r w:rsidRPr="00803A53">
        <w:rPr>
          <w:rFonts w:ascii="Tahoma" w:hAnsi="Tahoma" w:cs="Tahoma"/>
          <w:sz w:val="20"/>
          <w:szCs w:val="20"/>
        </w:rPr>
        <w:t>przypadku, gdy Wniosek przewiduje trwałość Projektu lub rezultatów Beneficjent, po okresie realizacji Projektu jest zobowiązany do przedkładania do IZ dokumentów potwierdzających zach</w:t>
      </w:r>
      <w:r w:rsidRPr="00803A53">
        <w:rPr>
          <w:rFonts w:ascii="Tahoma" w:hAnsi="Tahoma" w:cs="Tahoma"/>
          <w:sz w:val="20"/>
          <w:szCs w:val="20"/>
        </w:rPr>
        <w:t>o</w:t>
      </w:r>
      <w:r w:rsidRPr="00803A53">
        <w:rPr>
          <w:rFonts w:ascii="Tahoma" w:hAnsi="Tahoma" w:cs="Tahoma"/>
          <w:sz w:val="20"/>
          <w:szCs w:val="20"/>
        </w:rPr>
        <w:t>wanie trwałości Projektu</w:t>
      </w:r>
      <w:r w:rsidR="004543BF" w:rsidRPr="00803A53">
        <w:rPr>
          <w:rFonts w:ascii="Tahoma" w:hAnsi="Tahoma" w:cs="Tahoma"/>
          <w:sz w:val="20"/>
          <w:szCs w:val="20"/>
        </w:rPr>
        <w:t>, osiągnięcie rezultatów, wykonanie produktów lub zrealizowanie działań zgodnie z zatwierdzonym wnioskiem.</w:t>
      </w:r>
      <w:r w:rsidRPr="00803A53">
        <w:rPr>
          <w:rFonts w:ascii="Tahoma" w:hAnsi="Tahoma" w:cs="Tahoma"/>
          <w:sz w:val="20"/>
          <w:szCs w:val="20"/>
        </w:rPr>
        <w:t xml:space="preserve"> </w:t>
      </w:r>
    </w:p>
    <w:p w:rsidR="00FA2916" w:rsidRPr="00AE0AB1" w:rsidRDefault="00FA2916" w:rsidP="00AE0AB1">
      <w:pPr>
        <w:rPr>
          <w:rFonts w:ascii="Tahoma" w:eastAsia="Calibri" w:hAnsi="Tahoma" w:cs="Tahoma"/>
          <w:kern w:val="0"/>
          <w:lang w:eastAsia="en-US"/>
        </w:rPr>
      </w:pPr>
      <w:r w:rsidRPr="00AE0AB1">
        <w:rPr>
          <w:rFonts w:ascii="Tahoma" w:eastAsia="Calibri" w:hAnsi="Tahoma" w:cs="Tahoma"/>
          <w:lang w:eastAsia="en-US"/>
        </w:rPr>
        <w:t xml:space="preserve">10.Beneficjent po podpisaniu umowy nie może zmieniać sposobu rozliczania projektu. </w:t>
      </w:r>
    </w:p>
    <w:p w:rsidR="00FA2916" w:rsidRPr="00803A53" w:rsidRDefault="00FA2916" w:rsidP="00AE0AB1">
      <w:pPr>
        <w:ind w:left="284" w:hanging="284"/>
        <w:rPr>
          <w:rFonts w:ascii="Tahoma" w:eastAsia="Calibri" w:hAnsi="Tahoma" w:cs="Tahoma"/>
        </w:rPr>
      </w:pPr>
      <w:r w:rsidRPr="00803A53">
        <w:rPr>
          <w:rFonts w:ascii="Tahoma" w:eastAsia="Calibri" w:hAnsi="Tahoma" w:cs="Tahoma"/>
          <w:kern w:val="0"/>
          <w:lang w:eastAsia="en-US"/>
        </w:rPr>
        <w:t xml:space="preserve">11. </w:t>
      </w:r>
      <w:r w:rsidR="002E1BA7" w:rsidRPr="00803A53">
        <w:rPr>
          <w:rFonts w:ascii="Tahoma" w:eastAsia="Calibri" w:hAnsi="Tahoma" w:cs="Tahoma"/>
        </w:rPr>
        <w:t>Jeżeli tylko cześć działań/zadań projektu realizowana jest z zastosowaniem trybu konkurencyjnego</w:t>
      </w:r>
      <w:r w:rsidR="002E1BA7">
        <w:rPr>
          <w:rFonts w:ascii="Tahoma" w:eastAsia="Calibri" w:hAnsi="Tahoma" w:cs="Tahoma"/>
        </w:rPr>
        <w:t xml:space="preserve"> (zasada konkurencyjności lub PZP) w ra</w:t>
      </w:r>
      <w:r w:rsidR="00F90643">
        <w:rPr>
          <w:rFonts w:ascii="Tahoma" w:eastAsia="Calibri" w:hAnsi="Tahoma" w:cs="Tahoma"/>
        </w:rPr>
        <w:t>mach projektu mogą być stosowane</w:t>
      </w:r>
      <w:r w:rsidR="002E1BA7">
        <w:rPr>
          <w:rFonts w:ascii="Tahoma" w:eastAsia="Calibri" w:hAnsi="Tahoma" w:cs="Tahoma"/>
        </w:rPr>
        <w:t xml:space="preserve"> uproszczone metody rozliczania kwotami r</w:t>
      </w:r>
      <w:r w:rsidR="00803A53">
        <w:rPr>
          <w:rFonts w:ascii="Tahoma" w:eastAsia="Calibri" w:hAnsi="Tahoma" w:cs="Tahoma"/>
        </w:rPr>
        <w:t xml:space="preserve">yczałtowymi. </w:t>
      </w:r>
    </w:p>
    <w:p w:rsidR="0062131A" w:rsidRDefault="0062131A" w:rsidP="00FA2916">
      <w:pPr>
        <w:suppressAutoHyphens w:val="0"/>
        <w:autoSpaceDN/>
        <w:spacing w:line="259" w:lineRule="auto"/>
        <w:ind w:left="284" w:hanging="284"/>
        <w:jc w:val="both"/>
        <w:textAlignment w:val="auto"/>
        <w:rPr>
          <w:rFonts w:ascii="Tahoma" w:eastAsia="Calibri" w:hAnsi="Tahoma" w:cs="Tahoma"/>
          <w:kern w:val="0"/>
          <w:lang w:eastAsia="en-US"/>
        </w:rPr>
      </w:pPr>
      <w:r>
        <w:rPr>
          <w:rFonts w:ascii="Tahoma" w:hAnsi="Tahoma" w:cs="Tahoma"/>
        </w:rPr>
        <w:t>12.</w:t>
      </w:r>
      <w:r w:rsidRPr="003213C4">
        <w:rPr>
          <w:rFonts w:ascii="Tahoma" w:hAnsi="Tahoma" w:cs="Tahoma"/>
        </w:rPr>
        <w:t>Wydatki w ramach projektu mogą obejmować koszt podatku od towarów i usług, zgodnie ze złoż</w:t>
      </w:r>
      <w:r w:rsidRPr="003213C4">
        <w:rPr>
          <w:rFonts w:ascii="Tahoma" w:hAnsi="Tahoma" w:cs="Tahoma"/>
        </w:rPr>
        <w:t>o</w:t>
      </w:r>
      <w:r w:rsidRPr="003213C4">
        <w:rPr>
          <w:rFonts w:ascii="Tahoma" w:hAnsi="Tahoma" w:cs="Tahoma"/>
        </w:rPr>
        <w:t>nym przez Beneficjenta/Partnerów oświadczeniem stanowiącym załącznik nr 3 do umowy</w:t>
      </w:r>
      <w:r>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 xml:space="preserve">Okres realizacji Projektu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dotyczy realizacji zadań w ramach Projektu.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ryczałtowe w ramach projektu mogą być uznane za kwalifikowalne jeśli zostały rozliczone przez beneficjenta</w:t>
      </w:r>
      <w:r w:rsidR="0015658D">
        <w:rPr>
          <w:rFonts w:ascii="Tahoma" w:hAnsi="Tahoma" w:cs="Tahoma"/>
        </w:rPr>
        <w:t xml:space="preserve"> w okresie od dnia </w:t>
      </w:r>
      <w:r w:rsidRPr="00281303">
        <w:rPr>
          <w:rFonts w:ascii="Tahoma" w:hAnsi="Tahoma" w:cs="Tahoma"/>
        </w:rPr>
        <w:t>rozpoczęcia realizacji projektu i nie później niż do terminu z</w:t>
      </w:r>
      <w:r w:rsidRPr="00281303">
        <w:rPr>
          <w:rFonts w:ascii="Tahoma" w:hAnsi="Tahoma" w:cs="Tahoma"/>
        </w:rPr>
        <w:t>a</w:t>
      </w:r>
      <w:r w:rsidRPr="00281303">
        <w:rPr>
          <w:rFonts w:ascii="Tahoma" w:hAnsi="Tahoma" w:cs="Tahoma"/>
        </w:rPr>
        <w:t>kończenia realizacji projektu określonego we wniosku z zastrzeżeniem 30 dniowego terminu zawa</w:t>
      </w:r>
      <w:r w:rsidRPr="00281303">
        <w:rPr>
          <w:rFonts w:ascii="Tahoma" w:hAnsi="Tahoma" w:cs="Tahoma"/>
        </w:rPr>
        <w:t>r</w:t>
      </w:r>
      <w:r w:rsidRPr="00281303">
        <w:rPr>
          <w:rFonts w:ascii="Tahoma" w:hAnsi="Tahoma" w:cs="Tahoma"/>
        </w:rPr>
        <w:t xml:space="preserve">tego w </w:t>
      </w:r>
      <w:r w:rsidRPr="008E47B4">
        <w:rPr>
          <w:rFonts w:ascii="Tahoma" w:hAnsi="Tahoma" w:cs="Tahoma"/>
        </w:rPr>
        <w:t xml:space="preserve">§ 10 ust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Projekt będzie realizowany przez:……………….</w:t>
      </w:r>
      <w:r w:rsidRPr="00281303">
        <w:rPr>
          <w:rStyle w:val="Odwoanieprzypisudolnego"/>
          <w:rFonts w:ascii="Tahoma" w:hAnsi="Tahoma" w:cs="Tahoma"/>
          <w:sz w:val="20"/>
          <w:szCs w:val="20"/>
        </w:rPr>
        <w:footnoteReference w:id="11"/>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2"/>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powstałe w związku z realizacją Projektu.</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odpowiedzialność względem IZ za realizację Projektu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7.</w:t>
      </w:r>
    </w:p>
    <w:p w:rsidR="00FA2916" w:rsidRDefault="00FA2916" w:rsidP="00057A63">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Beneficjent ma obowiązek bieżącego monitorowania oraz ewidencjonowania dofinansowania, z które</w:t>
      </w:r>
      <w:r w:rsidR="008705A7">
        <w:rPr>
          <w:rFonts w:ascii="Tahoma" w:hAnsi="Tahoma" w:cs="Tahoma"/>
          <w:sz w:val="20"/>
          <w:szCs w:val="20"/>
        </w:rPr>
        <w:t>go</w:t>
      </w:r>
      <w:r w:rsidRPr="00281303">
        <w:rPr>
          <w:rFonts w:ascii="Tahoma" w:hAnsi="Tahoma" w:cs="Tahoma"/>
          <w:sz w:val="20"/>
          <w:szCs w:val="20"/>
        </w:rPr>
        <w:t xml:space="preserve">  ponoszone są kwoty ryczałtowe w ramach projektu. </w:t>
      </w:r>
    </w:p>
    <w:p w:rsidR="00386332" w:rsidRDefault="00386332" w:rsidP="0038633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386332">
        <w:rPr>
          <w:rFonts w:ascii="Tahoma" w:hAnsi="Tahoma" w:cs="Tahoma"/>
          <w:sz w:val="20"/>
          <w:szCs w:val="20"/>
        </w:rPr>
        <w:t>IZ przekazuje  dofinansowani</w:t>
      </w:r>
      <w:r w:rsidR="005C5791">
        <w:rPr>
          <w:rFonts w:ascii="Tahoma" w:hAnsi="Tahoma" w:cs="Tahoma"/>
          <w:sz w:val="20"/>
          <w:szCs w:val="20"/>
        </w:rPr>
        <w:t>e</w:t>
      </w:r>
      <w:r w:rsidRPr="00386332">
        <w:rPr>
          <w:rFonts w:ascii="Tahoma" w:hAnsi="Tahoma" w:cs="Tahoma"/>
          <w:sz w:val="20"/>
          <w:szCs w:val="20"/>
        </w:rPr>
        <w:t xml:space="preserve"> w formie zaliczki w wysokości 100% przyznanego </w:t>
      </w:r>
      <w:r w:rsidR="003272C6">
        <w:rPr>
          <w:rFonts w:ascii="Tahoma" w:hAnsi="Tahoma" w:cs="Tahoma"/>
          <w:sz w:val="20"/>
          <w:szCs w:val="20"/>
        </w:rPr>
        <w:t>dofinansowania jeżeli okres realizacji projektu nie przekracza 12 miesięcy</w:t>
      </w:r>
      <w:r w:rsidRPr="00386332">
        <w:rPr>
          <w:rFonts w:ascii="Tahoma" w:hAnsi="Tahoma" w:cs="Tahoma"/>
          <w:sz w:val="20"/>
          <w:szCs w:val="20"/>
        </w:rPr>
        <w:t>.</w:t>
      </w:r>
    </w:p>
    <w:p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EA0AFD" w:rsidRPr="00281303">
        <w:rPr>
          <w:rFonts w:ascii="Tahoma" w:hAnsi="Tahoma" w:cs="Tahoma"/>
          <w:sz w:val="20"/>
          <w:szCs w:val="20"/>
        </w:rPr>
        <w:t xml:space="preserve">jedną </w:t>
      </w:r>
      <w:r w:rsidR="002E6D53" w:rsidRPr="00281303">
        <w:rPr>
          <w:rFonts w:ascii="Tahoma" w:hAnsi="Tahoma" w:cs="Tahoma"/>
          <w:sz w:val="20"/>
          <w:szCs w:val="20"/>
        </w:rPr>
        <w:t>transz</w:t>
      </w:r>
      <w:r w:rsidR="00855DF9" w:rsidRPr="00281303">
        <w:rPr>
          <w:rFonts w:ascii="Tahoma" w:hAnsi="Tahoma" w:cs="Tahoma"/>
          <w:sz w:val="20"/>
          <w:szCs w:val="20"/>
        </w:rPr>
        <w:t>ą</w:t>
      </w:r>
      <w:r w:rsidR="00EA0AFD" w:rsidRPr="00281303">
        <w:rPr>
          <w:rFonts w:ascii="Tahoma" w:hAnsi="Tahoma" w:cs="Tahoma"/>
          <w:sz w:val="20"/>
          <w:szCs w:val="20"/>
        </w:rPr>
        <w:t xml:space="preserve"> w formie zaliczki</w:t>
      </w:r>
      <w:r w:rsidR="009544CA" w:rsidRPr="00281303">
        <w:rPr>
          <w:rFonts w:ascii="Tahoma" w:hAnsi="Tahoma" w:cs="Tahoma"/>
          <w:sz w:val="20"/>
          <w:szCs w:val="20"/>
        </w:rPr>
        <w:t xml:space="preserv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 xml:space="preserve">Harmonogramie składania wniosków o płatność zwanym dalej „harmonogramem płatności” </w:t>
      </w:r>
      <w:r w:rsidRPr="00281303">
        <w:rPr>
          <w:rFonts w:ascii="Tahoma" w:hAnsi="Tahoma" w:cs="Tahoma"/>
          <w:sz w:val="20"/>
          <w:szCs w:val="20"/>
        </w:rPr>
        <w:t xml:space="preserve">stanowiącym załącznik </w:t>
      </w:r>
      <w:r w:rsidR="00051F70" w:rsidRPr="00281303">
        <w:rPr>
          <w:rFonts w:ascii="Tahoma" w:hAnsi="Tahoma" w:cs="Tahoma"/>
          <w:sz w:val="20"/>
          <w:szCs w:val="20"/>
        </w:rPr>
        <w:t xml:space="preserve">nr 2 </w:t>
      </w:r>
      <w:r w:rsidRPr="00281303">
        <w:rPr>
          <w:rFonts w:ascii="Tahoma" w:hAnsi="Tahoma" w:cs="Tahoma"/>
          <w:sz w:val="20"/>
          <w:szCs w:val="20"/>
        </w:rPr>
        <w:t>do umowy, z zastrzeżeniem us</w:t>
      </w:r>
      <w:r w:rsidR="00CD7B7B" w:rsidRPr="00281303">
        <w:rPr>
          <w:rFonts w:ascii="Tahoma" w:hAnsi="Tahoma" w:cs="Tahoma"/>
          <w:sz w:val="20"/>
          <w:szCs w:val="20"/>
        </w:rPr>
        <w:t xml:space="preserve">t. </w:t>
      </w:r>
      <w:r w:rsidR="00483E9F" w:rsidRPr="00281303">
        <w:rPr>
          <w:rFonts w:ascii="Tahoma" w:hAnsi="Tahoma" w:cs="Tahoma"/>
          <w:sz w:val="20"/>
          <w:szCs w:val="20"/>
        </w:rPr>
        <w:t>2</w:t>
      </w:r>
      <w:r w:rsidR="00D302E6" w:rsidRPr="00281303">
        <w:rPr>
          <w:rFonts w:ascii="Tahoma" w:hAnsi="Tahoma" w:cs="Tahoma"/>
          <w:sz w:val="20"/>
          <w:szCs w:val="20"/>
        </w:rPr>
        <w:t xml:space="preserve"> </w:t>
      </w:r>
      <w:r w:rsidR="00CD7B7B" w:rsidRPr="00281303">
        <w:rPr>
          <w:rFonts w:ascii="Tahoma" w:hAnsi="Tahoma" w:cs="Tahoma"/>
          <w:sz w:val="20"/>
          <w:szCs w:val="20"/>
        </w:rPr>
        <w:t>niniejszego paragrafu</w:t>
      </w:r>
      <w:r w:rsidR="00EA0AFD" w:rsidRPr="00281303">
        <w:rPr>
          <w:rFonts w:ascii="Tahoma" w:hAnsi="Tahoma" w:cs="Tahoma"/>
          <w:sz w:val="20"/>
          <w:szCs w:val="20"/>
        </w:rPr>
        <w:t>.</w:t>
      </w:r>
      <w:r w:rsidR="00CD7B7B" w:rsidRPr="00281303">
        <w:rPr>
          <w:rFonts w:ascii="Tahoma" w:hAnsi="Tahoma" w:cs="Tahoma"/>
          <w:sz w:val="20"/>
          <w:szCs w:val="20"/>
        </w:rPr>
        <w:t xml:space="preserve"> </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projekcie, o których mowa w § 2</w:t>
      </w:r>
      <w:r w:rsidR="001B294D">
        <w:rPr>
          <w:rFonts w:ascii="Tahoma" w:hAnsi="Tahoma" w:cs="Tahoma"/>
          <w:sz w:val="20"/>
          <w:szCs w:val="20"/>
        </w:rPr>
        <w:t>4</w:t>
      </w:r>
      <w:r w:rsidRPr="00281303">
        <w:rPr>
          <w:rFonts w:ascii="Tahoma" w:hAnsi="Tahoma" w:cs="Tahoma"/>
          <w:sz w:val="20"/>
          <w:szCs w:val="20"/>
        </w:rPr>
        <w:t xml:space="preserve"> 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3"/>
      </w:r>
      <w:r w:rsidRPr="0028130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Beneficjent przedkłada harmonogram płatności w wersji elektronicznej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25</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4"/>
      </w:r>
    </w:p>
    <w:p w:rsidR="009E1874" w:rsidRPr="00281303" w:rsidRDefault="009E1874"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Dofinansowanie przekazywane jest na następujący wyodrębniony dla </w:t>
      </w:r>
      <w:r w:rsidRPr="00281303">
        <w:rPr>
          <w:rFonts w:ascii="Tahoma" w:hAnsi="Tahoma" w:cs="Tahoma"/>
          <w:b/>
          <w:sz w:val="20"/>
          <w:szCs w:val="20"/>
        </w:rPr>
        <w:t>projektu rachunek bankowy Beneficjenta:</w:t>
      </w:r>
      <w:r w:rsidRPr="00281303">
        <w:rPr>
          <w:rStyle w:val="Odwoanieprzypisudolnego"/>
          <w:rFonts w:ascii="Tahoma" w:hAnsi="Tahoma" w:cs="Tahoma"/>
          <w:sz w:val="20"/>
          <w:szCs w:val="20"/>
        </w:rPr>
        <w:footnoteReference w:id="15"/>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9E1874" w:rsidP="00467224">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Dofinansowanie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CE2B05">
        <w:rPr>
          <w:rFonts w:ascii="Tahoma" w:hAnsi="Tahoma" w:cs="Tahoma"/>
          <w:sz w:val="20"/>
          <w:szCs w:val="20"/>
        </w:rPr>
        <w:t>jest</w:t>
      </w:r>
      <w:r w:rsidRPr="00281303">
        <w:rPr>
          <w:rFonts w:ascii="Tahoma" w:hAnsi="Tahoma" w:cs="Tahoma"/>
          <w:sz w:val="20"/>
          <w:szCs w:val="20"/>
        </w:rPr>
        <w:t xml:space="preserve"> przekazywane bez zbędnej zwłoki na rachunek bankowy</w:t>
      </w:r>
      <w:r w:rsidRPr="00281303">
        <w:rPr>
          <w:rFonts w:ascii="Tahoma" w:hAnsi="Tahoma" w:cs="Tahoma"/>
          <w:sz w:val="20"/>
          <w:szCs w:val="20"/>
          <w:vertAlign w:val="superscript"/>
        </w:rPr>
        <w:footnoteReference w:id="16"/>
      </w:r>
      <w:r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Beneficjent zobowiązuje się niezwłocznie poinformować IZ o zmianie wszystkich rachunków bankowych, o których mowa w ust. </w:t>
      </w:r>
      <w:r w:rsidR="00352049">
        <w:rPr>
          <w:rFonts w:ascii="Tahoma" w:hAnsi="Tahoma" w:cs="Tahoma"/>
          <w:sz w:val="20"/>
          <w:szCs w:val="20"/>
        </w:rPr>
        <w:t>10</w:t>
      </w:r>
      <w:r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Odsetki bankowe od przekazanego Beneficjentowi dofinansowania podlegają zwrotowi </w:t>
      </w:r>
      <w:r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AB2F5E"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Pr="00281303">
        <w:rPr>
          <w:rFonts w:ascii="Tahoma" w:hAnsi="Tahoma" w:cs="Tahoma"/>
          <w:sz w:val="20"/>
          <w:szCs w:val="20"/>
        </w:rPr>
        <w:t xml:space="preserve"> we wniosku o płatność.</w:t>
      </w:r>
      <w:r w:rsidRPr="00281303">
        <w:rPr>
          <w:rStyle w:val="Odwoanieprzypisudolnego"/>
          <w:rFonts w:ascii="Tahoma" w:hAnsi="Tahoma" w:cs="Tahoma"/>
          <w:sz w:val="20"/>
          <w:szCs w:val="20"/>
        </w:rPr>
        <w:footnoteReference w:id="17"/>
      </w:r>
    </w:p>
    <w:p w:rsidR="00477071" w:rsidRPr="00281303" w:rsidRDefault="00EB795B"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t>
      </w:r>
      <w:r w:rsidR="00477071" w:rsidRPr="00281303">
        <w:rPr>
          <w:rFonts w:ascii="Tahoma" w:hAnsi="Tahoma" w:cs="Tahoma"/>
          <w:sz w:val="20"/>
          <w:szCs w:val="20"/>
        </w:rPr>
        <w:t>wota dotacji celowej niezgłoszona i niewydatkowana w danym roku podlega  zwrotowi w  terminie do dnia 31 grudnia danego roku budżetowego na rachunek IZ. W przypadku braku powyższego zwrotu mają zastosowanie zapisy art. 168 ust.3 UFP.</w:t>
      </w:r>
    </w:p>
    <w:p w:rsidR="00477071" w:rsidRPr="00281303" w:rsidRDefault="00477071" w:rsidP="00057A63">
      <w:pPr>
        <w:pStyle w:val="Standard"/>
        <w:numPr>
          <w:ilvl w:val="0"/>
          <w:numId w:val="148"/>
        </w:numPr>
        <w:tabs>
          <w:tab w:val="left" w:pos="8080"/>
        </w:tabs>
        <w:spacing w:after="60"/>
        <w:ind w:left="284" w:hanging="284"/>
        <w:jc w:val="both"/>
        <w:rPr>
          <w:rFonts w:ascii="Tahoma" w:hAnsi="Tahoma" w:cs="Tahoma"/>
          <w:b/>
          <w:sz w:val="20"/>
          <w:szCs w:val="20"/>
        </w:rPr>
      </w:pPr>
      <w:r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Pr="00281303">
        <w:rPr>
          <w:rFonts w:ascii="Tahoma" w:hAnsi="Tahoma" w:cs="Tahoma"/>
          <w:sz w:val="20"/>
          <w:szCs w:val="20"/>
        </w:rPr>
        <w:t xml:space="preserve"> niniejszego paragrafu, w części niewydatkowanej przed upływem 10 dni roboczych od terminu określonego w rozporządzeniu wydanym </w:t>
      </w:r>
      <w:r w:rsidRPr="00281303">
        <w:rPr>
          <w:rFonts w:ascii="Tahoma" w:hAnsi="Tahoma" w:cs="Tahoma"/>
          <w:sz w:val="20"/>
          <w:szCs w:val="20"/>
        </w:rPr>
        <w:br/>
        <w:t>na podstawie art. 181 ust.2 UFP podlega zwrotowi na rachunek IZ.</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Kwota dotacji celowej niewydatkowana i niezgłoszona zgodnie z ust</w:t>
      </w:r>
      <w:r w:rsidRPr="00A3616A">
        <w:rPr>
          <w:rFonts w:ascii="Tahoma" w:hAnsi="Tahoma" w:cs="Tahoma"/>
          <w:sz w:val="20"/>
          <w:szCs w:val="20"/>
        </w:rPr>
        <w:t>. 1</w:t>
      </w:r>
      <w:r w:rsidR="00A3616A" w:rsidRPr="00A3616A">
        <w:rPr>
          <w:rFonts w:ascii="Tahoma" w:hAnsi="Tahoma" w:cs="Tahoma"/>
          <w:sz w:val="20"/>
          <w:szCs w:val="20"/>
        </w:rPr>
        <w:t>5</w:t>
      </w:r>
      <w:r w:rsidRPr="00A3616A">
        <w:rPr>
          <w:rFonts w:ascii="Tahoma" w:hAnsi="Tahoma" w:cs="Tahoma"/>
          <w:sz w:val="20"/>
          <w:szCs w:val="20"/>
        </w:rPr>
        <w:t xml:space="preserve"> podlega zwrotowi w  terminie do dnia 31 grudnia danego roku budżetowego na rachunek IZ.</w:t>
      </w:r>
      <w:r w:rsidRPr="00A3616A">
        <w:rPr>
          <w:rFonts w:ascii="Tahoma" w:hAnsi="Tahoma" w:cs="Tahoma"/>
          <w:kern w:val="0"/>
          <w:sz w:val="20"/>
          <w:szCs w:val="20"/>
        </w:rPr>
        <w:t xml:space="preserve"> W</w:t>
      </w:r>
      <w:r w:rsidRPr="00281303">
        <w:rPr>
          <w:rFonts w:ascii="Tahoma" w:hAnsi="Tahoma" w:cs="Tahoma"/>
          <w:kern w:val="0"/>
          <w:sz w:val="20"/>
          <w:szCs w:val="20"/>
        </w:rPr>
        <w:t xml:space="preserve"> przypadku braku powyższego zwrotu mają zastosowanie zapisy art. 168 ust.3 UFP.</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Kwota dofinansowania w formie płatności, o której mowa w § 2 ust. 1 pkt 1, niewydatkowana </w:t>
      </w:r>
      <w:r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Pr="00A3616A">
        <w:rPr>
          <w:rFonts w:ascii="Tahoma" w:hAnsi="Tahoma" w:cs="Tahoma"/>
          <w:sz w:val="20"/>
          <w:szCs w:val="20"/>
        </w:rPr>
        <w:t>,</w:t>
      </w:r>
      <w:r w:rsidRPr="00281303">
        <w:rPr>
          <w:rFonts w:ascii="Tahoma" w:hAnsi="Tahoma" w:cs="Tahoma"/>
          <w:sz w:val="20"/>
          <w:szCs w:val="20"/>
        </w:rPr>
        <w:t xml:space="preserve"> do dyspozycji Beneficjenta w następnym roku budżetowym.</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Beneficjent każdorazowo zobowiązany jest do niezwłocznego złożenia w  IZ  drogą elektroniczną informacji dotyczącej zwrotu środków, zawierającej:</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Pr="00281303">
        <w:rPr>
          <w:rStyle w:val="Odwoanieprzypisudolnego"/>
          <w:rFonts w:ascii="Tahoma" w:hAnsi="Tahoma"/>
          <w:sz w:val="20"/>
          <w:szCs w:val="20"/>
        </w:rPr>
        <w:footnoteReference w:id="18"/>
      </w:r>
    </w:p>
    <w:p w:rsidR="00477071" w:rsidRPr="00281303" w:rsidRDefault="00477071" w:rsidP="00057A63">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niekwalifikowanych, odsetki zgodne z art. 168).</w:t>
      </w:r>
    </w:p>
    <w:p w:rsidR="00477071" w:rsidRPr="00281303" w:rsidRDefault="00A3616A"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Środki, o których mowa w ust. 17</w:t>
      </w:r>
      <w:r w:rsidR="00477071" w:rsidRPr="00281303">
        <w:rPr>
          <w:rFonts w:ascii="Tahoma" w:hAnsi="Tahoma" w:cs="Tahoma"/>
          <w:sz w:val="20"/>
          <w:szCs w:val="20"/>
        </w:rPr>
        <w:t xml:space="preserve"> niniejszego paragrafu zostaną przekazane Beneficjentowi </w:t>
      </w:r>
      <w:r w:rsidR="00477071" w:rsidRPr="00281303">
        <w:rPr>
          <w:rFonts w:ascii="Tahoma" w:hAnsi="Tahoma" w:cs="Tahoma"/>
          <w:sz w:val="20"/>
          <w:szCs w:val="20"/>
        </w:rPr>
        <w:br/>
        <w:t>w kolejnym roku pod warunkiem ich dostępności i nie wymagają ponownego wnioskowania.</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7</w:t>
      </w:r>
      <w:r w:rsidR="00797429" w:rsidRPr="00262C4D">
        <w:rPr>
          <w:rFonts w:ascii="Tahoma" w:hAnsi="Tahoma" w:cs="Tahoma"/>
          <w:sz w:val="20"/>
          <w:szCs w:val="20"/>
        </w:rPr>
        <w:t xml:space="preserve"> 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1</w:t>
      </w:r>
      <w:r w:rsidR="002A4A25" w:rsidRPr="00262C4D">
        <w:rPr>
          <w:rFonts w:ascii="Tahoma" w:hAnsi="Tahoma" w:cs="Tahoma"/>
          <w:sz w:val="20"/>
          <w:szCs w:val="20"/>
        </w:rPr>
        <w:t>2</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281303">
        <w:rPr>
          <w:rFonts w:ascii="Tahoma" w:hAnsi="Tahoma" w:cs="Tahoma"/>
          <w:kern w:val="0"/>
          <w:sz w:val="20"/>
          <w:szCs w:val="20"/>
        </w:rPr>
        <w:br/>
        <w:t xml:space="preserve">o płatność poza LSI zgodnie z wzorem zamieszczonym na stronie internetowej IZ oraz do złożenia </w:t>
      </w:r>
      <w:r w:rsidRPr="00281303">
        <w:rPr>
          <w:rFonts w:ascii="Tahoma" w:hAnsi="Tahoma" w:cs="Tahoma"/>
          <w:kern w:val="0"/>
          <w:sz w:val="20"/>
          <w:szCs w:val="20"/>
        </w:rPr>
        <w:lastRenderedPageBreak/>
        <w:t xml:space="preserve">wniosku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zastosowania § 25</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z § 21</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dokumenty potwierdzające wykonanie kwoty ryczałtowej, o której mowa w § 4 ust. 3</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pkt. </w:t>
      </w:r>
      <w:r w:rsidR="004055B5">
        <w:rPr>
          <w:rFonts w:ascii="Tahoma" w:hAnsi="Tahoma" w:cs="Tahoma"/>
          <w:sz w:val="20"/>
          <w:szCs w:val="20"/>
        </w:rPr>
        <w:t>1</w:t>
      </w:r>
      <w:r w:rsidR="002F312C">
        <w:rPr>
          <w:rFonts w:ascii="Tahoma" w:hAnsi="Tahoma" w:cs="Tahoma"/>
          <w:sz w:val="20"/>
          <w:szCs w:val="20"/>
        </w:rPr>
        <w:t xml:space="preserve"> ust. </w:t>
      </w:r>
      <w:r w:rsidR="004055B5">
        <w:rPr>
          <w:rFonts w:ascii="Tahoma" w:hAnsi="Tahoma" w:cs="Tahoma"/>
          <w:sz w:val="20"/>
          <w:szCs w:val="20"/>
        </w:rPr>
        <w:t>4</w:t>
      </w:r>
      <w:r w:rsidRPr="0099706A">
        <w:rPr>
          <w:rFonts w:ascii="Tahoma" w:hAnsi="Tahoma" w:cs="Tahoma"/>
          <w:sz w:val="20"/>
          <w:szCs w:val="20"/>
        </w:rPr>
        <w:t xml:space="preserve">, Beneficjent zobowiązuje się do przekazania za pośrednictwem </w:t>
      </w:r>
      <w:proofErr w:type="spellStart"/>
      <w:r w:rsidRPr="0099706A">
        <w:rPr>
          <w:rFonts w:ascii="Tahoma" w:hAnsi="Tahoma" w:cs="Tahoma"/>
          <w:sz w:val="20"/>
          <w:szCs w:val="20"/>
        </w:rPr>
        <w:t>PeUP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pkt.</w:t>
      </w:r>
      <w:r w:rsidR="002F312C">
        <w:rPr>
          <w:rFonts w:ascii="Tahoma" w:hAnsi="Tahoma" w:cs="Tahoma"/>
          <w:sz w:val="20"/>
          <w:szCs w:val="20"/>
        </w:rPr>
        <w:t xml:space="preserve"> 4 ust.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8E039C" w:rsidRPr="00281303" w:rsidRDefault="008E039C" w:rsidP="00057A63">
      <w:pPr>
        <w:pStyle w:val="Standard"/>
        <w:numPr>
          <w:ilvl w:val="0"/>
          <w:numId w:val="139"/>
        </w:numPr>
        <w:spacing w:after="60"/>
        <w:ind w:left="284" w:hanging="284"/>
        <w:jc w:val="both"/>
        <w:rPr>
          <w:rFonts w:ascii="Tahoma" w:hAnsi="Tahoma" w:cs="Tahoma"/>
          <w:sz w:val="20"/>
          <w:szCs w:val="20"/>
        </w:rPr>
      </w:pPr>
      <w:r w:rsidRPr="00281303">
        <w:rPr>
          <w:rFonts w:ascii="Tahoma" w:hAnsi="Tahoma" w:cs="Tahoma"/>
          <w:sz w:val="20"/>
          <w:szCs w:val="20"/>
        </w:rPr>
        <w:t>Beneficjent składa pierwszy wniosek o płatność, b</w:t>
      </w:r>
      <w:r w:rsidR="00F9702E">
        <w:rPr>
          <w:rFonts w:ascii="Tahoma" w:hAnsi="Tahoma" w:cs="Tahoma"/>
          <w:sz w:val="20"/>
          <w:szCs w:val="20"/>
        </w:rPr>
        <w:t>ędący podstawą wypłaty</w:t>
      </w:r>
      <w:r w:rsidRPr="00281303">
        <w:rPr>
          <w:rFonts w:ascii="Tahoma" w:hAnsi="Tahoma" w:cs="Tahoma"/>
          <w:sz w:val="20"/>
          <w:szCs w:val="20"/>
        </w:rPr>
        <w:t xml:space="preserve"> transzy dofinansowania, zgodnie </w:t>
      </w:r>
      <w:r w:rsidR="00C30E72">
        <w:rPr>
          <w:rFonts w:ascii="Tahoma" w:hAnsi="Tahoma" w:cs="Tahoma"/>
          <w:sz w:val="20"/>
          <w:szCs w:val="20"/>
        </w:rPr>
        <w:t xml:space="preserve">z </w:t>
      </w:r>
      <w:r w:rsidRPr="00281303">
        <w:rPr>
          <w:rFonts w:ascii="Tahoma" w:hAnsi="Tahoma" w:cs="Tahoma"/>
          <w:sz w:val="20"/>
          <w:szCs w:val="20"/>
        </w:rPr>
        <w:t>§ 9 ust.1 , w terminie 7 dni roboczych od dnia podpisania niniejszej umowy.</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 niekwalifikowalnych kwot ryczałtowych wynikających z niewykonania wskaźników, o których mowa w § 4 ust. 4,  na rachunek IZ, składany jest w terminie do 30 dni  kalendarzowych od dnia zakończenia okresu realizacji projektu. W przypadku niedokonania zwrotu w ww. terminie, sto</w:t>
      </w:r>
      <w:r w:rsidR="001B294D">
        <w:rPr>
          <w:rFonts w:ascii="Tahoma" w:hAnsi="Tahoma" w:cs="Tahoma"/>
          <w:szCs w:val="20"/>
        </w:rPr>
        <w:t>suje się odpowiednio zapisy § 12</w:t>
      </w:r>
      <w:r w:rsidRPr="00281303">
        <w:rPr>
          <w:rFonts w:ascii="Tahoma" w:hAnsi="Tahoma" w:cs="Tahoma"/>
          <w:szCs w:val="20"/>
        </w:rPr>
        <w:t xml:space="preserve"> niniejszej umowy. Okres za jaki składany jest wniosek o płatność może zawierać niepełne miesiące / 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dokonuje weryfikacji formalno-rachunkowej i merytorycznej wniosku o płatność, w terminie </w:t>
      </w:r>
      <w:r w:rsidRPr="00281303">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281303">
        <w:rPr>
          <w:rStyle w:val="Odwoanieprzypisudolnego"/>
          <w:rFonts w:ascii="Tahoma" w:hAnsi="Tahoma"/>
          <w:szCs w:val="20"/>
        </w:rPr>
        <w:footnoteReference w:id="21"/>
      </w:r>
      <w:r w:rsidRPr="00281303">
        <w:rPr>
          <w:rFonts w:ascii="Tahoma" w:hAnsi="Tahoma" w:cs="Tahoma"/>
          <w:szCs w:val="20"/>
        </w:rPr>
        <w:t xml:space="preserve">  </w:t>
      </w:r>
    </w:p>
    <w:p w:rsidR="008E039C" w:rsidRPr="00281303" w:rsidRDefault="008E039C" w:rsidP="008E039C">
      <w:pPr>
        <w:pStyle w:val="Pisma"/>
        <w:tabs>
          <w:tab w:val="left" w:pos="568"/>
        </w:tabs>
        <w:spacing w:after="60"/>
        <w:ind w:left="284"/>
        <w:rPr>
          <w:rFonts w:ascii="Tahoma" w:hAnsi="Tahoma" w:cs="Tahoma"/>
          <w:szCs w:val="20"/>
        </w:rPr>
      </w:pPr>
      <w:r w:rsidRPr="00281303">
        <w:rPr>
          <w:rFonts w:ascii="Tahoma" w:hAnsi="Tahoma" w:cs="Tahoma"/>
          <w:szCs w:val="20"/>
        </w:rPr>
        <w:t>W przypadku gdy:</w:t>
      </w:r>
    </w:p>
    <w:p w:rsidR="008E039C" w:rsidRPr="00281303" w:rsidRDefault="008E039C" w:rsidP="00057A63">
      <w:pPr>
        <w:widowControl/>
        <w:numPr>
          <w:ilvl w:val="0"/>
          <w:numId w:val="165"/>
        </w:numPr>
        <w:tabs>
          <w:tab w:val="left" w:pos="567"/>
        </w:tabs>
        <w:spacing w:after="60"/>
        <w:jc w:val="both"/>
        <w:rPr>
          <w:rFonts w:ascii="Tahoma" w:hAnsi="Tahoma" w:cs="Tahoma"/>
        </w:rPr>
      </w:pPr>
      <w:r w:rsidRPr="00281303">
        <w:rPr>
          <w:rFonts w:ascii="Tahoma" w:hAnsi="Tahoma" w:cs="Tahoma"/>
        </w:rPr>
        <w:t xml:space="preserve"> w ramach projektu jest dokonywana kontrola i złożony został końcowy wniosek o płatność, termin jego weryfikacji ulega wstrzymaniu do dnia przekazania do IZ informacji </w:t>
      </w:r>
      <w:r w:rsidRPr="00281303">
        <w:rPr>
          <w:rFonts w:ascii="Tahoma" w:hAnsi="Tahoma" w:cs="Tahoma"/>
        </w:rPr>
        <w:br/>
        <w:t xml:space="preserve">o wykonaniu/zaniechaniu wykonania zaleceń pokontrolnych, chyba że wyniki kontroli zawarte </w:t>
      </w:r>
      <w:r w:rsidRPr="00281303">
        <w:rPr>
          <w:rFonts w:ascii="Tahoma" w:hAnsi="Tahoma" w:cs="Tahoma"/>
        </w:rPr>
        <w:br/>
        <w:t xml:space="preserve">w Informacji Pokontrolnej nie wskazują wystąpienia wydatków niekwalifikowalnych/nieprawidłowości w projekcie lub nie mają wpływu na rozliczenie końcowe projektu. </w:t>
      </w:r>
    </w:p>
    <w:p w:rsidR="008E039C" w:rsidRPr="00281303" w:rsidRDefault="008E039C" w:rsidP="008E039C">
      <w:pPr>
        <w:pStyle w:val="Pisma"/>
        <w:tabs>
          <w:tab w:val="left" w:pos="568"/>
        </w:tabs>
        <w:spacing w:after="60"/>
        <w:ind w:left="567" w:hanging="283"/>
        <w:rPr>
          <w:sz w:val="16"/>
          <w:szCs w:val="16"/>
        </w:rPr>
      </w:pPr>
      <w:r w:rsidRPr="00281303">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273068">
        <w:rPr>
          <w:rFonts w:ascii="Tahoma" w:hAnsi="Tahoma" w:cs="Tahoma"/>
          <w:szCs w:val="20"/>
        </w:rPr>
        <w:t xml:space="preserve">kwot ryczałtowych </w:t>
      </w:r>
      <w:r w:rsidRPr="00281303">
        <w:rPr>
          <w:rFonts w:ascii="Tahoma" w:hAnsi="Tahoma" w:cs="Tahoma"/>
          <w:szCs w:val="20"/>
        </w:rPr>
        <w:t xml:space="preserve"> i zatwierdzenia pozostałych </w:t>
      </w:r>
      <w:r w:rsidR="00273068">
        <w:rPr>
          <w:rFonts w:ascii="Tahoma" w:hAnsi="Tahoma" w:cs="Tahoma"/>
          <w:szCs w:val="20"/>
        </w:rPr>
        <w:t xml:space="preserve">kwot ryczałtowych </w:t>
      </w:r>
      <w:r w:rsidRPr="00281303">
        <w:rPr>
          <w:rFonts w:ascii="Tahoma" w:hAnsi="Tahoma" w:cs="Tahoma"/>
          <w:szCs w:val="20"/>
        </w:rPr>
        <w:t>wykazanych w danym wniosku o płatność</w:t>
      </w:r>
      <w:r w:rsidRPr="00281303">
        <w:rPr>
          <w:sz w:val="16"/>
          <w:szCs w:val="16"/>
        </w:rPr>
        <w:t>.</w:t>
      </w:r>
      <w:r w:rsidRPr="00281303">
        <w:rPr>
          <w:rStyle w:val="Odwoanieprzypisudolnego"/>
          <w:sz w:val="16"/>
          <w:szCs w:val="16"/>
        </w:rPr>
        <w:footnoteReference w:id="22"/>
      </w:r>
    </w:p>
    <w:p w:rsidR="008E039C" w:rsidRPr="00281303" w:rsidRDefault="008E039C" w:rsidP="00057A63">
      <w:pPr>
        <w:widowControl/>
        <w:numPr>
          <w:ilvl w:val="0"/>
          <w:numId w:val="166"/>
        </w:numPr>
        <w:spacing w:after="60"/>
        <w:jc w:val="both"/>
        <w:rPr>
          <w:rFonts w:ascii="Tahoma" w:hAnsi="Tahoma" w:cs="Tahoma"/>
        </w:rPr>
      </w:pPr>
      <w:r w:rsidRPr="00281303">
        <w:rPr>
          <w:rFonts w:ascii="Tahoma" w:hAnsi="Tahoma" w:cs="Tahoma"/>
        </w:rPr>
        <w:t>dokonywana jest kontrola planowa i złożony został wniosek o płatność</w:t>
      </w:r>
      <w:r w:rsidRPr="00281303">
        <w:rPr>
          <w:rStyle w:val="Odwoanieprzypisudolnego"/>
          <w:rFonts w:ascii="Tahoma" w:hAnsi="Tahoma"/>
        </w:rPr>
        <w:footnoteReference w:id="23"/>
      </w:r>
      <w:r w:rsidRPr="00281303">
        <w:rPr>
          <w:rFonts w:ascii="Tahoma" w:hAnsi="Tahoma" w:cs="Tahoma"/>
        </w:rPr>
        <w:t xml:space="preserve">, dokonywana jest jego weryfikacja z możliwością wyłączenia </w:t>
      </w:r>
      <w:r w:rsidR="00273068">
        <w:rPr>
          <w:rFonts w:ascii="Tahoma" w:hAnsi="Tahoma" w:cs="Tahoma"/>
        </w:rPr>
        <w:t xml:space="preserve"> kwot ryczałtowych </w:t>
      </w:r>
      <w:r w:rsidRPr="00281303">
        <w:rPr>
          <w:rFonts w:ascii="Tahoma" w:hAnsi="Tahoma" w:cs="Tahoma"/>
        </w:rPr>
        <w:t xml:space="preserve"> niekwalifikowalnych/nieprawidłowości </w:t>
      </w:r>
      <w:r w:rsidRPr="00281303">
        <w:rPr>
          <w:rFonts w:ascii="Tahoma" w:hAnsi="Tahoma" w:cs="Tahoma"/>
        </w:rPr>
        <w:br/>
        <w:t xml:space="preserve">w projekcie stwierdzonych na etapie kontroli.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lastRenderedPageBreak/>
        <w:t xml:space="preserve">W przypadku stwierdzenia błędów w złożonym wniosku o płatność, IZ wzywa Beneficjenta do poprawienia lub uzupełnienia wniosku lub złożenia dodatkowych wyjaśnień w wyznaczonym terminie. IZ może w szczególności wezwać Beneficjenta do złożenia dokumentów, w tym dokumentów wskazanych w </w:t>
      </w:r>
      <w:r w:rsidRPr="00281303">
        <w:rPr>
          <w:rFonts w:ascii="Tahoma" w:hAnsi="Tahoma" w:cs="Tahoma"/>
        </w:rPr>
        <w:t xml:space="preserve"> § 4 ust. 3</w:t>
      </w:r>
      <w:r w:rsidRPr="00281303">
        <w:rPr>
          <w:rFonts w:ascii="Tahoma" w:hAnsi="Tahoma" w:cs="Tahoma"/>
          <w:szCs w:val="20"/>
        </w:rPr>
        <w:t xml:space="preserve"> dotyczących projektu.</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 xml:space="preserve">Beneficjent zobowiązuje się do usunięcia błędów lub złożenia pisemnych wyjaśnień </w:t>
      </w:r>
      <w:r w:rsidRPr="00281303">
        <w:rPr>
          <w:rFonts w:ascii="Tahoma" w:hAnsi="Tahoma" w:cs="Tahoma"/>
        </w:rPr>
        <w:br/>
        <w:t>w wyznaczonym przez IZ terminie. W przypadku niedotrzymania ww. terminu</w:t>
      </w:r>
      <w:r w:rsidR="001B294D">
        <w:rPr>
          <w:rFonts w:ascii="Tahoma" w:hAnsi="Tahoma" w:cs="Tahoma"/>
        </w:rPr>
        <w:t xml:space="preserve"> mają zastosowanie przepisy § 25</w:t>
      </w:r>
      <w:r w:rsidRPr="00281303">
        <w:rPr>
          <w:rFonts w:ascii="Tahoma" w:hAnsi="Tahoma" w:cs="Tahoma"/>
        </w:rPr>
        <w:t xml:space="preserve"> niniejszej umowy.</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W przypadku niezłożenia przez Beneficjenta żądanych wyjaśnień lub niepoprawienia /nieuzupełnienia wniosku o płatność zgodnie z wymogami w terminie wyznaczonym przez IZ lub wystąpienia we wniosku o płatność kwot ryczałtowych uznanych za niekwalifikowa</w:t>
      </w:r>
      <w:r w:rsidRPr="00281303">
        <w:rPr>
          <w:rFonts w:ascii="Tahoma" w:hAnsi="Tahoma" w:cs="Tahoma"/>
        </w:rPr>
        <w:t>l</w:t>
      </w:r>
      <w:r w:rsidRPr="00281303">
        <w:rPr>
          <w:rFonts w:ascii="Tahoma" w:hAnsi="Tahoma" w:cs="Tahoma"/>
        </w:rPr>
        <w:t>ne/nieprawidłowe, IZ może podjąć decyzję o wyłączeniu z poświadczenia części kwot ryczałtowych objętych wnioskiem, nie wstrzymując jego zatwierdzenia. IZ po przyjęciu wyjaśnień Beneficjenta dotyczących wyłączanych kwot dokonuje ich ponownej kwalifikacji.</w:t>
      </w:r>
    </w:p>
    <w:p w:rsidR="008E039C" w:rsidRPr="00281303" w:rsidRDefault="008E039C" w:rsidP="00057A63">
      <w:pPr>
        <w:pStyle w:val="Standard"/>
        <w:numPr>
          <w:ilvl w:val="0"/>
          <w:numId w:val="17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po pozytywnym zweryfikowaniu wniosku o płatność, przekazuje Beneficjentowi w terminie, </w:t>
      </w:r>
      <w:r w:rsidRPr="00281303">
        <w:rPr>
          <w:rFonts w:ascii="Tahoma" w:hAnsi="Tahoma" w:cs="Tahoma"/>
          <w:sz w:val="20"/>
          <w:szCs w:val="20"/>
        </w:rPr>
        <w:br/>
        <w:t xml:space="preserve">o którym mowa w ust. 5 niniejszego paragrafu, informację o wynikach weryfikacji wniosku </w:t>
      </w:r>
      <w:r w:rsidRPr="00281303">
        <w:rPr>
          <w:rFonts w:ascii="Tahoma" w:hAnsi="Tahoma" w:cs="Tahoma"/>
          <w:sz w:val="20"/>
          <w:szCs w:val="20"/>
        </w:rPr>
        <w:br/>
        <w:t>o płatność przy czym informacja o zatwierdzeniu całości lub części wniosku o płatność powinna zawierać w szczególności:</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wysokość kwot ryczałtowych, które zostały uznane za niekwalifikowalne wraz z uzasadnieniem;</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 xml:space="preserve">zatwierdzoną kwotę rozliczanego dofinansowania w podziale na środki, o których mowa </w:t>
      </w:r>
      <w:r w:rsidRPr="00281303">
        <w:rPr>
          <w:rFonts w:ascii="Tahoma" w:hAnsi="Tahoma" w:cs="Tahoma"/>
          <w:sz w:val="20"/>
          <w:szCs w:val="20"/>
        </w:rPr>
        <w:br/>
        <w:t xml:space="preserve">w § 2 ust. 1 pkt 1 i 2 </w:t>
      </w:r>
      <w:r w:rsidRPr="00281303">
        <w:rPr>
          <w:rFonts w:ascii="Tahoma" w:hAnsi="Tahoma" w:cs="Tahoma"/>
          <w:iCs/>
          <w:sz w:val="20"/>
          <w:szCs w:val="20"/>
        </w:rPr>
        <w:t>oraz wkładu własnego</w:t>
      </w:r>
      <w:r w:rsidRPr="00281303">
        <w:rPr>
          <w:rStyle w:val="Odwoanieprzypisudolnego"/>
          <w:rFonts w:ascii="Tahoma" w:hAnsi="Tahoma" w:cs="Tahoma"/>
          <w:iCs/>
          <w:sz w:val="20"/>
          <w:szCs w:val="20"/>
        </w:rPr>
        <w:footnoteReference w:id="24"/>
      </w:r>
      <w:r w:rsidRPr="00281303">
        <w:rPr>
          <w:rFonts w:ascii="Tahoma" w:hAnsi="Tahoma" w:cs="Tahoma"/>
          <w:sz w:val="20"/>
          <w:szCs w:val="20"/>
          <w:vertAlign w:val="superscript"/>
        </w:rPr>
        <w:t xml:space="preserve"> </w:t>
      </w:r>
      <w:r w:rsidRPr="00281303">
        <w:rPr>
          <w:rFonts w:ascii="Tahoma" w:hAnsi="Tahoma" w:cs="Tahoma"/>
          <w:sz w:val="20"/>
          <w:szCs w:val="20"/>
        </w:rPr>
        <w:t>wynikającą z pomniejszenia kwot  rozliczanych we wniosku o płatność o kwoty niekwalifikowalne, o których mowa w pkt 1;</w:t>
      </w:r>
    </w:p>
    <w:p w:rsidR="009E3448"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W przypadku gdy projekt generuje na etapie realizacji dochody, Beneficjent wykazuje </w:t>
      </w:r>
      <w:r w:rsidRPr="00281303">
        <w:rPr>
          <w:rFonts w:ascii="Tahoma" w:hAnsi="Tahoma" w:cs="Tahoma"/>
          <w:sz w:val="20"/>
          <w:szCs w:val="20"/>
        </w:rPr>
        <w:br/>
        <w:t xml:space="preserve">we wnioskach o płatność wartość uzyskanego  dochodu i dokonuje jego zwrotu w terminie zgodnym  z § 8 </w:t>
      </w:r>
      <w:r w:rsidRPr="008537B3">
        <w:rPr>
          <w:rFonts w:ascii="Tahoma" w:hAnsi="Tahoma" w:cs="Tahoma"/>
          <w:sz w:val="20"/>
          <w:szCs w:val="20"/>
        </w:rPr>
        <w:t xml:space="preserve">ust. </w:t>
      </w:r>
      <w:r w:rsidR="008537B3" w:rsidRPr="008537B3">
        <w:rPr>
          <w:rFonts w:ascii="Tahoma" w:hAnsi="Tahoma" w:cs="Tahoma"/>
          <w:sz w:val="20"/>
          <w:szCs w:val="20"/>
        </w:rPr>
        <w:t>13</w:t>
      </w:r>
      <w:r w:rsidRPr="008537B3">
        <w:rPr>
          <w:rFonts w:ascii="Tahoma" w:hAnsi="Tahoma" w:cs="Tahoma"/>
          <w:sz w:val="20"/>
          <w:szCs w:val="20"/>
        </w:rPr>
        <w:t>,</w:t>
      </w:r>
      <w:r w:rsidRPr="00281303">
        <w:rPr>
          <w:rFonts w:ascii="Tahoma" w:hAnsi="Tahoma" w:cs="Tahoma"/>
          <w:sz w:val="20"/>
          <w:szCs w:val="20"/>
        </w:rPr>
        <w:t xml:space="preserve"> z zastrzeżeniem ust. 3, na rachunek IZ. Od wygenerowanego dochodu nie są naliczane odsetki.</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IZ może wezwać Beneficjenta do zwrotu  dochodu w innym terminie niż wskazany w § </w:t>
      </w:r>
      <w:r w:rsidRPr="008537B3">
        <w:rPr>
          <w:rFonts w:ascii="Tahoma" w:hAnsi="Tahoma" w:cs="Tahoma"/>
          <w:sz w:val="20"/>
          <w:szCs w:val="20"/>
        </w:rPr>
        <w:t xml:space="preserve">8 </w:t>
      </w:r>
      <w:r w:rsidR="008537B3" w:rsidRPr="008537B3">
        <w:rPr>
          <w:rFonts w:ascii="Tahoma" w:hAnsi="Tahoma" w:cs="Tahoma"/>
          <w:sz w:val="20"/>
          <w:szCs w:val="20"/>
        </w:rPr>
        <w:t>ust. 13</w:t>
      </w:r>
      <w:r w:rsidRPr="008537B3">
        <w:rPr>
          <w:rFonts w:ascii="Tahoma" w:hAnsi="Tahoma" w:cs="Tahoma"/>
          <w:sz w:val="20"/>
          <w:szCs w:val="20"/>
        </w:rPr>
        <w:t>.</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W przypadku naruszenia postanowień ust. 1-3 niniejszego paragrafu, stosu</w:t>
      </w:r>
      <w:r w:rsidR="001B294D">
        <w:rPr>
          <w:rFonts w:ascii="Tahoma" w:hAnsi="Tahoma" w:cs="Tahoma"/>
          <w:sz w:val="20"/>
          <w:szCs w:val="20"/>
        </w:rPr>
        <w:t>je się odpowiednio przepisy § 12</w:t>
      </w:r>
      <w:r w:rsidRPr="00281303">
        <w:rPr>
          <w:rFonts w:ascii="Tahoma" w:hAnsi="Tahoma" w:cs="Tahoma"/>
          <w:sz w:val="20"/>
          <w:szCs w:val="20"/>
        </w:rPr>
        <w:t>.</w:t>
      </w:r>
    </w:p>
    <w:p w:rsidR="00C52E65" w:rsidRPr="00281303" w:rsidRDefault="00C52E65" w:rsidP="00C52E65">
      <w:pPr>
        <w:pStyle w:val="Standard"/>
        <w:spacing w:after="60"/>
        <w:jc w:val="both"/>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12</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w:t>
      </w:r>
      <w:r w:rsidRPr="00281303">
        <w:rPr>
          <w:rFonts w:ascii="Tahoma" w:hAnsi="Tahoma" w:cs="Tahoma"/>
          <w:sz w:val="20"/>
          <w:szCs w:val="20"/>
        </w:rPr>
        <w:lastRenderedPageBreak/>
        <w:t xml:space="preserve">kalendarzowych od dnia doręczenia wezwania do zapłaty na rachunki bankowe wskazane przez </w:t>
      </w:r>
      <w:r w:rsidRPr="00281303">
        <w:rPr>
          <w:rFonts w:ascii="Tahoma" w:hAnsi="Tahoma" w:cs="Tahoma"/>
          <w:sz w:val="20"/>
          <w:szCs w:val="20"/>
        </w:rPr>
        <w:br/>
        <w:t>IZ w tym wezwaniu.</w:t>
      </w:r>
    </w:p>
    <w:p w:rsidR="00C52E65" w:rsidRPr="00281303" w:rsidRDefault="00C52E65" w:rsidP="00057A63">
      <w:pPr>
        <w:pStyle w:val="Standard"/>
        <w:numPr>
          <w:ilvl w:val="0"/>
          <w:numId w:val="20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dokonuje również zwrotu wydatków niekwalifikowalnych w ramach kwot ryczałtowych niestanowiących nieprawidłowości:  </w:t>
      </w:r>
    </w:p>
    <w:p w:rsidR="00C52E65" w:rsidRPr="00281303" w:rsidRDefault="00C52E65" w:rsidP="0049718E">
      <w:pPr>
        <w:pStyle w:val="Standard"/>
        <w:tabs>
          <w:tab w:val="left" w:pos="357"/>
        </w:tabs>
        <w:spacing w:after="60"/>
        <w:ind w:left="284"/>
        <w:jc w:val="both"/>
        <w:rPr>
          <w:rFonts w:ascii="Tahoma" w:hAnsi="Tahoma" w:cs="Tahoma"/>
          <w:sz w:val="20"/>
          <w:szCs w:val="20"/>
        </w:rPr>
      </w:pPr>
      <w:r w:rsidRPr="00281303">
        <w:rPr>
          <w:rFonts w:ascii="Tahoma" w:hAnsi="Tahoma" w:cs="Tahoma"/>
          <w:sz w:val="20"/>
          <w:szCs w:val="20"/>
        </w:rPr>
        <w:t>na koniec realizacji projektu, zwrot kwoty wydatku niekwalifikowalnego niestanowiącego nieprawidłowości następuje na rachunek IZ.</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t xml:space="preserve">6. W przypadku stwierdzenia nieprawidłowości, zwrot kwoty nieprawidłowości następuje na rachunek IZ. Beneficjent dokonuje opisu przelewu zwracanych środków, o których mowa  w ust. 1 i 4, zgodnie z zaleceniami  IZ, o których mowa w § 8 ust. </w:t>
      </w:r>
      <w:r w:rsidR="001253F0">
        <w:rPr>
          <w:rFonts w:ascii="Tahoma" w:hAnsi="Tahoma" w:cs="Tahoma"/>
          <w:sz w:val="20"/>
          <w:szCs w:val="20"/>
        </w:rPr>
        <w:t>19</w:t>
      </w:r>
      <w:r w:rsidRPr="00281303">
        <w:rPr>
          <w:rFonts w:ascii="Tahoma" w:hAnsi="Tahoma" w:cs="Tahoma"/>
          <w:sz w:val="20"/>
          <w:szCs w:val="20"/>
        </w:rPr>
        <w:t xml:space="preserve">.  </w:t>
      </w:r>
    </w:p>
    <w:p w:rsidR="00C52E65" w:rsidRPr="00281303" w:rsidRDefault="00C52E65" w:rsidP="00C52E65">
      <w:pPr>
        <w:widowControl/>
        <w:tabs>
          <w:tab w:val="left" w:pos="284"/>
        </w:tabs>
        <w:suppressAutoHyphens w:val="0"/>
        <w:autoSpaceDN/>
        <w:spacing w:after="60"/>
        <w:ind w:left="284" w:hanging="284"/>
        <w:jc w:val="both"/>
        <w:textAlignment w:val="auto"/>
        <w:rPr>
          <w:rFonts w:ascii="Tahoma" w:hAnsi="Tahoma" w:cs="Tahoma"/>
        </w:rPr>
      </w:pPr>
      <w:r w:rsidRPr="00281303">
        <w:rPr>
          <w:rFonts w:ascii="Tahoma" w:hAnsi="Tahoma" w:cs="Tahoma"/>
        </w:rPr>
        <w:t>7. Beneficjent jest zobowiązany do przedłożenia wyciągu bankowego potwierdzającego dokonanie zwrotu środków, o których mowa w ust.4.</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t>8. Beneficjent jest zobowiązany do ponoszenia udokumentowanych kosztów podejmowanych wobec niego działań windykacyjnych.</w:t>
      </w:r>
    </w:p>
    <w:p w:rsidR="00C52E65" w:rsidRPr="00281303" w:rsidRDefault="00C52E65" w:rsidP="00C52E65">
      <w:pPr>
        <w:pStyle w:val="Standard"/>
        <w:tabs>
          <w:tab w:val="left" w:pos="357"/>
        </w:tabs>
        <w:spacing w:after="60"/>
        <w:ind w:left="284"/>
        <w:jc w:val="both"/>
        <w:rPr>
          <w:rFonts w:ascii="Tahoma" w:hAnsi="Tahoma" w:cs="Tahoma"/>
          <w:sz w:val="20"/>
          <w:szCs w:val="20"/>
        </w:rPr>
      </w:pPr>
    </w:p>
    <w:p w:rsidR="00C52E65" w:rsidRPr="00281303" w:rsidRDefault="001B294D" w:rsidP="00C52E65">
      <w:pPr>
        <w:pStyle w:val="Akapitzlist"/>
        <w:spacing w:after="60"/>
        <w:ind w:left="0"/>
        <w:jc w:val="center"/>
        <w:rPr>
          <w:rFonts w:ascii="Tahoma" w:hAnsi="Tahoma" w:cs="Tahoma"/>
          <w:sz w:val="20"/>
          <w:szCs w:val="20"/>
        </w:rPr>
      </w:pPr>
      <w:r>
        <w:rPr>
          <w:rFonts w:ascii="Tahoma" w:hAnsi="Tahoma" w:cs="Tahoma"/>
          <w:sz w:val="20"/>
          <w:szCs w:val="20"/>
        </w:rPr>
        <w:t>§ 13</w:t>
      </w:r>
      <w:r w:rsidR="00C52E65" w:rsidRPr="00281303">
        <w:rPr>
          <w:rFonts w:ascii="Tahoma" w:hAnsi="Tahoma" w:cs="Tahoma"/>
          <w:sz w:val="20"/>
          <w:szCs w:val="20"/>
        </w:rPr>
        <w:t>.</w:t>
      </w:r>
    </w:p>
    <w:p w:rsidR="00C52E65" w:rsidRPr="00281303" w:rsidRDefault="00C52E65" w:rsidP="00C52E65">
      <w:pPr>
        <w:pStyle w:val="Akapitzlist"/>
        <w:tabs>
          <w:tab w:val="left" w:pos="786"/>
        </w:tabs>
        <w:spacing w:after="60"/>
        <w:ind w:left="0"/>
        <w:jc w:val="both"/>
        <w:rPr>
          <w:rFonts w:ascii="Tahoma" w:hAnsi="Tahoma" w:cs="Tahoma"/>
          <w:kern w:val="0"/>
          <w:sz w:val="20"/>
          <w:szCs w:val="20"/>
        </w:rPr>
      </w:pPr>
      <w:r w:rsidRPr="00281303">
        <w:rPr>
          <w:rFonts w:ascii="Tahoma" w:hAnsi="Tahoma" w:cs="Tahoma"/>
          <w:sz w:val="20"/>
          <w:szCs w:val="20"/>
        </w:rPr>
        <w:t xml:space="preserve">W przypadku stwierdzenia w projekcie nieprawidłowości wartość Projektu określona </w:t>
      </w:r>
      <w:r w:rsidRPr="00281303">
        <w:rPr>
          <w:rFonts w:ascii="Tahoma" w:hAnsi="Tahoma" w:cs="Tahoma"/>
          <w:sz w:val="20"/>
          <w:szCs w:val="20"/>
        </w:rPr>
        <w:br/>
        <w:t xml:space="preserve">w aktualnym wniosku, o którym mowa w § 8 ust. </w:t>
      </w:r>
      <w:r w:rsidRPr="00AE28D7">
        <w:rPr>
          <w:rFonts w:ascii="Tahoma" w:hAnsi="Tahoma" w:cs="Tahoma"/>
          <w:sz w:val="20"/>
          <w:szCs w:val="20"/>
        </w:rPr>
        <w:t>3,</w:t>
      </w:r>
      <w:r w:rsidRPr="00281303">
        <w:rPr>
          <w:rFonts w:ascii="Tahoma" w:hAnsi="Tahoma" w:cs="Tahoma"/>
          <w:sz w:val="20"/>
          <w:szCs w:val="20"/>
        </w:rPr>
        <w:t xml:space="preserve"> ulega odpowiedniemu pomniejszeniu o kwotę podlegającą zwrotowi. </w:t>
      </w:r>
      <w:r w:rsidRPr="00281303">
        <w:rPr>
          <w:rFonts w:ascii="Tahoma" w:hAnsi="Tahoma" w:cs="Tahoma"/>
          <w:kern w:val="0"/>
          <w:sz w:val="20"/>
          <w:szCs w:val="20"/>
        </w:rPr>
        <w:t>Kwota przypadająca na stwierdzoną w projekcie nieprawidłowość nie może zostać powtórnie wykorzystana w ramach projektu.</w:t>
      </w:r>
      <w:r w:rsidRPr="00281303">
        <w:t xml:space="preserve"> </w:t>
      </w:r>
      <w:r w:rsidRPr="00281303">
        <w:rPr>
          <w:rFonts w:ascii="Tahoma" w:hAnsi="Tahoma" w:cs="Tahoma"/>
          <w:kern w:val="0"/>
          <w:sz w:val="20"/>
          <w:szCs w:val="20"/>
        </w:rPr>
        <w:t>Zmiana, o której mowa w zdaniu pierwszym, nie wymaga formy aneksu do niniejszej umowy.</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14</w:t>
      </w:r>
      <w:r w:rsidRPr="00281303">
        <w:rPr>
          <w:rFonts w:ascii="Tahoma" w:hAnsi="Tahoma" w:cs="Tahoma"/>
          <w:sz w:val="20"/>
          <w:szCs w:val="20"/>
        </w:rPr>
        <w:t>.</w:t>
      </w:r>
      <w:r w:rsidRPr="00281303">
        <w:rPr>
          <w:rStyle w:val="Odwoanieprzypisudolnego"/>
          <w:rFonts w:ascii="Tahoma" w:hAnsi="Tahoma" w:cs="Tahoma"/>
          <w:sz w:val="20"/>
          <w:szCs w:val="20"/>
        </w:rPr>
        <w:footnoteReference w:id="25"/>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z wypełnioną deklaracją wystawcy weksla in </w:t>
      </w:r>
      <w:r w:rsidRPr="00281303">
        <w:rPr>
          <w:rFonts w:ascii="Tahoma" w:hAnsi="Tahoma" w:cs="Tahoma"/>
          <w:kern w:val="0"/>
          <w:sz w:val="20"/>
          <w:szCs w:val="20"/>
        </w:rPr>
        <w:t>blanco, z zastrzeżeniem ust. 4 i 5.</w:t>
      </w:r>
    </w:p>
    <w:p w:rsidR="00C52E65" w:rsidRPr="00281303" w:rsidRDefault="00C52E65" w:rsidP="00057A63">
      <w:pPr>
        <w:pStyle w:val="Akapitzlist"/>
        <w:numPr>
          <w:ilvl w:val="0"/>
          <w:numId w:val="140"/>
        </w:numPr>
        <w:ind w:left="284" w:hanging="284"/>
        <w:jc w:val="both"/>
        <w:rPr>
          <w:rFonts w:ascii="Tahoma" w:hAnsi="Tahoma" w:cs="Tahoma"/>
          <w:sz w:val="20"/>
          <w:szCs w:val="20"/>
        </w:rPr>
      </w:pPr>
      <w:r w:rsidRPr="00281303">
        <w:rPr>
          <w:rFonts w:ascii="Tahoma" w:hAnsi="Tahoma" w:cs="Tahoma"/>
          <w:sz w:val="20"/>
          <w:szCs w:val="20"/>
        </w:rPr>
        <w:t xml:space="preserve">Zwrot dokumentu stanowiącego zabezpieczenie umowy następuje na pisemny wniosek Beneficjenta po upływie okresu trwałości – jeśli dotyczy albo po upływie 12 miesięcy od ostatecznego rozliczenia umowy o dofinansowanie projektu tj.: </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zatwierdzenia końcowego wniosku o płatność;</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zwrocie środków niewykorzystanych przez Beneficjenta – jeśli dotyczy;</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niewystąpienia przez Beneficjenta z wnioskiem o zwrot zabezpieczenia w terminie wskazanym w ust 2, zabezpieczenie zostanie komisyjnie zniszczone.</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gdy wartość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7"/>
      </w:r>
      <w:r w:rsidRPr="00281303">
        <w:rPr>
          <w:rFonts w:ascii="Tahoma" w:hAnsi="Tahoma" w:cs="Tahoma"/>
          <w:sz w:val="20"/>
          <w:szCs w:val="20"/>
        </w:rPr>
        <w:t xml:space="preserve"> przez Beneficjenta na </w:t>
      </w:r>
      <w:r w:rsidR="0021389B">
        <w:rPr>
          <w:rFonts w:ascii="Tahoma" w:hAnsi="Tahoma" w:cs="Tahoma"/>
          <w:sz w:val="20"/>
          <w:szCs w:val="20"/>
        </w:rPr>
        <w:lastRenderedPageBreak/>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C52E65" w:rsidRPr="000B5DBC" w:rsidRDefault="00C52E65" w:rsidP="00C52E65">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p>
    <w:p w:rsidR="00365409" w:rsidRPr="00281303" w:rsidRDefault="00365409" w:rsidP="00C52E65">
      <w:pPr>
        <w:pStyle w:val="Standard"/>
        <w:spacing w:after="60"/>
        <w:jc w:val="both"/>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16</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281303">
        <w:rPr>
          <w:rStyle w:val="Odwoanieprzypisudolnego"/>
          <w:rFonts w:ascii="Tahoma" w:hAnsi="Tahoma" w:cs="Tahoma"/>
          <w:sz w:val="20"/>
          <w:szCs w:val="20"/>
        </w:rPr>
        <w:footnoteReference w:id="28"/>
      </w:r>
      <w:r w:rsidRPr="00281303">
        <w:rPr>
          <w:rFonts w:ascii="Tahoma" w:hAnsi="Tahoma" w:cs="Tahoma"/>
          <w:sz w:val="20"/>
          <w:szCs w:val="20"/>
          <w:vertAlign w:val="superscript"/>
        </w:rPr>
        <w:t>)</w:t>
      </w:r>
      <w:r w:rsidRPr="00281303">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w:t>
      </w:r>
      <w:r w:rsidR="0021389B">
        <w:rPr>
          <w:rFonts w:ascii="Tahoma" w:hAnsi="Tahoma" w:cs="Tahoma"/>
          <w:sz w:val="20"/>
          <w:szCs w:val="20"/>
        </w:rPr>
        <w:t xml:space="preserve">tkujące odbyciem przez </w:t>
      </w:r>
      <w:r w:rsidRPr="00281303">
        <w:rPr>
          <w:rFonts w:ascii="Tahoma" w:hAnsi="Tahoma" w:cs="Tahoma"/>
          <w:sz w:val="20"/>
          <w:szCs w:val="20"/>
        </w:rPr>
        <w:t>IZ bezprzedmiotowej wizyty monitoringowej, zaplanowanej w oparciu o nieaktualny harmonogram może spowodować obciążenie Beneficjenta kosztami delegacji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281303">
        <w:rPr>
          <w:rStyle w:val="Odwoanieprzypisudolnego"/>
          <w:rFonts w:ascii="Tahoma" w:hAnsi="Tahoma" w:cs="Tahoma"/>
          <w:sz w:val="20"/>
          <w:szCs w:val="20"/>
        </w:rPr>
        <w:footnoteReference w:id="29"/>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14</w:t>
      </w:r>
      <w:r w:rsidR="00AE28D7">
        <w:rPr>
          <w:rFonts w:ascii="Tahoma" w:hAnsi="Tahoma" w:cs="Tahoma"/>
          <w:sz w:val="20"/>
          <w:szCs w:val="20"/>
        </w:rPr>
        <w:t xml:space="preserve"> oraz w okresie wskazanym w § 19</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17</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856F13">
        <w:rPr>
          <w:rFonts w:ascii="Tahoma" w:hAnsi="Tahoma" w:cs="Tahoma"/>
          <w:sz w:val="20"/>
          <w:szCs w:val="20"/>
        </w:rPr>
        <w:t>unijnymi,</w:t>
      </w:r>
      <w:r w:rsidR="00856F13" w:rsidRPr="00281303">
        <w:rPr>
          <w:rFonts w:ascii="Tahoma" w:hAnsi="Tahoma" w:cs="Tahoma"/>
          <w:sz w:val="20"/>
          <w:szCs w:val="20"/>
        </w:rPr>
        <w:t xml:space="preserve"> </w:t>
      </w:r>
      <w:r w:rsidRPr="00281303">
        <w:rPr>
          <w:rFonts w:ascii="Tahoma" w:hAnsi="Tahoma" w:cs="Tahoma"/>
          <w:sz w:val="20"/>
          <w:szCs w:val="20"/>
        </w:rPr>
        <w:t>krajowymi oraz Wytycznymi.</w:t>
      </w:r>
    </w:p>
    <w:p w:rsidR="00C52E65" w:rsidRDefault="00C52E65" w:rsidP="00C52E65">
      <w:pPr>
        <w:pStyle w:val="Standard"/>
        <w:spacing w:after="60"/>
        <w:jc w:val="both"/>
        <w:rPr>
          <w:rFonts w:ascii="Tahoma" w:hAnsi="Tahoma" w:cs="Tahoma"/>
          <w:sz w:val="20"/>
          <w:szCs w:val="20"/>
        </w:rPr>
      </w:pP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lastRenderedPageBreak/>
        <w:t>§ 18</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 każdego z Partnerów.</w:t>
      </w:r>
      <w:r w:rsidRPr="00281303">
        <w:rPr>
          <w:rStyle w:val="Odwoanieprzypisudolnego"/>
          <w:rFonts w:ascii="Tahoma" w:hAnsi="Tahoma"/>
          <w:sz w:val="20"/>
          <w:szCs w:val="20"/>
        </w:rPr>
        <w:footnoteReference w:id="30"/>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Kontrole mogą być przeprowadzane w czasie wskazanym w art. 23 ust.3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C52E65" w:rsidRPr="00281303" w:rsidRDefault="00C52E65"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19</w:t>
      </w:r>
      <w:r w:rsidR="00C52E65"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281303">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281303">
        <w:rPr>
          <w:rFonts w:ascii="Tahoma" w:hAnsi="Tahoma" w:cs="Tahoma"/>
          <w:sz w:val="20"/>
          <w:szCs w:val="20"/>
        </w:rPr>
        <w:br/>
        <w:t>o dacie rozpoczęcia ww. okresów. Beneficjent przechowuje dokumentację w  </w:t>
      </w:r>
      <w:r w:rsidR="000B5DBC">
        <w:rPr>
          <w:rFonts w:ascii="Tahoma" w:hAnsi="Tahoma" w:cs="Tahoma"/>
          <w:sz w:val="20"/>
          <w:szCs w:val="20"/>
        </w:rPr>
        <w:t xml:space="preserve">sposób zapewniający dostępność, </w:t>
      </w:r>
      <w:r w:rsidRPr="00281303">
        <w:rPr>
          <w:rFonts w:ascii="Tahoma" w:hAnsi="Tahoma" w:cs="Tahoma"/>
          <w:sz w:val="20"/>
          <w:szCs w:val="20"/>
        </w:rPr>
        <w:t>p</w:t>
      </w:r>
      <w:r w:rsidR="000B5DBC">
        <w:rPr>
          <w:rFonts w:ascii="Tahoma" w:hAnsi="Tahoma" w:cs="Tahoma"/>
          <w:sz w:val="20"/>
          <w:szCs w:val="20"/>
        </w:rPr>
        <w:t xml:space="preserve">oufność i bezpieczeństwo, oraz </w:t>
      </w:r>
      <w:r w:rsidRPr="00281303">
        <w:rPr>
          <w:rFonts w:ascii="Tahoma" w:hAnsi="Tahoma" w:cs="Tahoma"/>
          <w:sz w:val="20"/>
          <w:szCs w:val="20"/>
        </w:rPr>
        <w:t>do informowania IZ o miejscu  przechowywania dokumentów związanych z realizowanym projektem.</w:t>
      </w:r>
    </w:p>
    <w:p w:rsidR="00C52E65" w:rsidRPr="00281303" w:rsidRDefault="00C52E65" w:rsidP="00C52E65">
      <w:pPr>
        <w:pStyle w:val="Standard"/>
        <w:numPr>
          <w:ilvl w:val="3"/>
          <w:numId w:val="24"/>
        </w:numPr>
        <w:tabs>
          <w:tab w:val="left" w:pos="284"/>
          <w:tab w:val="left" w:pos="568"/>
        </w:tabs>
        <w:ind w:left="284" w:hanging="284"/>
        <w:jc w:val="both"/>
        <w:rPr>
          <w:rFonts w:ascii="Tahoma" w:hAnsi="Tahoma" w:cs="Tahoma"/>
          <w:sz w:val="20"/>
          <w:szCs w:val="20"/>
        </w:rPr>
      </w:pPr>
      <w:r w:rsidRPr="00281303">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Pr="00281303">
        <w:rPr>
          <w:rStyle w:val="Odwoanieprzypisudolnego"/>
          <w:rFonts w:ascii="Tahoma" w:hAnsi="Tahoma"/>
          <w:sz w:val="20"/>
          <w:szCs w:val="20"/>
        </w:rPr>
        <w:footnoteReference w:id="31"/>
      </w:r>
      <w:r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r>
      <w:r w:rsidRPr="00281303">
        <w:rPr>
          <w:rFonts w:ascii="Tahoma" w:hAnsi="Tahoma" w:cs="Tahoma"/>
          <w:sz w:val="20"/>
          <w:szCs w:val="20"/>
        </w:rPr>
        <w:lastRenderedPageBreak/>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C52E65" w:rsidRPr="00281303" w:rsidRDefault="00C52E65" w:rsidP="00C52E65">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C52E65" w:rsidRPr="00281303" w:rsidRDefault="00C52E65" w:rsidP="00C52E65">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t>§ 20</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281303"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   Beneficjent jest zobowiązany do składania wniosków o płatność z wypełnioną częścią sprawozdawczą z wykorzystaniem LSI oraz ich podpisywania i przesyłania z wykorzystaniem platform elektronicznych SEKAP/</w:t>
      </w:r>
      <w:proofErr w:type="spellStart"/>
      <w:r w:rsidRPr="00281303">
        <w:rPr>
          <w:rFonts w:ascii="Tahoma" w:hAnsi="Tahoma" w:cs="Tahoma"/>
        </w:rPr>
        <w:t>ePUAP</w:t>
      </w:r>
      <w:proofErr w:type="spellEnd"/>
      <w:r w:rsidRPr="00281303">
        <w:rPr>
          <w:rFonts w:ascii="Tahoma" w:hAnsi="Tahoma" w:cs="Tahoma"/>
        </w:rPr>
        <w:t xml:space="preserve">, w terminach i według zasad określonych </w:t>
      </w:r>
      <w:r w:rsidRPr="00281303">
        <w:rPr>
          <w:rFonts w:ascii="Tahoma" w:hAnsi="Tahoma" w:cs="Tahoma"/>
        </w:rPr>
        <w:br/>
        <w:t>w aktualnych na moment składania wniosku instrukcjach;</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Beneficjent na wezwanie IZ RPO WSL jest zobowiązany do aktualizacji dokumentów aplikacyjnych w wersji elektronicznej z wykorzystaniem LSI oraz ich podpisywania </w:t>
      </w:r>
      <w:r w:rsidRPr="00281303">
        <w:rPr>
          <w:rFonts w:ascii="Tahoma" w:hAnsi="Tahoma" w:cs="Tahoma"/>
        </w:rPr>
        <w:br/>
        <w:t>i przesyłania z wykorzystaniem platform elektronicznych SEKAP/</w:t>
      </w:r>
      <w:proofErr w:type="spellStart"/>
      <w:r w:rsidRPr="00281303">
        <w:rPr>
          <w:rFonts w:ascii="Tahoma" w:hAnsi="Tahoma" w:cs="Tahoma"/>
        </w:rPr>
        <w:t>ePUAP</w:t>
      </w:r>
      <w:proofErr w:type="spellEnd"/>
      <w:r w:rsidRPr="00281303">
        <w:rPr>
          <w:rFonts w:ascii="Tahoma" w:hAnsi="Tahoma" w:cs="Tahoma"/>
        </w:rPr>
        <w:t xml:space="preserve">, zgodnie </w:t>
      </w:r>
      <w:r w:rsidRPr="00281303">
        <w:rPr>
          <w:rFonts w:ascii="Tahoma" w:hAnsi="Tahoma" w:cs="Tahoma"/>
        </w:rPr>
        <w:br/>
        <w:t>z instrukcjami aktualnymi na moment aktualizacji dokumentów;</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3)   Beneficjent jest zobowiązany do niezwłocznej aktualizacji harmonogramu składania wniosków </w:t>
      </w:r>
      <w:r w:rsidRPr="00281303">
        <w:rPr>
          <w:rFonts w:ascii="Tahoma" w:hAnsi="Tahoma" w:cs="Tahoma"/>
        </w:rPr>
        <w:br/>
        <w:t xml:space="preserve">o płatność w wersji elektronicznej z wykorzystaniem LSI, zgodnie z instrukcjami aktualnymi </w:t>
      </w:r>
      <w:r w:rsidRPr="00281303">
        <w:rPr>
          <w:rFonts w:ascii="Tahoma" w:hAnsi="Tahoma" w:cs="Tahoma"/>
        </w:rPr>
        <w:br/>
        <w:t>na moment składania harmonogramu;</w:t>
      </w:r>
    </w:p>
    <w:p w:rsidR="00C52E65" w:rsidRDefault="00C52E65" w:rsidP="00161473">
      <w:pPr>
        <w:tabs>
          <w:tab w:val="left" w:pos="567"/>
          <w:tab w:val="left" w:pos="709"/>
        </w:tabs>
        <w:spacing w:before="60"/>
        <w:ind w:left="709" w:hanging="425"/>
        <w:jc w:val="both"/>
        <w:rPr>
          <w:rFonts w:ascii="Tahoma" w:hAnsi="Tahoma" w:cs="Tahoma"/>
        </w:rPr>
      </w:pPr>
      <w:r w:rsidRPr="00281303">
        <w:rPr>
          <w:rFonts w:ascii="Tahoma" w:hAnsi="Tahoma" w:cs="Tahoma"/>
        </w:rPr>
        <w:t>4)    w przypadku niedostarczenia</w:t>
      </w:r>
      <w:r w:rsidR="00570D85">
        <w:rPr>
          <w:rFonts w:ascii="Tahoma" w:hAnsi="Tahoma" w:cs="Tahoma"/>
        </w:rPr>
        <w:t xml:space="preserve"> dokumentów wskazanych w pkt 1-3</w:t>
      </w:r>
      <w:r w:rsidRPr="00281303">
        <w:rPr>
          <w:rFonts w:ascii="Tahoma" w:hAnsi="Tahoma" w:cs="Tahoma"/>
        </w:rPr>
        <w:t xml:space="preserve"> lub w przypadku stwierdzenia braków lub błędów w tych dokumentach Beneficjent może zostać zobowiązany do ich poprawy lub uzupełnienia w terminie wyznaczonym przez IZ RPO WSL.</w:t>
      </w:r>
    </w:p>
    <w:p w:rsidR="00C52E65" w:rsidRPr="00281303" w:rsidRDefault="00165251" w:rsidP="00165251">
      <w:pPr>
        <w:tabs>
          <w:tab w:val="left" w:pos="567"/>
          <w:tab w:val="left" w:pos="709"/>
        </w:tabs>
        <w:spacing w:before="60"/>
        <w:ind w:left="284" w:hanging="284"/>
        <w:jc w:val="both"/>
        <w:rPr>
          <w:rFonts w:ascii="Tahoma" w:hAnsi="Tahoma" w:cs="Tahoma"/>
        </w:rPr>
      </w:pPr>
      <w:r>
        <w:rPr>
          <w:rFonts w:ascii="Tahoma" w:hAnsi="Tahoma" w:cs="Tahoma"/>
        </w:rPr>
        <w:t>2</w:t>
      </w:r>
      <w:r w:rsidR="00C52E65" w:rsidRPr="00281303">
        <w:rPr>
          <w:rFonts w:ascii="Tahoma" w:hAnsi="Tahoma" w:cs="Tahoma"/>
        </w:rPr>
        <w:t xml:space="preserve">.  Dokumenty dostarczane z wykorzystaniem komunikacji elektronicznej, są opatrzone bezpiecznym podpisem elektronicznym weryfikowanym przy pomocy kwalifikowanego certyfikatu lub certyfikatu CC SEKAP lub profilu zaufanego </w:t>
      </w:r>
      <w:proofErr w:type="spellStart"/>
      <w:r w:rsidR="00C52E65" w:rsidRPr="00281303">
        <w:rPr>
          <w:rFonts w:ascii="Tahoma" w:hAnsi="Tahoma" w:cs="Tahoma"/>
        </w:rPr>
        <w:t>ePUAP</w:t>
      </w:r>
      <w:proofErr w:type="spellEnd"/>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Pr="00281303">
        <w:rPr>
          <w:rStyle w:val="Odwoanieprzypisudolnego"/>
          <w:rFonts w:ascii="Tahoma" w:hAnsi="Tahoma"/>
        </w:rPr>
        <w:footnoteReference w:id="32"/>
      </w:r>
      <w:r w:rsidRPr="00281303">
        <w:rPr>
          <w:rFonts w:ascii="Tahoma" w:hAnsi="Tahoma" w:cs="Tahoma"/>
        </w:rPr>
        <w:t>,</w:t>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lastRenderedPageBreak/>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z IZ RPO WSL w celu zablokowania dostępu do usług świadczonych w ramach LSI do czasu 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9E49AB" w:rsidRDefault="009E49AB"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21</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 xml:space="preserve">Na podstawie art. 31 Ustawy z dnia 29 sierpnia 1997 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r w:rsidRPr="00281303">
        <w:rPr>
          <w:rFonts w:ascii="Tahoma" w:hAnsi="Tahoma" w:cs="Tahoma"/>
          <w:sz w:val="20"/>
          <w:szCs w:val="20"/>
        </w:rPr>
        <w:t xml:space="preserve"> Instytucja Zarządzająca Regionalnym Programem Operacyjnym Województwa Śląskiego na lata 2014-2020, powierza Beneficjentowi przetwarzanie danych osobowych w imieniu i na rzecz Instytucji Zarządzającej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 xml:space="preserve">i mogą być zawierane pod warunkiem niewyrażenia sprzeciwu przez Instytucję Zarządzającą </w:t>
      </w:r>
      <w:r w:rsidRPr="00281303">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281303">
        <w:rPr>
          <w:sz w:val="20"/>
          <w:szCs w:val="20"/>
        </w:rPr>
        <w:t xml:space="preserve"> </w:t>
      </w:r>
      <w:r w:rsidRPr="00281303">
        <w:rPr>
          <w:rFonts w:ascii="Tahoma" w:hAnsi="Tahoma" w:cs="Tahoma"/>
          <w:sz w:val="20"/>
          <w:szCs w:val="20"/>
        </w:rPr>
        <w:t xml:space="preserve">Zmiana wzoru oświadczenia przez Instytucję Zarządzającą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pokontrolnych Instytucji Zarządzającej, dotyczących poprawy jakości zabezpieczania danych osobowych oraz sposobu ich przetwarzania.</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Kontrolerzy Instytucji Zarządzającej mają w szczególności prawo:</w:t>
      </w:r>
    </w:p>
    <w:p w:rsidR="00C52E65" w:rsidRPr="00281303" w:rsidRDefault="00C52E65" w:rsidP="00057A63">
      <w:pPr>
        <w:pStyle w:val="Akapitzlist"/>
        <w:numPr>
          <w:ilvl w:val="0"/>
          <w:numId w:val="206"/>
        </w:numPr>
        <w:spacing w:after="60"/>
        <w:jc w:val="both"/>
        <w:rPr>
          <w:rFonts w:ascii="Tahoma" w:hAnsi="Tahoma" w:cs="Tahoma"/>
          <w:sz w:val="20"/>
        </w:rPr>
      </w:pPr>
      <w:r w:rsidRPr="00281303">
        <w:rPr>
          <w:rFonts w:ascii="Tahoma" w:hAnsi="Tahoma" w:cs="Tahoma"/>
          <w:sz w:val="20"/>
        </w:rPr>
        <w:t xml:space="preserve">wstępu, w godzinach pracy Beneficjenta, za okazaniem imiennego upoważnienia, </w:t>
      </w:r>
      <w:r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upoważnia Beneficjenta do wydawania i odwoływania imiennych upoważnień do przetwarzania danych osobowych i przechowywania ich w swojej siedzibie.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lastRenderedPageBreak/>
        <w:t xml:space="preserve">Wzór upoważnienia stanowi załącznik nr 12, a wzór odwołania upoważnienia stanowi załącznik </w:t>
      </w:r>
      <w:r w:rsidRPr="00281303">
        <w:rPr>
          <w:rFonts w:ascii="Tahoma" w:hAnsi="Tahoma" w:cs="Tahoma"/>
          <w:sz w:val="20"/>
          <w:szCs w:val="20"/>
        </w:rPr>
        <w:br/>
        <w:t>nr 13 do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Beneficjent prowadzi ewidencję osób upoważnionych do przetwarzania danych osobowych </w:t>
      </w:r>
      <w:r w:rsidRPr="00281303">
        <w:rPr>
          <w:rFonts w:ascii="Tahoma" w:hAnsi="Tahoma" w:cs="Tahoma"/>
          <w:sz w:val="20"/>
          <w:szCs w:val="20"/>
        </w:rPr>
        <w:br/>
        <w:t>w związku z wykonywaniem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udostępni na żądanie Instytucji Zarządzającej listę upoważnionych osób lub oryginały wydanych upoważnień.</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przekaże Instytucji Zarządzającej, na każde jej żądanie, wykaz podmiotów którym zostało powierzone przetwarzanie danych osobowych na mocy niniejszego paragrafu.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Przechowywanie powierzonych danych osobowych po zakończeniu realizacji niniejszego projektu odbywa się zgodnie z zapisami § 20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C52E65" w:rsidRPr="00281303" w:rsidRDefault="00C52E65" w:rsidP="00057A63">
      <w:pPr>
        <w:pStyle w:val="NormalnyWeb"/>
        <w:numPr>
          <w:ilvl w:val="0"/>
          <w:numId w:val="202"/>
        </w:numPr>
        <w:spacing w:before="0" w:after="60"/>
        <w:ind w:left="284" w:hanging="284"/>
        <w:jc w:val="both"/>
      </w:pPr>
      <w:r w:rsidRPr="00281303">
        <w:rPr>
          <w:rFonts w:ascii="Tahoma" w:hAnsi="Tahoma" w:cs="Tahoma"/>
          <w:sz w:val="20"/>
          <w:szCs w:val="20"/>
        </w:rPr>
        <w:t xml:space="preserve">W sprawach nieuregulowanych niniejszym paragrafem mają zastosowanie przepisy Ustawy </w:t>
      </w:r>
      <w:r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22</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365409" w:rsidRPr="00365409" w:rsidRDefault="00C52E65" w:rsidP="00365409">
      <w:pPr>
        <w:pStyle w:val="Standard"/>
        <w:numPr>
          <w:ilvl w:val="0"/>
          <w:numId w:val="208"/>
        </w:numPr>
        <w:tabs>
          <w:tab w:val="left" w:pos="357"/>
        </w:tabs>
        <w:spacing w:after="60"/>
        <w:ind w:left="284" w:hanging="284"/>
        <w:jc w:val="both"/>
        <w:rPr>
          <w:rFonts w:ascii="Tahoma" w:hAnsi="Tahoma" w:cs="Tahoma"/>
          <w:b/>
          <w:sz w:val="20"/>
          <w:szCs w:val="20"/>
        </w:rPr>
      </w:pPr>
      <w:r w:rsidRPr="00281303">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281303">
        <w:rPr>
          <w:rFonts w:ascii="Tahoma" w:hAnsi="Tahoma" w:cs="Tahoma"/>
          <w:sz w:val="20"/>
          <w:szCs w:val="20"/>
        </w:rPr>
        <w:br/>
        <w:t>na kwartał (zwłaszcza w zakresie terminów realizacji działań projektowych), w szczególności jeśli projekt ma charakter szkoleniowy.</w:t>
      </w:r>
    </w:p>
    <w:p w:rsidR="00365409" w:rsidRDefault="00365409" w:rsidP="000D4F22">
      <w:pPr>
        <w:pStyle w:val="Standard"/>
        <w:tabs>
          <w:tab w:val="left" w:pos="357"/>
        </w:tabs>
        <w:spacing w:after="60"/>
        <w:rPr>
          <w:rFonts w:ascii="Tahoma" w:hAnsi="Tahoma" w:cs="Tahoma"/>
          <w:b/>
          <w:sz w:val="20"/>
          <w:szCs w:val="20"/>
        </w:rPr>
      </w:pPr>
    </w:p>
    <w:p w:rsidR="004A1CD2" w:rsidRDefault="004A1CD2"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23</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3"/>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 z wykonawcą lub Partnerem, że autorskie prawa majątkowe do ww. utworu przysługują Beneficjentowi.</w:t>
      </w:r>
    </w:p>
    <w:p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4158F0" w:rsidRPr="00281303" w:rsidRDefault="004158F0" w:rsidP="00777064">
      <w:pPr>
        <w:pStyle w:val="Standard"/>
        <w:spacing w:after="60"/>
        <w:jc w:val="both"/>
        <w:rPr>
          <w:rFonts w:ascii="Tahoma" w:hAnsi="Tahoma" w:cs="Tahoma"/>
          <w:sz w:val="20"/>
          <w:szCs w:val="20"/>
        </w:rPr>
      </w:pPr>
    </w:p>
    <w:p w:rsidR="00295D72" w:rsidRPr="00281303" w:rsidRDefault="00295D72" w:rsidP="00295D72">
      <w:pPr>
        <w:pStyle w:val="xl33"/>
        <w:spacing w:before="0" w:after="60"/>
        <w:rPr>
          <w:rFonts w:ascii="Tahoma" w:hAnsi="Tahoma" w:cs="Tahoma"/>
          <w:b/>
        </w:rPr>
      </w:pPr>
      <w:r w:rsidRPr="00281303">
        <w:rPr>
          <w:rFonts w:ascii="Tahoma" w:hAnsi="Tahoma" w:cs="Tahoma"/>
          <w:b/>
        </w:rPr>
        <w:t>Zmiany w Projekcie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1B294D">
        <w:rPr>
          <w:rFonts w:ascii="Tahoma" w:hAnsi="Tahoma" w:cs="Tahoma"/>
          <w:szCs w:val="20"/>
        </w:rPr>
        <w:t>24</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Beneficjent może dokonywać zmian w Projekcie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planowanym zakończeniem realizacji Projektu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25</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mowy zgodnie z § 15</w:t>
      </w:r>
      <w:r w:rsidRPr="00281303">
        <w:rPr>
          <w:rFonts w:ascii="Tahoma" w:hAnsi="Tahoma" w:cs="Tahoma"/>
          <w:sz w:val="20"/>
          <w:szCs w:val="20"/>
        </w:rPr>
        <w:t>.</w:t>
      </w:r>
      <w:r w:rsidRPr="00281303">
        <w:rPr>
          <w:rStyle w:val="Odwoanieprzypisudolnego"/>
          <w:rFonts w:ascii="Tahoma" w:hAnsi="Tahoma" w:cs="Tahoma"/>
          <w:sz w:val="20"/>
          <w:szCs w:val="20"/>
        </w:rPr>
        <w:footnoteReference w:id="34"/>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ę kontroli, o której mowa w § 16</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 7 ust. 1, §</w:t>
      </w:r>
      <w:r w:rsidR="00BB43BF" w:rsidRPr="005C2B2E">
        <w:rPr>
          <w:rFonts w:ascii="Tahoma" w:hAnsi="Tahoma" w:cs="Tahoma"/>
          <w:sz w:val="20"/>
          <w:szCs w:val="20"/>
        </w:rPr>
        <w:t xml:space="preserve"> </w:t>
      </w:r>
      <w:r w:rsidR="00A81A66" w:rsidRPr="005C2B2E">
        <w:rPr>
          <w:rFonts w:ascii="Tahoma" w:hAnsi="Tahoma" w:cs="Tahoma"/>
          <w:sz w:val="20"/>
          <w:szCs w:val="20"/>
        </w:rPr>
        <w:t>8 ust. 8, § 9 ust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16</w:t>
      </w:r>
      <w:r w:rsidR="00A81A66" w:rsidRPr="008D089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odmówił podpisania aneksu w zakresie zmian wprowadzonych Wytycznymi, </w:t>
      </w:r>
      <w:r w:rsidRPr="00281303">
        <w:rPr>
          <w:rFonts w:ascii="Tahoma" w:hAnsi="Tahoma" w:cs="Tahoma"/>
          <w:sz w:val="20"/>
          <w:szCs w:val="20"/>
        </w:rPr>
        <w:br/>
        <w:t>o których mowa w § 1 pkt 27.</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26</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27</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28</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5"/>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5C2B2E">
        <w:rPr>
          <w:rFonts w:ascii="Tahoma" w:hAnsi="Tahoma" w:cs="Tahoma"/>
          <w:sz w:val="20"/>
          <w:szCs w:val="20"/>
        </w:rPr>
        <w:t>0</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5C2B2E">
        <w:rPr>
          <w:rFonts w:ascii="Tahoma" w:hAnsi="Tahoma" w:cs="Tahoma"/>
          <w:sz w:val="20"/>
          <w:szCs w:val="20"/>
        </w:rPr>
        <w:t>1</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eniem § 8 ust. 8, § 13 oraz § 24</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5C2B2E">
        <w:rPr>
          <w:rFonts w:ascii="Tahoma" w:hAnsi="Tahoma" w:cs="Tahoma"/>
          <w:sz w:val="20"/>
          <w:szCs w:val="20"/>
        </w:rPr>
        <w:t>2</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6"/>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37"/>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załącznik nr 6: Wzór Kwartalnego harmonogramu przeprowadzonych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Pr="00281303">
        <w:rPr>
          <w:rStyle w:val="Odwoanieprzypisudolnego"/>
          <w:rFonts w:ascii="Tahoma" w:hAnsi="Tahoma"/>
          <w:sz w:val="20"/>
          <w:szCs w:val="20"/>
        </w:rPr>
        <w:footnoteReference w:id="38"/>
      </w:r>
      <w:r w:rsidRPr="00281303">
        <w:rPr>
          <w:rFonts w:ascii="Tahoma" w:hAnsi="Tahoma" w:cs="Tahoma"/>
          <w:sz w:val="20"/>
          <w:szCs w:val="20"/>
        </w:rPr>
        <w:t>,</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11: Dane uczestników projektów RPO WSL 2014-2020,</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12: Wzór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13: Wzór odwołania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14: Obowiązki informacyjne Beneficjenta,</w:t>
      </w:r>
    </w:p>
    <w:p w:rsidR="00295D72" w:rsidRPr="00281303" w:rsidRDefault="00295D72" w:rsidP="00295D72">
      <w:pPr>
        <w:pStyle w:val="Standard"/>
        <w:tabs>
          <w:tab w:val="left" w:pos="567"/>
        </w:tabs>
        <w:spacing w:after="60" w:line="276" w:lineRule="auto"/>
        <w:ind w:left="284"/>
        <w:jc w:val="both"/>
        <w:rPr>
          <w:rFonts w:ascii="Tahoma" w:hAnsi="Tahoma" w:cs="Tahoma"/>
          <w:sz w:val="20"/>
          <w:szCs w:val="20"/>
        </w:rPr>
      </w:pPr>
    </w:p>
    <w:p w:rsidR="00295D72" w:rsidRPr="00281303" w:rsidRDefault="00295D72" w:rsidP="00295D72">
      <w:pPr>
        <w:pStyle w:val="Akapitzlist"/>
        <w:spacing w:after="60"/>
        <w:ind w:left="3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Skarbnik</w:t>
            </w:r>
            <w:r w:rsidR="00453520">
              <w:rPr>
                <w:sz w:val="18"/>
                <w:szCs w:val="18"/>
              </w:rPr>
              <w:t xml:space="preserve"> UM WSL</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10"/>
      <w:footerReference w:type="default" r:id="rId11"/>
      <w:headerReference w:type="first" r:id="rId12"/>
      <w:footerReference w:type="first" r:id="rId13"/>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B7" w:rsidRDefault="002E77B7" w:rsidP="00197B1C">
      <w:r>
        <w:separator/>
      </w:r>
    </w:p>
  </w:endnote>
  <w:endnote w:type="continuationSeparator" w:id="0">
    <w:p w:rsidR="002E77B7" w:rsidRDefault="002E77B7"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A1" w:rsidRDefault="001E34A1">
    <w:pPr>
      <w:pStyle w:val="Stopka"/>
      <w:jc w:val="right"/>
    </w:pPr>
    <w:r>
      <w:rPr>
        <w:noProof/>
      </w:rPr>
      <mc:AlternateContent>
        <mc:Choice Requires="wps">
          <w:drawing>
            <wp:anchor distT="0" distB="0" distL="114300" distR="114300" simplePos="0" relativeHeight="251660288" behindDoc="0" locked="0" layoutInCell="1" allowOverlap="1" wp14:anchorId="4803E209" wp14:editId="5803514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4A1" w:rsidRDefault="001E34A1">
                          <w:pPr>
                            <w:pStyle w:val="Stopka"/>
                          </w:pPr>
                          <w:r>
                            <w:rPr>
                              <w:rStyle w:val="Numerstrony"/>
                            </w:rPr>
                            <w:fldChar w:fldCharType="begin"/>
                          </w:r>
                          <w:r>
                            <w:rPr>
                              <w:rStyle w:val="Numerstrony"/>
                            </w:rPr>
                            <w:instrText xml:space="preserve"> PAGE </w:instrText>
                          </w:r>
                          <w:r>
                            <w:rPr>
                              <w:rStyle w:val="Numerstrony"/>
                            </w:rPr>
                            <w:fldChar w:fldCharType="separate"/>
                          </w:r>
                          <w:r w:rsidR="00243EB0">
                            <w:rPr>
                              <w:rStyle w:val="Numerstrony"/>
                              <w:noProof/>
                            </w:rPr>
                            <w:t>21</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1E34A1" w:rsidRDefault="001E34A1">
                    <w:pPr>
                      <w:pStyle w:val="Stopka"/>
                    </w:pPr>
                    <w:r>
                      <w:rPr>
                        <w:rStyle w:val="Numerstrony"/>
                      </w:rPr>
                      <w:fldChar w:fldCharType="begin"/>
                    </w:r>
                    <w:r>
                      <w:rPr>
                        <w:rStyle w:val="Numerstrony"/>
                      </w:rPr>
                      <w:instrText xml:space="preserve"> PAGE </w:instrText>
                    </w:r>
                    <w:r>
                      <w:rPr>
                        <w:rStyle w:val="Numerstrony"/>
                      </w:rPr>
                      <w:fldChar w:fldCharType="separate"/>
                    </w:r>
                    <w:r w:rsidR="00243EB0">
                      <w:rPr>
                        <w:rStyle w:val="Numerstrony"/>
                        <w:noProof/>
                      </w:rPr>
                      <w:t>21</w:t>
                    </w:r>
                    <w:r>
                      <w:rPr>
                        <w:rStyle w:val="Numerstrony"/>
                      </w:rPr>
                      <w:fldChar w:fldCharType="end"/>
                    </w:r>
                  </w:p>
                </w:txbxContent>
              </v:textbox>
              <w10:wrap type="square" anchorx="margin"/>
            </v:shape>
          </w:pict>
        </mc:Fallback>
      </mc:AlternateContent>
    </w:r>
  </w:p>
  <w:p w:rsidR="001E34A1" w:rsidRDefault="001E34A1">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A1" w:rsidRDefault="001E34A1">
    <w:pPr>
      <w:pStyle w:val="Stopka"/>
      <w:jc w:val="right"/>
    </w:pPr>
    <w:r>
      <w:fldChar w:fldCharType="begin"/>
    </w:r>
    <w:r>
      <w:instrText xml:space="preserve"> PAGE </w:instrText>
    </w:r>
    <w:r>
      <w:fldChar w:fldCharType="separate"/>
    </w:r>
    <w:r w:rsidR="00243EB0">
      <w:rPr>
        <w:noProof/>
      </w:rPr>
      <w:t>1</w:t>
    </w:r>
    <w:r>
      <w:rPr>
        <w:noProof/>
      </w:rPr>
      <w:fldChar w:fldCharType="end"/>
    </w:r>
  </w:p>
  <w:p w:rsidR="001E34A1" w:rsidRDefault="001E34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B7" w:rsidRDefault="002E77B7" w:rsidP="00197B1C">
      <w:r w:rsidRPr="00197B1C">
        <w:rPr>
          <w:color w:val="000000"/>
        </w:rPr>
        <w:separator/>
      </w:r>
    </w:p>
  </w:footnote>
  <w:footnote w:type="continuationSeparator" w:id="0">
    <w:p w:rsidR="002E77B7" w:rsidRDefault="002E77B7" w:rsidP="00197B1C">
      <w:r>
        <w:continuationSeparator/>
      </w:r>
    </w:p>
  </w:footnote>
  <w:footnote w:id="1">
    <w:p w:rsidR="001E34A1" w:rsidRDefault="001E34A1"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1E34A1" w:rsidRPr="00753170" w:rsidRDefault="001E34A1" w:rsidP="0068055D">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1E34A1" w:rsidRPr="00143F79" w:rsidRDefault="001E34A1"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1E34A1" w:rsidRDefault="001E34A1"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1E34A1" w:rsidRDefault="001E34A1" w:rsidP="00FA2916">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1E34A1" w:rsidRDefault="001E34A1" w:rsidP="00FA291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1E34A1" w:rsidRPr="005738D8" w:rsidRDefault="001E34A1"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1E34A1" w:rsidRPr="002C2820" w:rsidRDefault="001E34A1"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1E34A1" w:rsidRPr="002C2820" w:rsidRDefault="001E34A1"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1E34A1" w:rsidRPr="00353FCE" w:rsidRDefault="001E34A1" w:rsidP="00FA2916">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1E34A1" w:rsidRDefault="001E34A1">
      <w:pPr>
        <w:pStyle w:val="Tekstprzypisudolnego"/>
      </w:pPr>
      <w:r>
        <w:rPr>
          <w:rStyle w:val="Odwoanieprzypisudolnego"/>
        </w:rPr>
        <w:footnoteRef/>
      </w:r>
      <w:r>
        <w:t xml:space="preserve"> </w:t>
      </w:r>
      <w:r w:rsidRPr="004006BE">
        <w:rPr>
          <w:rFonts w:ascii="Tahoma" w:hAnsi="Tahoma" w:cs="Tahoma"/>
          <w:sz w:val="16"/>
          <w:szCs w:val="16"/>
        </w:rPr>
        <w:t>Należy wykazać wyłącznie te zadania, w który</w:t>
      </w:r>
      <w:r>
        <w:rPr>
          <w:rFonts w:ascii="Tahoma" w:hAnsi="Tahoma" w:cs="Tahoma"/>
          <w:sz w:val="16"/>
          <w:szCs w:val="16"/>
        </w:rPr>
        <w:t>ch ponoszone będą wydatki w ramach środków trwałych i cross-financingu.</w:t>
      </w:r>
    </w:p>
  </w:footnote>
  <w:footnote w:id="11">
    <w:p w:rsidR="001E34A1" w:rsidRPr="00F61F03" w:rsidRDefault="001E34A1"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2">
    <w:p w:rsidR="001E34A1" w:rsidRPr="002C2820" w:rsidRDefault="001E34A1"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3">
    <w:p w:rsidR="001E34A1" w:rsidRPr="00E27914" w:rsidRDefault="001E34A1"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Pr>
          <w:rFonts w:ascii="Tahoma" w:hAnsi="Tahoma" w:cs="Tahoma"/>
          <w:sz w:val="16"/>
          <w:szCs w:val="16"/>
        </w:rPr>
        <w:t>24</w:t>
      </w:r>
      <w:r w:rsidRPr="00467224">
        <w:rPr>
          <w:rFonts w:ascii="Tahoma" w:hAnsi="Tahoma" w:cs="Tahoma"/>
          <w:sz w:val="16"/>
          <w:szCs w:val="16"/>
        </w:rPr>
        <w:t xml:space="preserve"> </w:t>
      </w:r>
      <w:r w:rsidRPr="00E27914">
        <w:rPr>
          <w:rFonts w:ascii="Tahoma" w:hAnsi="Tahoma" w:cs="Tahoma"/>
          <w:sz w:val="16"/>
          <w:szCs w:val="16"/>
        </w:rPr>
        <w:t>ust. 1 umowy.</w:t>
      </w:r>
    </w:p>
  </w:footnote>
  <w:footnote w:id="14">
    <w:p w:rsidR="001E34A1" w:rsidRPr="00E27914" w:rsidRDefault="001E34A1"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5">
    <w:p w:rsidR="001E34A1" w:rsidRPr="00753170" w:rsidRDefault="001E34A1"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6">
    <w:p w:rsidR="001E34A1" w:rsidRPr="00753170" w:rsidRDefault="001E34A1"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7">
    <w:p w:rsidR="001E34A1" w:rsidRPr="00915B82" w:rsidRDefault="001E34A1"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8">
    <w:p w:rsidR="001E34A1" w:rsidRPr="00753170" w:rsidRDefault="001E34A1"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1E34A1" w:rsidRDefault="001E34A1">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 jeżeli Beneficjent  jest jednostką sektora finansów publicznych.</w:t>
      </w:r>
    </w:p>
  </w:footnote>
  <w:footnote w:id="20">
    <w:p w:rsidR="001E34A1" w:rsidRPr="001D63B6" w:rsidRDefault="001E34A1"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1">
    <w:p w:rsidR="001E34A1" w:rsidRPr="001D63B6" w:rsidRDefault="001E34A1"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22">
    <w:p w:rsidR="001E34A1" w:rsidRPr="001D63B6" w:rsidRDefault="001E34A1"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1E34A1" w:rsidRDefault="001E34A1"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4">
    <w:p w:rsidR="001E34A1" w:rsidRDefault="001E34A1" w:rsidP="008E039C">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5">
    <w:p w:rsidR="001E34A1" w:rsidRPr="004B580B" w:rsidRDefault="001E34A1"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6">
    <w:p w:rsidR="001E34A1" w:rsidRPr="004B580B" w:rsidRDefault="001E34A1"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7">
    <w:p w:rsidR="001E34A1" w:rsidRPr="00753170" w:rsidRDefault="001E34A1"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8">
    <w:p w:rsidR="001E34A1" w:rsidRDefault="001E34A1" w:rsidP="00C44294">
      <w:pPr>
        <w:pStyle w:val="Tekstprzypisudolnego"/>
        <w:rPr>
          <w:rFonts w:ascii="Tahoma" w:hAnsi="Tahoma" w:cs="Tahoma"/>
        </w:rPr>
      </w:pPr>
      <w:r>
        <w:rPr>
          <w:rStyle w:val="Odwoanieprzypisudolnego"/>
          <w:rFonts w:ascii="Tahoma" w:hAnsi="Tahoma" w:cs="Tahoma"/>
          <w:sz w:val="16"/>
          <w:szCs w:val="16"/>
        </w:rPr>
        <w:footnoteRef/>
      </w:r>
      <w:r>
        <w:rPr>
          <w:rFonts w:ascii="Tahoma" w:hAnsi="Tahoma" w:cs="Tahoma"/>
          <w:sz w:val="16"/>
          <w:szCs w:val="16"/>
        </w:rPr>
        <w:t>. W</w:t>
      </w:r>
      <w:r w:rsidRPr="00753170">
        <w:rPr>
          <w:rFonts w:ascii="Tahoma" w:hAnsi="Tahoma" w:cs="Tahoma"/>
          <w:sz w:val="16"/>
          <w:szCs w:val="16"/>
        </w:rPr>
        <w:t xml:space="preserve"> </w:t>
      </w:r>
      <w:r>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p>
  </w:footnote>
  <w:footnote w:id="29">
    <w:p w:rsidR="001E34A1" w:rsidRDefault="001E34A1"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0">
    <w:p w:rsidR="001E34A1" w:rsidRDefault="001E34A1" w:rsidP="00C52E65">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1">
    <w:p w:rsidR="001E34A1" w:rsidRDefault="001E34A1" w:rsidP="00C52E65">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2">
    <w:p w:rsidR="001E34A1" w:rsidRDefault="001E34A1"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33">
    <w:p w:rsidR="001C19F4" w:rsidRDefault="001C19F4" w:rsidP="001C19F4">
      <w:pPr>
        <w:pStyle w:val="Tekstprzypisudolnego"/>
        <w:jc w:val="both"/>
      </w:pPr>
      <w:r>
        <w:rPr>
          <w:rStyle w:val="Odwoanieprzypisudolnego"/>
        </w:rPr>
        <w:footnoteRef/>
      </w:r>
      <w:r>
        <w:t xml:space="preserve"> Utw</w:t>
      </w:r>
      <w:r w:rsidRPr="00C84F75">
        <w:rPr>
          <w:rFonts w:ascii="Tahoma" w:hAnsi="Tahoma" w:cs="Tahoma"/>
          <w:sz w:val="16"/>
          <w:szCs w:val="16"/>
        </w:rPr>
        <w:t xml:space="preserve">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34">
    <w:p w:rsidR="001E34A1" w:rsidRDefault="001E34A1" w:rsidP="00295D7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5">
    <w:p w:rsidR="001E34A1" w:rsidRDefault="001E34A1"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6">
    <w:p w:rsidR="001E34A1" w:rsidRPr="00E53EBC" w:rsidRDefault="001E34A1"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7">
    <w:p w:rsidR="001E34A1" w:rsidRPr="000D2126" w:rsidRDefault="001E34A1" w:rsidP="00295D72">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8">
    <w:p w:rsidR="001E34A1" w:rsidRDefault="001E34A1" w:rsidP="00295D72">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1E34A1" w:rsidRDefault="001E34A1"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A1" w:rsidRDefault="001E34A1">
    <w:pPr>
      <w:pStyle w:val="Nagwek"/>
    </w:pPr>
  </w:p>
  <w:p w:rsidR="001E34A1" w:rsidRDefault="001E34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A6" w:rsidRDefault="00B831A6" w:rsidP="00B831A6">
    <w:pPr>
      <w:widowControl/>
      <w:tabs>
        <w:tab w:val="center" w:pos="4536"/>
        <w:tab w:val="right" w:pos="9072"/>
      </w:tabs>
      <w:suppressAutoHyphens w:val="0"/>
      <w:rPr>
        <w:i/>
        <w:kern w:val="0"/>
        <w:lang w:eastAsia="en-US"/>
      </w:rPr>
    </w:pPr>
  </w:p>
  <w:p w:rsidR="00B831A6" w:rsidRDefault="00B831A6" w:rsidP="00B831A6">
    <w:pPr>
      <w:widowControl/>
      <w:tabs>
        <w:tab w:val="center" w:pos="4536"/>
        <w:tab w:val="right" w:pos="9072"/>
      </w:tabs>
      <w:suppressAutoHyphens w:val="0"/>
      <w:rPr>
        <w:i/>
        <w:kern w:val="0"/>
        <w:lang w:eastAsia="en-US"/>
      </w:rPr>
    </w:pPr>
    <w:r>
      <w:rPr>
        <w:i/>
        <w:kern w:val="0"/>
        <w:lang w:eastAsia="en-US"/>
      </w:rPr>
      <w:t>Załącznik nr 3a do Regulaminu konkursu nr RPSL.08.01.03-IZ.01-24-014/15 w ramach RPO WSL 2014-2020.</w:t>
    </w:r>
  </w:p>
  <w:p w:rsidR="001E34A1" w:rsidRDefault="001E34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79">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1">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3">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2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5623361"/>
    <w:multiLevelType w:val="multilevel"/>
    <w:tmpl w:val="8B0E1B88"/>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5">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6">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1">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8">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1"/>
  </w:num>
  <w:num w:numId="2">
    <w:abstractNumId w:val="21"/>
  </w:num>
  <w:num w:numId="3">
    <w:abstractNumId w:val="92"/>
  </w:num>
  <w:num w:numId="4">
    <w:abstractNumId w:val="66"/>
  </w:num>
  <w:num w:numId="5">
    <w:abstractNumId w:val="106"/>
  </w:num>
  <w:num w:numId="6">
    <w:abstractNumId w:val="103"/>
  </w:num>
  <w:num w:numId="7">
    <w:abstractNumId w:val="174"/>
  </w:num>
  <w:num w:numId="8">
    <w:abstractNumId w:val="4"/>
  </w:num>
  <w:num w:numId="9">
    <w:abstractNumId w:val="1"/>
  </w:num>
  <w:num w:numId="10">
    <w:abstractNumId w:val="17"/>
  </w:num>
  <w:num w:numId="11">
    <w:abstractNumId w:val="108"/>
  </w:num>
  <w:num w:numId="12">
    <w:abstractNumId w:val="26"/>
  </w:num>
  <w:num w:numId="13">
    <w:abstractNumId w:val="77"/>
  </w:num>
  <w:num w:numId="14">
    <w:abstractNumId w:val="46"/>
  </w:num>
  <w:num w:numId="15">
    <w:abstractNumId w:val="94"/>
  </w:num>
  <w:num w:numId="16">
    <w:abstractNumId w:val="57"/>
  </w:num>
  <w:num w:numId="17">
    <w:abstractNumId w:val="143"/>
  </w:num>
  <w:num w:numId="18">
    <w:abstractNumId w:val="101"/>
  </w:num>
  <w:num w:numId="19">
    <w:abstractNumId w:val="76"/>
  </w:num>
  <w:num w:numId="20">
    <w:abstractNumId w:val="105"/>
  </w:num>
  <w:num w:numId="21">
    <w:abstractNumId w:val="64"/>
  </w:num>
  <w:num w:numId="22">
    <w:abstractNumId w:val="125"/>
  </w:num>
  <w:num w:numId="23">
    <w:abstractNumId w:val="14"/>
  </w:num>
  <w:num w:numId="24">
    <w:abstractNumId w:val="116"/>
  </w:num>
  <w:num w:numId="25">
    <w:abstractNumId w:val="24"/>
  </w:num>
  <w:num w:numId="26">
    <w:abstractNumId w:val="14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rPr>
      </w:lvl>
    </w:lvlOverride>
  </w:num>
  <w:num w:numId="27">
    <w:abstractNumId w:val="72"/>
    <w:lvlOverride w:ilvl="0">
      <w:lvl w:ilvl="0">
        <w:start w:val="1"/>
        <w:numFmt w:val="decimal"/>
        <w:lvlText w:val="%1)"/>
        <w:lvlJc w:val="left"/>
        <w:rPr>
          <w:rFonts w:cs="Times New Roman"/>
          <w:b w:val="0"/>
          <w:i w:val="0"/>
          <w:color w:val="auto"/>
          <w:sz w:val="20"/>
          <w:szCs w:val="20"/>
        </w:rPr>
      </w:lvl>
    </w:lvlOverride>
  </w:num>
  <w:num w:numId="28">
    <w:abstractNumId w:val="81"/>
    <w:lvlOverride w:ilvl="1">
      <w:lvl w:ilvl="1">
        <w:start w:val="1"/>
        <w:numFmt w:val="decimal"/>
        <w:lvlText w:val="%2."/>
        <w:lvlJc w:val="left"/>
        <w:rPr>
          <w:color w:val="auto"/>
        </w:rPr>
      </w:lvl>
    </w:lvlOverride>
  </w:num>
  <w:num w:numId="29">
    <w:abstractNumId w:val="132"/>
    <w:lvlOverride w:ilvl="0">
      <w:lvl w:ilvl="0">
        <w:start w:val="1"/>
        <w:numFmt w:val="decimal"/>
        <w:lvlText w:val="%1)"/>
        <w:lvlJc w:val="left"/>
        <w:rPr>
          <w:rFonts w:cs="Times New Roman"/>
        </w:rPr>
      </w:lvl>
    </w:lvlOverride>
  </w:num>
  <w:num w:numId="30">
    <w:abstractNumId w:val="34"/>
  </w:num>
  <w:num w:numId="31">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6"/>
  </w:num>
  <w:num w:numId="33">
    <w:abstractNumId w:val="129"/>
  </w:num>
  <w:num w:numId="34">
    <w:abstractNumId w:val="75"/>
  </w:num>
  <w:num w:numId="35">
    <w:abstractNumId w:val="172"/>
  </w:num>
  <w:num w:numId="36">
    <w:abstractNumId w:val="123"/>
  </w:num>
  <w:num w:numId="37">
    <w:abstractNumId w:val="113"/>
  </w:num>
  <w:num w:numId="38">
    <w:abstractNumId w:val="74"/>
    <w:lvlOverride w:ilvl="0">
      <w:lvl w:ilvl="0">
        <w:start w:val="1"/>
        <w:numFmt w:val="decimal"/>
        <w:lvlText w:val="%1."/>
        <w:lvlJc w:val="left"/>
        <w:rPr>
          <w:rFonts w:cs="Times New Roman"/>
          <w:b w:val="0"/>
        </w:rPr>
      </w:lvl>
    </w:lvlOverride>
  </w:num>
  <w:num w:numId="39">
    <w:abstractNumId w:val="138"/>
  </w:num>
  <w:num w:numId="40">
    <w:abstractNumId w:val="164"/>
  </w:num>
  <w:num w:numId="41">
    <w:abstractNumId w:val="169"/>
  </w:num>
  <w:num w:numId="42">
    <w:abstractNumId w:val="86"/>
    <w:lvlOverride w:ilvl="0">
      <w:lvl w:ilvl="0">
        <w:start w:val="1"/>
        <w:numFmt w:val="decimal"/>
        <w:lvlText w:val="%1)"/>
        <w:lvlJc w:val="left"/>
        <w:rPr>
          <w:rFonts w:cs="Times New Roman"/>
        </w:rPr>
      </w:lvl>
    </w:lvlOverride>
  </w:num>
  <w:num w:numId="43">
    <w:abstractNumId w:val="79"/>
  </w:num>
  <w:num w:numId="44">
    <w:abstractNumId w:val="85"/>
  </w:num>
  <w:num w:numId="45">
    <w:abstractNumId w:val="146"/>
  </w:num>
  <w:num w:numId="46">
    <w:abstractNumId w:val="147"/>
  </w:num>
  <w:num w:numId="47">
    <w:abstractNumId w:val="5"/>
  </w:num>
  <w:num w:numId="48">
    <w:abstractNumId w:val="144"/>
  </w:num>
  <w:num w:numId="49">
    <w:abstractNumId w:val="54"/>
  </w:num>
  <w:num w:numId="50">
    <w:abstractNumId w:val="63"/>
  </w:num>
  <w:num w:numId="51">
    <w:abstractNumId w:val="121"/>
  </w:num>
  <w:num w:numId="52">
    <w:abstractNumId w:val="167"/>
  </w:num>
  <w:num w:numId="53">
    <w:abstractNumId w:val="120"/>
  </w:num>
  <w:num w:numId="54">
    <w:abstractNumId w:val="61"/>
  </w:num>
  <w:num w:numId="55">
    <w:abstractNumId w:val="97"/>
  </w:num>
  <w:num w:numId="56">
    <w:abstractNumId w:val="158"/>
    <w:lvlOverride w:ilvl="0">
      <w:lvl w:ilvl="0">
        <w:start w:val="1"/>
        <w:numFmt w:val="decimal"/>
        <w:lvlText w:val="%1)"/>
        <w:lvlJc w:val="left"/>
        <w:rPr>
          <w:rFonts w:cs="Times New Roman"/>
        </w:rPr>
      </w:lvl>
    </w:lvlOverride>
  </w:num>
  <w:num w:numId="57">
    <w:abstractNumId w:val="111"/>
  </w:num>
  <w:num w:numId="58">
    <w:abstractNumId w:val="178"/>
  </w:num>
  <w:num w:numId="59">
    <w:abstractNumId w:val="142"/>
  </w:num>
  <w:num w:numId="60">
    <w:abstractNumId w:val="159"/>
  </w:num>
  <w:num w:numId="61">
    <w:abstractNumId w:val="15"/>
  </w:num>
  <w:num w:numId="62">
    <w:abstractNumId w:val="50"/>
  </w:num>
  <w:num w:numId="63">
    <w:abstractNumId w:val="29"/>
  </w:num>
  <w:num w:numId="64">
    <w:abstractNumId w:val="170"/>
  </w:num>
  <w:num w:numId="65">
    <w:abstractNumId w:val="95"/>
  </w:num>
  <w:num w:numId="66">
    <w:abstractNumId w:val="82"/>
  </w:num>
  <w:num w:numId="67">
    <w:abstractNumId w:val="68"/>
  </w:num>
  <w:num w:numId="68">
    <w:abstractNumId w:val="37"/>
  </w:num>
  <w:num w:numId="69">
    <w:abstractNumId w:val="176"/>
  </w:num>
  <w:num w:numId="70">
    <w:abstractNumId w:val="80"/>
  </w:num>
  <w:num w:numId="71">
    <w:abstractNumId w:val="48"/>
  </w:num>
  <w:num w:numId="72">
    <w:abstractNumId w:val="151"/>
  </w:num>
  <w:num w:numId="73">
    <w:abstractNumId w:val="42"/>
  </w:num>
  <w:num w:numId="74">
    <w:abstractNumId w:val="104"/>
  </w:num>
  <w:num w:numId="75">
    <w:abstractNumId w:val="126"/>
  </w:num>
  <w:num w:numId="76">
    <w:abstractNumId w:val="154"/>
  </w:num>
  <w:num w:numId="77">
    <w:abstractNumId w:val="110"/>
  </w:num>
  <w:num w:numId="78">
    <w:abstractNumId w:val="7"/>
  </w:num>
  <w:num w:numId="79">
    <w:abstractNumId w:val="130"/>
  </w:num>
  <w:num w:numId="80">
    <w:abstractNumId w:val="155"/>
  </w:num>
  <w:num w:numId="81">
    <w:abstractNumId w:val="55"/>
  </w:num>
  <w:num w:numId="82">
    <w:abstractNumId w:val="112"/>
  </w:num>
  <w:num w:numId="83">
    <w:abstractNumId w:val="150"/>
  </w:num>
  <w:num w:numId="84">
    <w:abstractNumId w:val="177"/>
  </w:num>
  <w:num w:numId="85">
    <w:abstractNumId w:val="47"/>
  </w:num>
  <w:num w:numId="86">
    <w:abstractNumId w:val="156"/>
  </w:num>
  <w:num w:numId="87">
    <w:abstractNumId w:val="124"/>
  </w:num>
  <w:num w:numId="88">
    <w:abstractNumId w:val="83"/>
  </w:num>
  <w:num w:numId="89">
    <w:abstractNumId w:val="38"/>
  </w:num>
  <w:num w:numId="90">
    <w:abstractNumId w:val="166"/>
  </w:num>
  <w:num w:numId="91">
    <w:abstractNumId w:val="52"/>
  </w:num>
  <w:num w:numId="92">
    <w:abstractNumId w:val="56"/>
  </w:num>
  <w:num w:numId="93">
    <w:abstractNumId w:val="23"/>
  </w:num>
  <w:num w:numId="94">
    <w:abstractNumId w:val="31"/>
  </w:num>
  <w:num w:numId="95">
    <w:abstractNumId w:val="98"/>
  </w:num>
  <w:num w:numId="96">
    <w:abstractNumId w:val="40"/>
  </w:num>
  <w:num w:numId="97">
    <w:abstractNumId w:val="165"/>
  </w:num>
  <w:num w:numId="98">
    <w:abstractNumId w:val="115"/>
  </w:num>
  <w:num w:numId="99">
    <w:abstractNumId w:val="131"/>
  </w:num>
  <w:num w:numId="100">
    <w:abstractNumId w:val="118"/>
  </w:num>
  <w:num w:numId="101">
    <w:abstractNumId w:val="59"/>
  </w:num>
  <w:num w:numId="102">
    <w:abstractNumId w:val="168"/>
  </w:num>
  <w:num w:numId="103">
    <w:abstractNumId w:val="27"/>
  </w:num>
  <w:num w:numId="104">
    <w:abstractNumId w:val="99"/>
  </w:num>
  <w:num w:numId="105">
    <w:abstractNumId w:val="49"/>
  </w:num>
  <w:num w:numId="106">
    <w:abstractNumId w:val="60"/>
  </w:num>
  <w:num w:numId="107">
    <w:abstractNumId w:val="16"/>
  </w:num>
  <w:num w:numId="108">
    <w:abstractNumId w:val="88"/>
  </w:num>
  <w:num w:numId="109">
    <w:abstractNumId w:val="8"/>
  </w:num>
  <w:num w:numId="110">
    <w:abstractNumId w:val="84"/>
  </w:num>
  <w:num w:numId="111">
    <w:abstractNumId w:val="71"/>
  </w:num>
  <w:num w:numId="112">
    <w:abstractNumId w:val="160"/>
  </w:num>
  <w:num w:numId="113">
    <w:abstractNumId w:val="122"/>
  </w:num>
  <w:num w:numId="114">
    <w:abstractNumId w:val="148"/>
    <w:lvlOverride w:ilvl="0">
      <w:lvl w:ilvl="0">
        <w:start w:val="1"/>
        <w:numFmt w:val="decimal"/>
        <w:lvlText w:val="%1)"/>
        <w:lvlJc w:val="left"/>
      </w:lvl>
    </w:lvlOverride>
  </w:num>
  <w:num w:numId="115">
    <w:abstractNumId w:val="78"/>
  </w:num>
  <w:num w:numId="116">
    <w:abstractNumId w:val="119"/>
  </w:num>
  <w:num w:numId="117">
    <w:abstractNumId w:val="107"/>
  </w:num>
  <w:num w:numId="118">
    <w:abstractNumId w:val="175"/>
  </w:num>
  <w:num w:numId="119">
    <w:abstractNumId w:val="6"/>
  </w:num>
  <w:num w:numId="120">
    <w:abstractNumId w:val="114"/>
  </w:num>
  <w:num w:numId="121">
    <w:abstractNumId w:val="19"/>
  </w:num>
  <w:num w:numId="122">
    <w:abstractNumId w:val="62"/>
  </w:num>
  <w:num w:numId="123">
    <w:abstractNumId w:val="152"/>
  </w:num>
  <w:num w:numId="124">
    <w:abstractNumId w:val="45"/>
  </w:num>
  <w:num w:numId="125">
    <w:abstractNumId w:val="33"/>
  </w:num>
  <w:num w:numId="126">
    <w:abstractNumId w:val="25"/>
  </w:num>
  <w:num w:numId="127">
    <w:abstractNumId w:val="181"/>
  </w:num>
  <w:num w:numId="128">
    <w:abstractNumId w:val="128"/>
  </w:num>
  <w:num w:numId="129">
    <w:abstractNumId w:val="11"/>
  </w:num>
  <w:num w:numId="130">
    <w:abstractNumId w:val="93"/>
  </w:num>
  <w:num w:numId="131">
    <w:abstractNumId w:val="173"/>
  </w:num>
  <w:num w:numId="132">
    <w:abstractNumId w:val="12"/>
  </w:num>
  <w:num w:numId="133">
    <w:abstractNumId w:val="134"/>
  </w:num>
  <w:num w:numId="134">
    <w:abstractNumId w:val="97"/>
    <w:lvlOverride w:ilvl="0">
      <w:startOverride w:val="1"/>
      <w:lvl w:ilvl="0">
        <w:start w:val="1"/>
        <w:numFmt w:val="decimal"/>
        <w:lvlText w:val="%1."/>
        <w:lvlJc w:val="left"/>
        <w:rPr>
          <w:rFonts w:cs="Times New Roman"/>
          <w:color w:val="00000A"/>
        </w:rPr>
      </w:lvl>
    </w:lvlOverride>
  </w:num>
  <w:num w:numId="135">
    <w:abstractNumId w:val="148"/>
    <w:lvlOverride w:ilvl="0">
      <w:startOverride w:val="1"/>
      <w:lvl w:ilvl="0">
        <w:start w:val="1"/>
        <w:numFmt w:val="decimal"/>
        <w:lvlText w:val="%1)"/>
        <w:lvlJc w:val="left"/>
      </w:lvl>
    </w:lvlOverride>
  </w:num>
  <w:num w:numId="136">
    <w:abstractNumId w:val="39"/>
    <w:lvlOverride w:ilvl="0">
      <w:startOverride w:val="1"/>
    </w:lvlOverride>
  </w:num>
  <w:num w:numId="137">
    <w:abstractNumId w:val="158"/>
    <w:lvlOverride w:ilvl="0">
      <w:startOverride w:val="1"/>
      <w:lvl w:ilvl="0">
        <w:start w:val="1"/>
        <w:numFmt w:val="decimal"/>
        <w:lvlText w:val="%1)"/>
        <w:lvlJc w:val="left"/>
        <w:rPr>
          <w:rFonts w:cs="Times New Roman"/>
        </w:rPr>
      </w:lvl>
    </w:lvlOverride>
  </w:num>
  <w:num w:numId="138">
    <w:abstractNumId w:val="15"/>
    <w:lvlOverride w:ilvl="0">
      <w:startOverride w:val="1"/>
      <w:lvl w:ilvl="0">
        <w:start w:val="1"/>
        <w:numFmt w:val="decimal"/>
        <w:lvlText w:val="%1)"/>
        <w:lvlJc w:val="left"/>
        <w:rPr>
          <w:rFonts w:cs="Times New Roman"/>
        </w:rPr>
      </w:lvl>
    </w:lvlOverride>
  </w:num>
  <w:num w:numId="139">
    <w:abstractNumId w:val="180"/>
    <w:lvlOverride w:ilvl="0">
      <w:startOverride w:val="1"/>
      <w:lvl w:ilvl="0">
        <w:start w:val="1"/>
        <w:numFmt w:val="decimal"/>
        <w:lvlText w:val="%1."/>
        <w:lvlJc w:val="left"/>
        <w:rPr>
          <w:rFonts w:cs="Times New Roman"/>
        </w:rPr>
      </w:lvl>
    </w:lvlOverride>
  </w:num>
  <w:num w:numId="140">
    <w:abstractNumId w:val="11"/>
    <w:lvlOverride w:ilvl="0">
      <w:lvl w:ilvl="0">
        <w:start w:val="1"/>
        <w:numFmt w:val="decimal"/>
        <w:lvlText w:val="%1."/>
        <w:lvlJc w:val="left"/>
        <w:rPr>
          <w:rFonts w:ascii="Tahoma" w:hAnsi="Tahoma" w:cs="Tahoma" w:hint="default"/>
          <w:color w:val="auto"/>
          <w:sz w:val="20"/>
          <w:szCs w:val="20"/>
        </w:rPr>
      </w:lvl>
    </w:lvlOverride>
  </w:num>
  <w:num w:numId="141">
    <w:abstractNumId w:val="63"/>
    <w:lvlOverride w:ilvl="0">
      <w:startOverride w:val="1"/>
    </w:lvlOverride>
  </w:num>
  <w:num w:numId="142">
    <w:abstractNumId w:val="24"/>
    <w:lvlOverride w:ilvl="0">
      <w:startOverride w:val="1"/>
      <w:lvl w:ilvl="0">
        <w:start w:val="1"/>
        <w:numFmt w:val="decimal"/>
        <w:lvlText w:val="%1."/>
        <w:lvlJc w:val="left"/>
        <w:rPr>
          <w:rFonts w:cs="Times New Roman"/>
        </w:rPr>
      </w:lvl>
    </w:lvlOverride>
  </w:num>
  <w:num w:numId="143">
    <w:abstractNumId w:val="144"/>
    <w:lvlOverride w:ilvl="0">
      <w:startOverride w:val="1"/>
    </w:lvlOverride>
  </w:num>
  <w:num w:numId="144">
    <w:abstractNumId w:val="70"/>
  </w:num>
  <w:num w:numId="145">
    <w:abstractNumId w:val="91"/>
  </w:num>
  <w:num w:numId="146">
    <w:abstractNumId w:val="28"/>
  </w:num>
  <w:num w:numId="147">
    <w:abstractNumId w:val="157"/>
  </w:num>
  <w:num w:numId="148">
    <w:abstractNumId w:val="13"/>
  </w:num>
  <w:num w:numId="149">
    <w:abstractNumId w:val="41"/>
  </w:num>
  <w:num w:numId="150">
    <w:abstractNumId w:val="179"/>
  </w:num>
  <w:num w:numId="151">
    <w:abstractNumId w:val="2"/>
  </w:num>
  <w:num w:numId="152">
    <w:abstractNumId w:val="153"/>
  </w:num>
  <w:num w:numId="153">
    <w:abstractNumId w:val="72"/>
  </w:num>
  <w:num w:numId="154">
    <w:abstractNumId w:val="141"/>
  </w:num>
  <w:num w:numId="155">
    <w:abstractNumId w:val="44"/>
  </w:num>
  <w:num w:numId="156">
    <w:abstractNumId w:val="53"/>
  </w:num>
  <w:num w:numId="157">
    <w:abstractNumId w:val="86"/>
  </w:num>
  <w:num w:numId="158">
    <w:abstractNumId w:val="132"/>
  </w:num>
  <w:num w:numId="159">
    <w:abstractNumId w:val="148"/>
  </w:num>
  <w:num w:numId="160">
    <w:abstractNumId w:val="58"/>
  </w:num>
  <w:num w:numId="161">
    <w:abstractNumId w:val="90"/>
  </w:num>
  <w:num w:numId="162">
    <w:abstractNumId w:val="158"/>
  </w:num>
  <w:num w:numId="163">
    <w:abstractNumId w:val="133"/>
  </w:num>
  <w:num w:numId="164">
    <w:abstractNumId w:val="96"/>
  </w:num>
  <w:num w:numId="165">
    <w:abstractNumId w:val="145"/>
  </w:num>
  <w:num w:numId="166">
    <w:abstractNumId w:val="43"/>
  </w:num>
  <w:num w:numId="167">
    <w:abstractNumId w:val="0"/>
  </w:num>
  <w:num w:numId="168">
    <w:abstractNumId w:val="3"/>
  </w:num>
  <w:num w:numId="169">
    <w:abstractNumId w:val="35"/>
  </w:num>
  <w:num w:numId="170">
    <w:abstractNumId w:val="39"/>
  </w:num>
  <w:num w:numId="171">
    <w:abstractNumId w:val="100"/>
  </w:num>
  <w:num w:numId="172">
    <w:abstractNumId w:val="127"/>
  </w:num>
  <w:num w:numId="173">
    <w:abstractNumId w:val="20"/>
  </w:num>
  <w:num w:numId="174">
    <w:abstractNumId w:val="69"/>
  </w:num>
  <w:num w:numId="175">
    <w:abstractNumId w:val="140"/>
  </w:num>
  <w:num w:numId="176">
    <w:abstractNumId w:val="36"/>
  </w:num>
  <w:num w:numId="177">
    <w:abstractNumId w:val="9"/>
  </w:num>
  <w:num w:numId="178">
    <w:abstractNumId w:val="74"/>
  </w:num>
  <w:num w:numId="179">
    <w:abstractNumId w:val="180"/>
  </w:num>
  <w:num w:numId="180">
    <w:abstractNumId w:val="162"/>
  </w:num>
  <w:num w:numId="181">
    <w:abstractNumId w:val="73"/>
  </w:num>
  <w:num w:numId="182">
    <w:abstractNumId w:val="149"/>
  </w:num>
  <w:num w:numId="183">
    <w:abstractNumId w:val="87"/>
  </w:num>
  <w:num w:numId="184">
    <w:abstractNumId w:val="22"/>
  </w:num>
  <w:num w:numId="185">
    <w:abstractNumId w:val="65"/>
  </w:num>
  <w:num w:numId="186">
    <w:abstractNumId w:val="81"/>
  </w:num>
  <w:num w:numId="187">
    <w:abstractNumId w:val="100"/>
    <w:lvlOverride w:ilvl="0">
      <w:lvl w:ilvl="0">
        <w:start w:val="1"/>
        <w:numFmt w:val="decimal"/>
        <w:lvlText w:val="%1)"/>
        <w:lvlJc w:val="left"/>
      </w:lvl>
    </w:lvlOverride>
  </w:num>
  <w:num w:numId="188">
    <w:abstractNumId w:val="100"/>
    <w:lvlOverride w:ilvl="0">
      <w:startOverride w:val="1"/>
      <w:lvl w:ilvl="0">
        <w:start w:val="1"/>
        <w:numFmt w:val="decimal"/>
        <w:lvlText w:val="%1)"/>
        <w:lvlJc w:val="left"/>
      </w:lvl>
    </w:lvlOverride>
  </w:num>
  <w:num w:numId="189">
    <w:abstractNumId w:val="139"/>
  </w:num>
  <w:num w:numId="190">
    <w:abstractNumId w:val="109"/>
  </w:num>
  <w:num w:numId="191">
    <w:abstractNumId w:val="153"/>
    <w:lvlOverride w:ilvl="0">
      <w:startOverride w:val="1"/>
    </w:lvlOverride>
  </w:num>
  <w:num w:numId="192">
    <w:abstractNumId w:val="89"/>
  </w:num>
  <w:num w:numId="193">
    <w:abstractNumId w:val="15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8"/>
  </w:num>
  <w:num w:numId="195">
    <w:abstractNumId w:val="58"/>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29"/>
    <w:lvlOverride w:ilvl="0">
      <w:startOverride w:val="1"/>
      <w:lvl w:ilvl="0">
        <w:start w:val="1"/>
        <w:numFmt w:val="decimal"/>
        <w:lvlText w:val="%1."/>
        <w:lvlJc w:val="left"/>
        <w:rPr>
          <w:rFonts w:cs="Times New Roman"/>
        </w:rPr>
      </w:lvl>
    </w:lvlOverride>
  </w:num>
  <w:num w:numId="197">
    <w:abstractNumId w:val="58"/>
    <w:lvlOverride w:ilvl="0">
      <w:startOverride w:val="1"/>
    </w:lvlOverride>
  </w:num>
  <w:num w:numId="198">
    <w:abstractNumId w:val="90"/>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0"/>
  </w:num>
  <w:num w:numId="200">
    <w:abstractNumId w:val="161"/>
  </w:num>
  <w:num w:numId="201">
    <w:abstractNumId w:val="135"/>
  </w:num>
  <w:num w:numId="202">
    <w:abstractNumId w:val="137"/>
  </w:num>
  <w:num w:numId="203">
    <w:abstractNumId w:val="171"/>
  </w:num>
  <w:num w:numId="204">
    <w:abstractNumId w:val="32"/>
  </w:num>
  <w:num w:numId="205">
    <w:abstractNumId w:val="10"/>
  </w:num>
  <w:num w:numId="206">
    <w:abstractNumId w:val="163"/>
  </w:num>
  <w:num w:numId="207">
    <w:abstractNumId w:val="90"/>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2"/>
  </w:num>
  <w:num w:numId="209">
    <w:abstractNumId w:val="81"/>
  </w:num>
  <w:num w:numId="210">
    <w:abstractNumId w:val="67"/>
  </w:num>
  <w:num w:numId="211">
    <w:abstractNumId w:val="11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71227"/>
    <w:rsid w:val="00072802"/>
    <w:rsid w:val="00077050"/>
    <w:rsid w:val="000775FC"/>
    <w:rsid w:val="0008087A"/>
    <w:rsid w:val="00082B5C"/>
    <w:rsid w:val="00086311"/>
    <w:rsid w:val="0008704E"/>
    <w:rsid w:val="00087991"/>
    <w:rsid w:val="00091841"/>
    <w:rsid w:val="00091CEE"/>
    <w:rsid w:val="000923B3"/>
    <w:rsid w:val="00093B43"/>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7690"/>
    <w:rsid w:val="000C7A4F"/>
    <w:rsid w:val="000D009E"/>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63C"/>
    <w:rsid w:val="001539CE"/>
    <w:rsid w:val="00155114"/>
    <w:rsid w:val="001555DF"/>
    <w:rsid w:val="0015658D"/>
    <w:rsid w:val="001565FF"/>
    <w:rsid w:val="00157E6F"/>
    <w:rsid w:val="00161473"/>
    <w:rsid w:val="001615CF"/>
    <w:rsid w:val="00163762"/>
    <w:rsid w:val="00163933"/>
    <w:rsid w:val="00163C7B"/>
    <w:rsid w:val="00164488"/>
    <w:rsid w:val="00165251"/>
    <w:rsid w:val="001663D3"/>
    <w:rsid w:val="00167FAE"/>
    <w:rsid w:val="0017031E"/>
    <w:rsid w:val="00171489"/>
    <w:rsid w:val="00172343"/>
    <w:rsid w:val="0017325D"/>
    <w:rsid w:val="00176111"/>
    <w:rsid w:val="001769EC"/>
    <w:rsid w:val="00181B28"/>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83F"/>
    <w:rsid w:val="001C19F4"/>
    <w:rsid w:val="001C2A3A"/>
    <w:rsid w:val="001C436C"/>
    <w:rsid w:val="001C5676"/>
    <w:rsid w:val="001C57AF"/>
    <w:rsid w:val="001D073A"/>
    <w:rsid w:val="001D3648"/>
    <w:rsid w:val="001D48F0"/>
    <w:rsid w:val="001D538B"/>
    <w:rsid w:val="001D63B6"/>
    <w:rsid w:val="001D685E"/>
    <w:rsid w:val="001D7438"/>
    <w:rsid w:val="001D7FBB"/>
    <w:rsid w:val="001E1040"/>
    <w:rsid w:val="001E258A"/>
    <w:rsid w:val="001E327E"/>
    <w:rsid w:val="001E34A1"/>
    <w:rsid w:val="001E4479"/>
    <w:rsid w:val="001E4513"/>
    <w:rsid w:val="001E655D"/>
    <w:rsid w:val="001E7ED8"/>
    <w:rsid w:val="001F1186"/>
    <w:rsid w:val="001F305B"/>
    <w:rsid w:val="001F3BDB"/>
    <w:rsid w:val="001F56DA"/>
    <w:rsid w:val="001F5912"/>
    <w:rsid w:val="001F6DCB"/>
    <w:rsid w:val="001F7FCB"/>
    <w:rsid w:val="00203101"/>
    <w:rsid w:val="00203FEE"/>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725D"/>
    <w:rsid w:val="00237B72"/>
    <w:rsid w:val="0024219F"/>
    <w:rsid w:val="00242251"/>
    <w:rsid w:val="00243EB0"/>
    <w:rsid w:val="002448F3"/>
    <w:rsid w:val="002454C2"/>
    <w:rsid w:val="00245DD4"/>
    <w:rsid w:val="0024756C"/>
    <w:rsid w:val="00247944"/>
    <w:rsid w:val="00247A2C"/>
    <w:rsid w:val="002518DB"/>
    <w:rsid w:val="00251D7D"/>
    <w:rsid w:val="00252956"/>
    <w:rsid w:val="00253793"/>
    <w:rsid w:val="0025388B"/>
    <w:rsid w:val="00254143"/>
    <w:rsid w:val="00255AA0"/>
    <w:rsid w:val="00257C15"/>
    <w:rsid w:val="00262C4D"/>
    <w:rsid w:val="00265167"/>
    <w:rsid w:val="00265F8B"/>
    <w:rsid w:val="00267806"/>
    <w:rsid w:val="00267C73"/>
    <w:rsid w:val="00267CD7"/>
    <w:rsid w:val="00270BDC"/>
    <w:rsid w:val="0027116E"/>
    <w:rsid w:val="00271388"/>
    <w:rsid w:val="00272164"/>
    <w:rsid w:val="0027251F"/>
    <w:rsid w:val="00273068"/>
    <w:rsid w:val="0027338B"/>
    <w:rsid w:val="002735AE"/>
    <w:rsid w:val="00274B3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E3E"/>
    <w:rsid w:val="002B43A0"/>
    <w:rsid w:val="002B4E6F"/>
    <w:rsid w:val="002B6831"/>
    <w:rsid w:val="002C0171"/>
    <w:rsid w:val="002C2820"/>
    <w:rsid w:val="002C3B7F"/>
    <w:rsid w:val="002C55DB"/>
    <w:rsid w:val="002C76DC"/>
    <w:rsid w:val="002D1036"/>
    <w:rsid w:val="002D12BE"/>
    <w:rsid w:val="002D18CE"/>
    <w:rsid w:val="002D2521"/>
    <w:rsid w:val="002D3118"/>
    <w:rsid w:val="002D45D2"/>
    <w:rsid w:val="002D4D13"/>
    <w:rsid w:val="002D64C7"/>
    <w:rsid w:val="002D6B64"/>
    <w:rsid w:val="002D6FA0"/>
    <w:rsid w:val="002E016C"/>
    <w:rsid w:val="002E069D"/>
    <w:rsid w:val="002E1BA7"/>
    <w:rsid w:val="002E2030"/>
    <w:rsid w:val="002E3825"/>
    <w:rsid w:val="002E5BF6"/>
    <w:rsid w:val="002E6D53"/>
    <w:rsid w:val="002E77B7"/>
    <w:rsid w:val="002F0584"/>
    <w:rsid w:val="002F10A7"/>
    <w:rsid w:val="002F15EC"/>
    <w:rsid w:val="002F1BAD"/>
    <w:rsid w:val="002F312C"/>
    <w:rsid w:val="0030090A"/>
    <w:rsid w:val="00301BA4"/>
    <w:rsid w:val="00301C77"/>
    <w:rsid w:val="0030458A"/>
    <w:rsid w:val="003059EB"/>
    <w:rsid w:val="00306CF0"/>
    <w:rsid w:val="0031025E"/>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11E"/>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D3B"/>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497E"/>
    <w:rsid w:val="00425E3F"/>
    <w:rsid w:val="004303C0"/>
    <w:rsid w:val="00432F4D"/>
    <w:rsid w:val="0043466A"/>
    <w:rsid w:val="00435788"/>
    <w:rsid w:val="0043737E"/>
    <w:rsid w:val="00440D67"/>
    <w:rsid w:val="00450532"/>
    <w:rsid w:val="0045083F"/>
    <w:rsid w:val="00453520"/>
    <w:rsid w:val="004543BF"/>
    <w:rsid w:val="00455AE6"/>
    <w:rsid w:val="004603B8"/>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90070"/>
    <w:rsid w:val="0049121C"/>
    <w:rsid w:val="004917CC"/>
    <w:rsid w:val="00492124"/>
    <w:rsid w:val="00494411"/>
    <w:rsid w:val="00494503"/>
    <w:rsid w:val="00495CBF"/>
    <w:rsid w:val="0049718E"/>
    <w:rsid w:val="004972E0"/>
    <w:rsid w:val="004A1CD2"/>
    <w:rsid w:val="004A542B"/>
    <w:rsid w:val="004A57E2"/>
    <w:rsid w:val="004A7081"/>
    <w:rsid w:val="004B5805"/>
    <w:rsid w:val="004B580B"/>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6D18"/>
    <w:rsid w:val="00507977"/>
    <w:rsid w:val="00507C44"/>
    <w:rsid w:val="005101E0"/>
    <w:rsid w:val="00510919"/>
    <w:rsid w:val="00516479"/>
    <w:rsid w:val="00517796"/>
    <w:rsid w:val="0052089F"/>
    <w:rsid w:val="005215C5"/>
    <w:rsid w:val="00521606"/>
    <w:rsid w:val="00521B91"/>
    <w:rsid w:val="00522BF0"/>
    <w:rsid w:val="00524DC1"/>
    <w:rsid w:val="00526FF7"/>
    <w:rsid w:val="00530A04"/>
    <w:rsid w:val="00532355"/>
    <w:rsid w:val="005338EE"/>
    <w:rsid w:val="00534CCC"/>
    <w:rsid w:val="00535CB8"/>
    <w:rsid w:val="00540C9D"/>
    <w:rsid w:val="005440BB"/>
    <w:rsid w:val="00546DB6"/>
    <w:rsid w:val="00546DFF"/>
    <w:rsid w:val="00547CA2"/>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4E65"/>
    <w:rsid w:val="00587DE5"/>
    <w:rsid w:val="005902BE"/>
    <w:rsid w:val="00590436"/>
    <w:rsid w:val="00593C86"/>
    <w:rsid w:val="00595C6F"/>
    <w:rsid w:val="00596187"/>
    <w:rsid w:val="00597F08"/>
    <w:rsid w:val="005A32E9"/>
    <w:rsid w:val="005A5819"/>
    <w:rsid w:val="005A73F0"/>
    <w:rsid w:val="005B04B9"/>
    <w:rsid w:val="005B0C8A"/>
    <w:rsid w:val="005B2919"/>
    <w:rsid w:val="005B59FD"/>
    <w:rsid w:val="005C0D16"/>
    <w:rsid w:val="005C1D9E"/>
    <w:rsid w:val="005C2B2E"/>
    <w:rsid w:val="005C5679"/>
    <w:rsid w:val="005C5791"/>
    <w:rsid w:val="005C7868"/>
    <w:rsid w:val="005D15FB"/>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6214"/>
    <w:rsid w:val="00601C8A"/>
    <w:rsid w:val="006034AD"/>
    <w:rsid w:val="00603851"/>
    <w:rsid w:val="00605ACA"/>
    <w:rsid w:val="00607B7C"/>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7CB7"/>
    <w:rsid w:val="006427C1"/>
    <w:rsid w:val="00643691"/>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4E6"/>
    <w:rsid w:val="00691717"/>
    <w:rsid w:val="006942E0"/>
    <w:rsid w:val="00695025"/>
    <w:rsid w:val="006968EB"/>
    <w:rsid w:val="00696CBD"/>
    <w:rsid w:val="006A0E4E"/>
    <w:rsid w:val="006A137A"/>
    <w:rsid w:val="006A1B7D"/>
    <w:rsid w:val="006A5F35"/>
    <w:rsid w:val="006A60AF"/>
    <w:rsid w:val="006A6F01"/>
    <w:rsid w:val="006B0D26"/>
    <w:rsid w:val="006B3B35"/>
    <w:rsid w:val="006B4498"/>
    <w:rsid w:val="006B57C5"/>
    <w:rsid w:val="006B61CF"/>
    <w:rsid w:val="006B76D8"/>
    <w:rsid w:val="006C041F"/>
    <w:rsid w:val="006C4489"/>
    <w:rsid w:val="006C4720"/>
    <w:rsid w:val="006D09DE"/>
    <w:rsid w:val="006D0C82"/>
    <w:rsid w:val="006D2632"/>
    <w:rsid w:val="006D62A6"/>
    <w:rsid w:val="006E016F"/>
    <w:rsid w:val="006E06CB"/>
    <w:rsid w:val="006E1E0D"/>
    <w:rsid w:val="006E2560"/>
    <w:rsid w:val="006E64A3"/>
    <w:rsid w:val="006E758E"/>
    <w:rsid w:val="006F19B3"/>
    <w:rsid w:val="006F1EEE"/>
    <w:rsid w:val="006F2097"/>
    <w:rsid w:val="006F2645"/>
    <w:rsid w:val="006F51D8"/>
    <w:rsid w:val="006F5D59"/>
    <w:rsid w:val="00702056"/>
    <w:rsid w:val="007056FF"/>
    <w:rsid w:val="007069F3"/>
    <w:rsid w:val="007073E7"/>
    <w:rsid w:val="00707496"/>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7AD5"/>
    <w:rsid w:val="00750C3E"/>
    <w:rsid w:val="00753170"/>
    <w:rsid w:val="00753D03"/>
    <w:rsid w:val="007552D9"/>
    <w:rsid w:val="00755546"/>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E4F"/>
    <w:rsid w:val="007821CA"/>
    <w:rsid w:val="007835C7"/>
    <w:rsid w:val="00785245"/>
    <w:rsid w:val="007857BE"/>
    <w:rsid w:val="007879F4"/>
    <w:rsid w:val="00791DE2"/>
    <w:rsid w:val="007922AF"/>
    <w:rsid w:val="00792FD1"/>
    <w:rsid w:val="00794AC2"/>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E67"/>
    <w:rsid w:val="007C019D"/>
    <w:rsid w:val="007C2900"/>
    <w:rsid w:val="007C4898"/>
    <w:rsid w:val="007C5D85"/>
    <w:rsid w:val="007D0105"/>
    <w:rsid w:val="007D017D"/>
    <w:rsid w:val="007D0824"/>
    <w:rsid w:val="007D0B1D"/>
    <w:rsid w:val="007D0E93"/>
    <w:rsid w:val="007D2869"/>
    <w:rsid w:val="007D3191"/>
    <w:rsid w:val="007D3400"/>
    <w:rsid w:val="007D3781"/>
    <w:rsid w:val="007D600D"/>
    <w:rsid w:val="007E2577"/>
    <w:rsid w:val="007E344B"/>
    <w:rsid w:val="007E53F2"/>
    <w:rsid w:val="007E6258"/>
    <w:rsid w:val="007E6AC7"/>
    <w:rsid w:val="007E7ED7"/>
    <w:rsid w:val="007F4A96"/>
    <w:rsid w:val="007F5EDA"/>
    <w:rsid w:val="007F638D"/>
    <w:rsid w:val="007F664B"/>
    <w:rsid w:val="007F6E5B"/>
    <w:rsid w:val="00802A6F"/>
    <w:rsid w:val="008032C8"/>
    <w:rsid w:val="00803A53"/>
    <w:rsid w:val="008053F9"/>
    <w:rsid w:val="00807884"/>
    <w:rsid w:val="0081005C"/>
    <w:rsid w:val="00810C76"/>
    <w:rsid w:val="00810FA9"/>
    <w:rsid w:val="00814C91"/>
    <w:rsid w:val="00814F10"/>
    <w:rsid w:val="00816B0D"/>
    <w:rsid w:val="008172B3"/>
    <w:rsid w:val="00820A3D"/>
    <w:rsid w:val="00823B09"/>
    <w:rsid w:val="00824889"/>
    <w:rsid w:val="008266CA"/>
    <w:rsid w:val="008272A9"/>
    <w:rsid w:val="00830676"/>
    <w:rsid w:val="00833F1F"/>
    <w:rsid w:val="008346D0"/>
    <w:rsid w:val="00836CEE"/>
    <w:rsid w:val="008374B5"/>
    <w:rsid w:val="008402B3"/>
    <w:rsid w:val="00840F2A"/>
    <w:rsid w:val="00841CB5"/>
    <w:rsid w:val="00842253"/>
    <w:rsid w:val="00844E77"/>
    <w:rsid w:val="008457ED"/>
    <w:rsid w:val="00846121"/>
    <w:rsid w:val="008466D5"/>
    <w:rsid w:val="00846CB7"/>
    <w:rsid w:val="00846E1F"/>
    <w:rsid w:val="0085195C"/>
    <w:rsid w:val="0085338F"/>
    <w:rsid w:val="008537B3"/>
    <w:rsid w:val="00853CF6"/>
    <w:rsid w:val="00854625"/>
    <w:rsid w:val="00854913"/>
    <w:rsid w:val="008551DA"/>
    <w:rsid w:val="00855DF9"/>
    <w:rsid w:val="00856F13"/>
    <w:rsid w:val="0086174A"/>
    <w:rsid w:val="008618DC"/>
    <w:rsid w:val="008635FE"/>
    <w:rsid w:val="008637AE"/>
    <w:rsid w:val="0086468B"/>
    <w:rsid w:val="008670F9"/>
    <w:rsid w:val="00867FC4"/>
    <w:rsid w:val="008705A7"/>
    <w:rsid w:val="00871D0E"/>
    <w:rsid w:val="00872028"/>
    <w:rsid w:val="0087284C"/>
    <w:rsid w:val="00873A36"/>
    <w:rsid w:val="00874459"/>
    <w:rsid w:val="0087608A"/>
    <w:rsid w:val="0088253C"/>
    <w:rsid w:val="00882C02"/>
    <w:rsid w:val="008830C1"/>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B3D"/>
    <w:rsid w:val="008F2D20"/>
    <w:rsid w:val="008F726D"/>
    <w:rsid w:val="008F7914"/>
    <w:rsid w:val="00900FD0"/>
    <w:rsid w:val="00902805"/>
    <w:rsid w:val="00902E94"/>
    <w:rsid w:val="0090533A"/>
    <w:rsid w:val="00906405"/>
    <w:rsid w:val="0090650F"/>
    <w:rsid w:val="00906F48"/>
    <w:rsid w:val="00907C42"/>
    <w:rsid w:val="00910648"/>
    <w:rsid w:val="00911DBF"/>
    <w:rsid w:val="009172C4"/>
    <w:rsid w:val="00920F86"/>
    <w:rsid w:val="00922DB7"/>
    <w:rsid w:val="00924742"/>
    <w:rsid w:val="0092672F"/>
    <w:rsid w:val="00926A63"/>
    <w:rsid w:val="00926C32"/>
    <w:rsid w:val="00932D82"/>
    <w:rsid w:val="0093633C"/>
    <w:rsid w:val="00941E04"/>
    <w:rsid w:val="00942BB3"/>
    <w:rsid w:val="00945C86"/>
    <w:rsid w:val="00947C5B"/>
    <w:rsid w:val="00950053"/>
    <w:rsid w:val="0095186C"/>
    <w:rsid w:val="00952E13"/>
    <w:rsid w:val="009544CA"/>
    <w:rsid w:val="009574DE"/>
    <w:rsid w:val="0096113B"/>
    <w:rsid w:val="00961202"/>
    <w:rsid w:val="00962935"/>
    <w:rsid w:val="00964E19"/>
    <w:rsid w:val="0096510A"/>
    <w:rsid w:val="00965596"/>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4936"/>
    <w:rsid w:val="009B7A3C"/>
    <w:rsid w:val="009C095D"/>
    <w:rsid w:val="009C0E18"/>
    <w:rsid w:val="009C1F04"/>
    <w:rsid w:val="009C3AE8"/>
    <w:rsid w:val="009C3C0B"/>
    <w:rsid w:val="009C5D3F"/>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490"/>
    <w:rsid w:val="00A20C86"/>
    <w:rsid w:val="00A23550"/>
    <w:rsid w:val="00A23BDB"/>
    <w:rsid w:val="00A266B1"/>
    <w:rsid w:val="00A26EB9"/>
    <w:rsid w:val="00A307AB"/>
    <w:rsid w:val="00A30E20"/>
    <w:rsid w:val="00A30F48"/>
    <w:rsid w:val="00A32C50"/>
    <w:rsid w:val="00A33C7F"/>
    <w:rsid w:val="00A33F1A"/>
    <w:rsid w:val="00A34B48"/>
    <w:rsid w:val="00A3616A"/>
    <w:rsid w:val="00A377DC"/>
    <w:rsid w:val="00A411B9"/>
    <w:rsid w:val="00A428F8"/>
    <w:rsid w:val="00A4453E"/>
    <w:rsid w:val="00A44BB0"/>
    <w:rsid w:val="00A44D01"/>
    <w:rsid w:val="00A4525F"/>
    <w:rsid w:val="00A459CF"/>
    <w:rsid w:val="00A46C41"/>
    <w:rsid w:val="00A46DBD"/>
    <w:rsid w:val="00A47126"/>
    <w:rsid w:val="00A51EBD"/>
    <w:rsid w:val="00A55230"/>
    <w:rsid w:val="00A55ABF"/>
    <w:rsid w:val="00A57A51"/>
    <w:rsid w:val="00A60993"/>
    <w:rsid w:val="00A60E03"/>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EAC"/>
    <w:rsid w:val="00A80DDB"/>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548"/>
    <w:rsid w:val="00AB19C9"/>
    <w:rsid w:val="00AB1AC6"/>
    <w:rsid w:val="00AB1B98"/>
    <w:rsid w:val="00AB1CB5"/>
    <w:rsid w:val="00AB2B5A"/>
    <w:rsid w:val="00AB2F5E"/>
    <w:rsid w:val="00AB33A6"/>
    <w:rsid w:val="00AB4252"/>
    <w:rsid w:val="00AB6D22"/>
    <w:rsid w:val="00AD26E7"/>
    <w:rsid w:val="00AD482C"/>
    <w:rsid w:val="00AD65F6"/>
    <w:rsid w:val="00AD7801"/>
    <w:rsid w:val="00AE0AB1"/>
    <w:rsid w:val="00AE0EBD"/>
    <w:rsid w:val="00AE1D87"/>
    <w:rsid w:val="00AE28D7"/>
    <w:rsid w:val="00AE404D"/>
    <w:rsid w:val="00AE5C3E"/>
    <w:rsid w:val="00AE79F3"/>
    <w:rsid w:val="00AF0059"/>
    <w:rsid w:val="00AF3835"/>
    <w:rsid w:val="00AF50E1"/>
    <w:rsid w:val="00B00581"/>
    <w:rsid w:val="00B020D1"/>
    <w:rsid w:val="00B03A76"/>
    <w:rsid w:val="00B03B1D"/>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7614"/>
    <w:rsid w:val="00B406CB"/>
    <w:rsid w:val="00B412A1"/>
    <w:rsid w:val="00B436A5"/>
    <w:rsid w:val="00B43745"/>
    <w:rsid w:val="00B446D1"/>
    <w:rsid w:val="00B4471F"/>
    <w:rsid w:val="00B469ED"/>
    <w:rsid w:val="00B4746A"/>
    <w:rsid w:val="00B509AA"/>
    <w:rsid w:val="00B52B25"/>
    <w:rsid w:val="00B52F15"/>
    <w:rsid w:val="00B56E21"/>
    <w:rsid w:val="00B615EB"/>
    <w:rsid w:val="00B616D9"/>
    <w:rsid w:val="00B61FDE"/>
    <w:rsid w:val="00B62831"/>
    <w:rsid w:val="00B70985"/>
    <w:rsid w:val="00B73ECE"/>
    <w:rsid w:val="00B773A3"/>
    <w:rsid w:val="00B775F0"/>
    <w:rsid w:val="00B7774E"/>
    <w:rsid w:val="00B778D9"/>
    <w:rsid w:val="00B8040B"/>
    <w:rsid w:val="00B804EC"/>
    <w:rsid w:val="00B82291"/>
    <w:rsid w:val="00B831A6"/>
    <w:rsid w:val="00B83CFD"/>
    <w:rsid w:val="00B87262"/>
    <w:rsid w:val="00B87C7B"/>
    <w:rsid w:val="00B87F69"/>
    <w:rsid w:val="00B9075C"/>
    <w:rsid w:val="00B91176"/>
    <w:rsid w:val="00B914D0"/>
    <w:rsid w:val="00B95FA4"/>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84E"/>
    <w:rsid w:val="00BC6E25"/>
    <w:rsid w:val="00BD1367"/>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60A"/>
    <w:rsid w:val="00C20E34"/>
    <w:rsid w:val="00C21FDD"/>
    <w:rsid w:val="00C22857"/>
    <w:rsid w:val="00C25D33"/>
    <w:rsid w:val="00C275C6"/>
    <w:rsid w:val="00C30E72"/>
    <w:rsid w:val="00C339AA"/>
    <w:rsid w:val="00C33B1C"/>
    <w:rsid w:val="00C34385"/>
    <w:rsid w:val="00C34560"/>
    <w:rsid w:val="00C36620"/>
    <w:rsid w:val="00C37207"/>
    <w:rsid w:val="00C40AA6"/>
    <w:rsid w:val="00C44294"/>
    <w:rsid w:val="00C4605A"/>
    <w:rsid w:val="00C46DBF"/>
    <w:rsid w:val="00C524B9"/>
    <w:rsid w:val="00C52E65"/>
    <w:rsid w:val="00C60A78"/>
    <w:rsid w:val="00C60DC9"/>
    <w:rsid w:val="00C61215"/>
    <w:rsid w:val="00C62B6B"/>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BF6"/>
    <w:rsid w:val="00CF6CCB"/>
    <w:rsid w:val="00CF7ACD"/>
    <w:rsid w:val="00CF7B58"/>
    <w:rsid w:val="00D00812"/>
    <w:rsid w:val="00D0122C"/>
    <w:rsid w:val="00D01772"/>
    <w:rsid w:val="00D02D24"/>
    <w:rsid w:val="00D0539C"/>
    <w:rsid w:val="00D05972"/>
    <w:rsid w:val="00D05E6D"/>
    <w:rsid w:val="00D10259"/>
    <w:rsid w:val="00D104BA"/>
    <w:rsid w:val="00D11125"/>
    <w:rsid w:val="00D131C6"/>
    <w:rsid w:val="00D13A7D"/>
    <w:rsid w:val="00D149A3"/>
    <w:rsid w:val="00D150B4"/>
    <w:rsid w:val="00D170E4"/>
    <w:rsid w:val="00D218EC"/>
    <w:rsid w:val="00D23516"/>
    <w:rsid w:val="00D27DD9"/>
    <w:rsid w:val="00D302E6"/>
    <w:rsid w:val="00D3441F"/>
    <w:rsid w:val="00D3494F"/>
    <w:rsid w:val="00D36B8D"/>
    <w:rsid w:val="00D37983"/>
    <w:rsid w:val="00D37A1B"/>
    <w:rsid w:val="00D42633"/>
    <w:rsid w:val="00D42D41"/>
    <w:rsid w:val="00D42DFE"/>
    <w:rsid w:val="00D43B7B"/>
    <w:rsid w:val="00D43E77"/>
    <w:rsid w:val="00D45EA2"/>
    <w:rsid w:val="00D46C4E"/>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3C6A"/>
    <w:rsid w:val="00D7522E"/>
    <w:rsid w:val="00D76CEF"/>
    <w:rsid w:val="00D76F96"/>
    <w:rsid w:val="00D77087"/>
    <w:rsid w:val="00D77F94"/>
    <w:rsid w:val="00D80559"/>
    <w:rsid w:val="00D80975"/>
    <w:rsid w:val="00D812BB"/>
    <w:rsid w:val="00D849FE"/>
    <w:rsid w:val="00D84D2D"/>
    <w:rsid w:val="00D853D6"/>
    <w:rsid w:val="00D9089D"/>
    <w:rsid w:val="00D90C46"/>
    <w:rsid w:val="00D929A6"/>
    <w:rsid w:val="00D96268"/>
    <w:rsid w:val="00D9657E"/>
    <w:rsid w:val="00DA08BF"/>
    <w:rsid w:val="00DA0BBD"/>
    <w:rsid w:val="00DA0CB8"/>
    <w:rsid w:val="00DA19CB"/>
    <w:rsid w:val="00DA1F09"/>
    <w:rsid w:val="00DA36A6"/>
    <w:rsid w:val="00DA5ABC"/>
    <w:rsid w:val="00DA6492"/>
    <w:rsid w:val="00DA7FAE"/>
    <w:rsid w:val="00DB07A4"/>
    <w:rsid w:val="00DB2BB0"/>
    <w:rsid w:val="00DC1360"/>
    <w:rsid w:val="00DC2FEA"/>
    <w:rsid w:val="00DC6FCF"/>
    <w:rsid w:val="00DD0A5E"/>
    <w:rsid w:val="00DD30D9"/>
    <w:rsid w:val="00DD34A8"/>
    <w:rsid w:val="00DE0A6A"/>
    <w:rsid w:val="00DE0DBC"/>
    <w:rsid w:val="00DE0FCA"/>
    <w:rsid w:val="00DE1211"/>
    <w:rsid w:val="00DE29D3"/>
    <w:rsid w:val="00DE29D4"/>
    <w:rsid w:val="00DE30D5"/>
    <w:rsid w:val="00DE407A"/>
    <w:rsid w:val="00DE53AC"/>
    <w:rsid w:val="00DE7F95"/>
    <w:rsid w:val="00DF25AB"/>
    <w:rsid w:val="00DF33A9"/>
    <w:rsid w:val="00DF44F9"/>
    <w:rsid w:val="00DF4821"/>
    <w:rsid w:val="00DF492E"/>
    <w:rsid w:val="00DF4B0F"/>
    <w:rsid w:val="00DF6135"/>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A0AFD"/>
    <w:rsid w:val="00EA1D51"/>
    <w:rsid w:val="00EA3E03"/>
    <w:rsid w:val="00EA7310"/>
    <w:rsid w:val="00EA7735"/>
    <w:rsid w:val="00EB0A49"/>
    <w:rsid w:val="00EB2AFF"/>
    <w:rsid w:val="00EB3367"/>
    <w:rsid w:val="00EB4A98"/>
    <w:rsid w:val="00EB4C56"/>
    <w:rsid w:val="00EB4FE7"/>
    <w:rsid w:val="00EB6C75"/>
    <w:rsid w:val="00EB795B"/>
    <w:rsid w:val="00EC05F9"/>
    <w:rsid w:val="00EC4769"/>
    <w:rsid w:val="00EC5F53"/>
    <w:rsid w:val="00EC62F7"/>
    <w:rsid w:val="00EC636A"/>
    <w:rsid w:val="00EC6C8F"/>
    <w:rsid w:val="00EC786F"/>
    <w:rsid w:val="00ED0393"/>
    <w:rsid w:val="00ED149E"/>
    <w:rsid w:val="00ED2906"/>
    <w:rsid w:val="00ED339D"/>
    <w:rsid w:val="00ED39F4"/>
    <w:rsid w:val="00ED41AC"/>
    <w:rsid w:val="00ED51D6"/>
    <w:rsid w:val="00ED762F"/>
    <w:rsid w:val="00EE0127"/>
    <w:rsid w:val="00EE0567"/>
    <w:rsid w:val="00EE1FD0"/>
    <w:rsid w:val="00EE2154"/>
    <w:rsid w:val="00EE2491"/>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7AB"/>
    <w:rsid w:val="00F07EB7"/>
    <w:rsid w:val="00F11856"/>
    <w:rsid w:val="00F12802"/>
    <w:rsid w:val="00F1457A"/>
    <w:rsid w:val="00F16192"/>
    <w:rsid w:val="00F168A1"/>
    <w:rsid w:val="00F20332"/>
    <w:rsid w:val="00F238B7"/>
    <w:rsid w:val="00F256A0"/>
    <w:rsid w:val="00F25BC7"/>
    <w:rsid w:val="00F25C5F"/>
    <w:rsid w:val="00F26395"/>
    <w:rsid w:val="00F2677C"/>
    <w:rsid w:val="00F26D68"/>
    <w:rsid w:val="00F2764C"/>
    <w:rsid w:val="00F27AD8"/>
    <w:rsid w:val="00F333DD"/>
    <w:rsid w:val="00F34677"/>
    <w:rsid w:val="00F36320"/>
    <w:rsid w:val="00F36824"/>
    <w:rsid w:val="00F41CC4"/>
    <w:rsid w:val="00F43617"/>
    <w:rsid w:val="00F43A5C"/>
    <w:rsid w:val="00F45259"/>
    <w:rsid w:val="00F47893"/>
    <w:rsid w:val="00F50AAB"/>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26DE"/>
    <w:rsid w:val="00F72A2E"/>
    <w:rsid w:val="00F73326"/>
    <w:rsid w:val="00F76CA6"/>
    <w:rsid w:val="00F777BB"/>
    <w:rsid w:val="00F80E2A"/>
    <w:rsid w:val="00F825A3"/>
    <w:rsid w:val="00F83042"/>
    <w:rsid w:val="00F83ECA"/>
    <w:rsid w:val="00F8443F"/>
    <w:rsid w:val="00F846FC"/>
    <w:rsid w:val="00F85190"/>
    <w:rsid w:val="00F8521D"/>
    <w:rsid w:val="00F90643"/>
    <w:rsid w:val="00F91941"/>
    <w:rsid w:val="00F92AAF"/>
    <w:rsid w:val="00F9376B"/>
    <w:rsid w:val="00F93D75"/>
    <w:rsid w:val="00F948DE"/>
    <w:rsid w:val="00F953C4"/>
    <w:rsid w:val="00F9702E"/>
    <w:rsid w:val="00F97575"/>
    <w:rsid w:val="00F97D99"/>
    <w:rsid w:val="00FA0CC3"/>
    <w:rsid w:val="00FA1866"/>
    <w:rsid w:val="00FA21B6"/>
    <w:rsid w:val="00FA2916"/>
    <w:rsid w:val="00FA3CC4"/>
    <w:rsid w:val="00FA70FC"/>
    <w:rsid w:val="00FB0EAA"/>
    <w:rsid w:val="00FB3760"/>
    <w:rsid w:val="00FB56C4"/>
    <w:rsid w:val="00FB575E"/>
    <w:rsid w:val="00FB775C"/>
    <w:rsid w:val="00FC02B8"/>
    <w:rsid w:val="00FC2819"/>
    <w:rsid w:val="00FC4A86"/>
    <w:rsid w:val="00FC561F"/>
    <w:rsid w:val="00FD1EB4"/>
    <w:rsid w:val="00FD21AD"/>
    <w:rsid w:val="00FD3FFD"/>
    <w:rsid w:val="00FD4218"/>
    <w:rsid w:val="00FD5261"/>
    <w:rsid w:val="00FE21A9"/>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26861487">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A4D7-5C81-43D9-B9C6-D80FA200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21</Pages>
  <Words>9789</Words>
  <Characters>58734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Julia_Falborska</dc:creator>
  <cp:lastModifiedBy>Soltysik-Czarnota Mariola</cp:lastModifiedBy>
  <cp:revision>215</cp:revision>
  <cp:lastPrinted>2016-02-19T08:43:00Z</cp:lastPrinted>
  <dcterms:created xsi:type="dcterms:W3CDTF">2015-07-17T06:31:00Z</dcterms:created>
  <dcterms:modified xsi:type="dcterms:W3CDTF">2016-03-04T10:00:00Z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