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19" w:rsidRPr="00C96998" w:rsidRDefault="00CF6EA3" w:rsidP="00C96998">
      <w:pPr>
        <w:spacing w:after="0"/>
        <w:jc w:val="center"/>
        <w:rPr>
          <w:rFonts w:ascii="Arial" w:hAnsi="Arial" w:cs="Arial"/>
        </w:rPr>
      </w:pPr>
      <w:r w:rsidRPr="00C96998">
        <w:rPr>
          <w:rFonts w:ascii="Arial" w:hAnsi="Arial" w:cs="Arial"/>
        </w:rPr>
        <w:t>Rejestr zmian merytorycznych d</w:t>
      </w:r>
      <w:r w:rsidR="005D4C19" w:rsidRPr="00C96998">
        <w:rPr>
          <w:rFonts w:ascii="Arial" w:hAnsi="Arial" w:cs="Arial"/>
        </w:rPr>
        <w:t xml:space="preserve">o Regulaminu konkursu nr </w:t>
      </w:r>
      <w:r w:rsidR="00260C6C">
        <w:rPr>
          <w:rFonts w:ascii="Arial" w:hAnsi="Arial" w:cs="Arial"/>
          <w:b/>
        </w:rPr>
        <w:t>RPSL.07.01.03-IP.02-24-079/20</w:t>
      </w:r>
    </w:p>
    <w:p w:rsidR="00CF6EA3" w:rsidRPr="00510CF0" w:rsidRDefault="00CF6EA3" w:rsidP="00F232C3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4719"/>
        <w:gridCol w:w="4715"/>
        <w:gridCol w:w="4719"/>
      </w:tblGrid>
      <w:tr w:rsidR="0098588A" w:rsidRPr="00510CF0" w:rsidTr="003F6191">
        <w:tc>
          <w:tcPr>
            <w:tcW w:w="4719" w:type="dxa"/>
            <w:vAlign w:val="center"/>
          </w:tcPr>
          <w:p w:rsidR="0098588A" w:rsidRPr="00FE6B62" w:rsidRDefault="00D867F7" w:rsidP="004775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B62">
              <w:rPr>
                <w:rFonts w:ascii="Arial" w:hAnsi="Arial" w:cs="Arial"/>
                <w:b/>
                <w:sz w:val="24"/>
                <w:szCs w:val="24"/>
              </w:rPr>
              <w:t>DOKUMENT / ZAKRES ZMIANY</w:t>
            </w:r>
          </w:p>
          <w:p w:rsidR="00B63DB0" w:rsidRPr="00FE6B62" w:rsidRDefault="00B63DB0" w:rsidP="004775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B63DB0" w:rsidRPr="00FE6B62" w:rsidRDefault="00B63DB0" w:rsidP="004775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588A" w:rsidRPr="00FE6B62" w:rsidRDefault="00E5073E" w:rsidP="004775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B62">
              <w:rPr>
                <w:rFonts w:ascii="Arial" w:hAnsi="Arial" w:cs="Arial"/>
                <w:b/>
                <w:sz w:val="24"/>
                <w:szCs w:val="24"/>
              </w:rPr>
              <w:t>PIERWOTNA TREŚĆ</w:t>
            </w:r>
          </w:p>
        </w:tc>
        <w:tc>
          <w:tcPr>
            <w:tcW w:w="4719" w:type="dxa"/>
            <w:vAlign w:val="center"/>
          </w:tcPr>
          <w:p w:rsidR="00B63DB0" w:rsidRPr="00FE6B62" w:rsidRDefault="00B63DB0" w:rsidP="004775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588A" w:rsidRPr="00FE6B62" w:rsidRDefault="00E5073E" w:rsidP="004775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B62">
              <w:rPr>
                <w:rFonts w:ascii="Arial" w:hAnsi="Arial" w:cs="Arial"/>
                <w:b/>
                <w:sz w:val="24"/>
                <w:szCs w:val="24"/>
              </w:rPr>
              <w:t>TREŚĆ PO MODYFIKACJI</w:t>
            </w:r>
          </w:p>
        </w:tc>
      </w:tr>
      <w:tr w:rsidR="004A6A55" w:rsidRPr="00510CF0" w:rsidTr="003F6191">
        <w:tc>
          <w:tcPr>
            <w:tcW w:w="4719" w:type="dxa"/>
          </w:tcPr>
          <w:p w:rsidR="00686F2D" w:rsidRDefault="004A6A55" w:rsidP="00686F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Regulamin konkursu </w:t>
            </w:r>
            <w:r w:rsidR="00686F2D" w:rsidRPr="004A6A55">
              <w:rPr>
                <w:rFonts w:ascii="Arial" w:hAnsi="Arial" w:cs="Arial"/>
                <w:b/>
                <w:sz w:val="24"/>
                <w:szCs w:val="24"/>
              </w:rPr>
              <w:t>Słownik pojęć</w:t>
            </w:r>
          </w:p>
          <w:p w:rsidR="004A6A55" w:rsidRDefault="004A6A55" w:rsidP="005A56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6A55" w:rsidRDefault="004A6A55" w:rsidP="004A6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Dodano definicję COVID – 19 w związku z uchwaleniem nowej ustawy </w:t>
            </w:r>
            <w:r w:rsidRPr="00A218B1">
              <w:rPr>
                <w:rFonts w:ascii="Arial" w:hAnsi="Arial" w:cs="Arial"/>
                <w:sz w:val="24"/>
                <w:szCs w:val="24"/>
              </w:rPr>
              <w:t>z dnia 3 kwietnia 2020 r. o szczególnych rozwiązaniach wspierających realizację programów operacyjnych w związku z wystąpieniem COVID – 19 w 2020 r.</w:t>
            </w:r>
          </w:p>
        </w:tc>
        <w:tc>
          <w:tcPr>
            <w:tcW w:w="4715" w:type="dxa"/>
          </w:tcPr>
          <w:p w:rsidR="004A6A55" w:rsidRPr="004A6A55" w:rsidRDefault="004A6A55" w:rsidP="004A6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zapisu</w:t>
            </w:r>
          </w:p>
        </w:tc>
        <w:tc>
          <w:tcPr>
            <w:tcW w:w="4719" w:type="dxa"/>
          </w:tcPr>
          <w:p w:rsidR="004A6A55" w:rsidRPr="004A6A55" w:rsidRDefault="004A6A55" w:rsidP="004A6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A55">
              <w:rPr>
                <w:rFonts w:ascii="Arial" w:hAnsi="Arial" w:cs="Arial"/>
                <w:b/>
                <w:sz w:val="24"/>
                <w:szCs w:val="24"/>
              </w:rPr>
              <w:t>5. COVID-19</w:t>
            </w:r>
            <w:r w:rsidRPr="004A6A55">
              <w:rPr>
                <w:rFonts w:ascii="Arial" w:hAnsi="Arial" w:cs="Arial"/>
                <w:sz w:val="24"/>
                <w:szCs w:val="24"/>
              </w:rPr>
              <w:t xml:space="preserve"> - rozumie się przez to chorobę zakaźną wywołaną wirusem SARS-CoV-2;</w:t>
            </w:r>
          </w:p>
          <w:p w:rsidR="004A6A55" w:rsidRDefault="004A6A55" w:rsidP="00260C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55A4" w:rsidRPr="00510CF0" w:rsidTr="003F6191">
        <w:tc>
          <w:tcPr>
            <w:tcW w:w="4719" w:type="dxa"/>
          </w:tcPr>
          <w:p w:rsidR="00686F2D" w:rsidRDefault="001E55A4" w:rsidP="00686F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Regulamin konkursu</w:t>
            </w:r>
            <w:r w:rsidR="00686F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6F2D">
              <w:rPr>
                <w:rFonts w:ascii="Arial" w:hAnsi="Arial" w:cs="Arial"/>
                <w:b/>
                <w:sz w:val="24"/>
                <w:szCs w:val="24"/>
              </w:rPr>
              <w:t>Słownik pojęć</w:t>
            </w:r>
          </w:p>
          <w:p w:rsidR="001E55A4" w:rsidRDefault="001E55A4" w:rsidP="005A56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55A4" w:rsidRDefault="00260C6C" w:rsidP="005A56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Zmieniono definicję reemigranta z uwagi na zaktualizowane </w:t>
            </w:r>
            <w:r w:rsidRPr="00260C6C">
              <w:rPr>
                <w:rFonts w:ascii="Arial" w:hAnsi="Arial" w:cs="Arial"/>
                <w:i/>
                <w:sz w:val="24"/>
                <w:szCs w:val="24"/>
              </w:rPr>
              <w:t>Wytyczne w zakresie realizacji przedsięwzięć z udziałem środków Europejskiego Funduszu Społecznego w obszarze rynku pracy na lata 2014-2020</w:t>
            </w:r>
          </w:p>
        </w:tc>
        <w:tc>
          <w:tcPr>
            <w:tcW w:w="4715" w:type="dxa"/>
          </w:tcPr>
          <w:p w:rsidR="001E55A4" w:rsidRDefault="00260C6C" w:rsidP="005B60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34. </w:t>
            </w:r>
            <w:r w:rsidRPr="00F54ADD">
              <w:rPr>
                <w:rFonts w:ascii="Arial" w:hAnsi="Arial" w:cs="Arial"/>
                <w:b/>
                <w:sz w:val="24"/>
                <w:szCs w:val="24"/>
              </w:rPr>
              <w:t>Reemigran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F54A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54ADD">
              <w:rPr>
                <w:rFonts w:ascii="Arial" w:hAnsi="Arial" w:cs="Arial"/>
                <w:sz w:val="24"/>
                <w:szCs w:val="24"/>
              </w:rPr>
              <w:t>- obywatel pols</w:t>
            </w:r>
            <w:r>
              <w:rPr>
                <w:rFonts w:ascii="Arial" w:hAnsi="Arial" w:cs="Arial"/>
                <w:sz w:val="24"/>
                <w:szCs w:val="24"/>
              </w:rPr>
              <w:t>ki</w:t>
            </w:r>
            <w:r w:rsidRPr="00F54ADD">
              <w:rPr>
                <w:rFonts w:ascii="Arial" w:hAnsi="Arial" w:cs="Arial"/>
                <w:sz w:val="24"/>
                <w:szCs w:val="24"/>
              </w:rPr>
              <w:t>, któr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F54ADD">
              <w:rPr>
                <w:rFonts w:ascii="Arial" w:hAnsi="Arial" w:cs="Arial"/>
                <w:sz w:val="24"/>
                <w:szCs w:val="24"/>
              </w:rPr>
              <w:t xml:space="preserve"> przebywa</w:t>
            </w:r>
            <w:r>
              <w:rPr>
                <w:rFonts w:ascii="Arial" w:hAnsi="Arial" w:cs="Arial"/>
                <w:sz w:val="24"/>
                <w:szCs w:val="24"/>
              </w:rPr>
              <w:t>ł</w:t>
            </w:r>
            <w:r w:rsidRPr="00F54ADD">
              <w:rPr>
                <w:rFonts w:ascii="Arial" w:hAnsi="Arial" w:cs="Arial"/>
                <w:sz w:val="24"/>
                <w:szCs w:val="24"/>
              </w:rPr>
              <w:t xml:space="preserve"> za granicą Polski przez nieprzerwany okres co najmniej 6 miesięcy, któr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F54ADD">
              <w:rPr>
                <w:rFonts w:ascii="Arial" w:hAnsi="Arial" w:cs="Arial"/>
                <w:sz w:val="24"/>
                <w:szCs w:val="24"/>
              </w:rPr>
              <w:t xml:space="preserve"> zamierza powrócić do Polski lub który przebywa na terenie Polski nie dłużej niż 6 miesięcy przed przystąpieniem do projektu i deklaruj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54ADD">
              <w:rPr>
                <w:rFonts w:ascii="Arial" w:hAnsi="Arial" w:cs="Arial"/>
                <w:sz w:val="24"/>
                <w:szCs w:val="24"/>
              </w:rPr>
              <w:t xml:space="preserve"> chęć podjęcia zatrudnienia lub innej pracy zarobkowej na terytorium Polski. Do tej grupy zaliczani są również repatrianci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19" w:type="dxa"/>
          </w:tcPr>
          <w:p w:rsidR="001E55A4" w:rsidRDefault="004A6A55" w:rsidP="0004755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  <w:r w:rsidR="00260C6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260C6C" w:rsidRPr="00F54ADD">
              <w:rPr>
                <w:rFonts w:ascii="Arial" w:hAnsi="Arial" w:cs="Arial"/>
                <w:b/>
                <w:sz w:val="24"/>
                <w:szCs w:val="24"/>
              </w:rPr>
              <w:t>Reemigran</w:t>
            </w:r>
            <w:r w:rsidR="00260C6C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260C6C" w:rsidRPr="00F54A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60C6C" w:rsidRPr="00F54ADD">
              <w:rPr>
                <w:rFonts w:ascii="Arial" w:hAnsi="Arial" w:cs="Arial"/>
                <w:sz w:val="24"/>
                <w:szCs w:val="24"/>
              </w:rPr>
              <w:t>- obywatel pols</w:t>
            </w:r>
            <w:r w:rsidR="00260C6C">
              <w:rPr>
                <w:rFonts w:ascii="Arial" w:hAnsi="Arial" w:cs="Arial"/>
                <w:sz w:val="24"/>
                <w:szCs w:val="24"/>
              </w:rPr>
              <w:t>ki</w:t>
            </w:r>
            <w:r w:rsidR="00260C6C" w:rsidRPr="00F54ADD">
              <w:rPr>
                <w:rFonts w:ascii="Arial" w:hAnsi="Arial" w:cs="Arial"/>
                <w:sz w:val="24"/>
                <w:szCs w:val="24"/>
              </w:rPr>
              <w:t>, któr</w:t>
            </w:r>
            <w:r w:rsidR="00260C6C">
              <w:rPr>
                <w:rFonts w:ascii="Arial" w:hAnsi="Arial" w:cs="Arial"/>
                <w:sz w:val="24"/>
                <w:szCs w:val="24"/>
              </w:rPr>
              <w:t>y</w:t>
            </w:r>
            <w:r w:rsidR="00260C6C" w:rsidRPr="00F54ADD">
              <w:rPr>
                <w:rFonts w:ascii="Arial" w:hAnsi="Arial" w:cs="Arial"/>
                <w:sz w:val="24"/>
                <w:szCs w:val="24"/>
              </w:rPr>
              <w:t xml:space="preserve"> przebywa</w:t>
            </w:r>
            <w:r w:rsidR="00260C6C">
              <w:rPr>
                <w:rFonts w:ascii="Arial" w:hAnsi="Arial" w:cs="Arial"/>
                <w:sz w:val="24"/>
                <w:szCs w:val="24"/>
              </w:rPr>
              <w:t>ł</w:t>
            </w:r>
            <w:r w:rsidR="00260C6C" w:rsidRPr="00F54ADD">
              <w:rPr>
                <w:rFonts w:ascii="Arial" w:hAnsi="Arial" w:cs="Arial"/>
                <w:sz w:val="24"/>
                <w:szCs w:val="24"/>
              </w:rPr>
              <w:t xml:space="preserve"> za granicą Polski przez nieprzerwany okres co najmniej 6 miesięcy, któr</w:t>
            </w:r>
            <w:r w:rsidR="00260C6C">
              <w:rPr>
                <w:rFonts w:ascii="Arial" w:hAnsi="Arial" w:cs="Arial"/>
                <w:sz w:val="24"/>
                <w:szCs w:val="24"/>
              </w:rPr>
              <w:t>y</w:t>
            </w:r>
            <w:r w:rsidR="00260C6C" w:rsidRPr="00F54ADD">
              <w:rPr>
                <w:rFonts w:ascii="Arial" w:hAnsi="Arial" w:cs="Arial"/>
                <w:sz w:val="24"/>
                <w:szCs w:val="24"/>
              </w:rPr>
              <w:t xml:space="preserve"> zamierza powrócić do Polski lub który przebywa na terenie Polski nie dłużej niż 6 miesięcy </w:t>
            </w:r>
            <w:r w:rsidR="002331CD" w:rsidRPr="00260C6C">
              <w:rPr>
                <w:rFonts w:ascii="Arial" w:hAnsi="Arial" w:cs="Arial"/>
                <w:b/>
                <w:color w:val="FF0000"/>
                <w:sz w:val="24"/>
                <w:szCs w:val="24"/>
              </w:rPr>
              <w:t>albo 12 miesięcy (w przypadku osób bez pracy)</w:t>
            </w:r>
            <w:r w:rsidR="002331C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260C6C" w:rsidRPr="00F54ADD">
              <w:rPr>
                <w:rFonts w:ascii="Arial" w:hAnsi="Arial" w:cs="Arial"/>
                <w:sz w:val="24"/>
                <w:szCs w:val="24"/>
              </w:rPr>
              <w:t>przed przystąpieniem do projektu i deklaruj</w:t>
            </w:r>
            <w:r w:rsidR="00260C6C">
              <w:rPr>
                <w:rFonts w:ascii="Arial" w:hAnsi="Arial" w:cs="Arial"/>
                <w:sz w:val="24"/>
                <w:szCs w:val="24"/>
              </w:rPr>
              <w:t>e</w:t>
            </w:r>
            <w:r w:rsidR="00260C6C" w:rsidRPr="00F54ADD">
              <w:rPr>
                <w:rFonts w:ascii="Arial" w:hAnsi="Arial" w:cs="Arial"/>
                <w:sz w:val="24"/>
                <w:szCs w:val="24"/>
              </w:rPr>
              <w:t xml:space="preserve"> chęć podjęcia zatrudnienia lub innej pracy zarobkowej na terytorium Polski. Do tej grupy zaliczani są również repatrianci</w:t>
            </w:r>
            <w:r w:rsidR="00260C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6A55" w:rsidRPr="00510CF0" w:rsidTr="00BA076E">
        <w:trPr>
          <w:trHeight w:val="964"/>
        </w:trPr>
        <w:tc>
          <w:tcPr>
            <w:tcW w:w="4719" w:type="dxa"/>
          </w:tcPr>
          <w:p w:rsidR="00686F2D" w:rsidRDefault="004A6A55" w:rsidP="00686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Regulamin konkursu </w:t>
            </w:r>
            <w:r w:rsidR="00686F2D">
              <w:rPr>
                <w:rFonts w:ascii="Arial" w:hAnsi="Arial" w:cs="Arial"/>
                <w:b/>
                <w:sz w:val="24"/>
                <w:szCs w:val="24"/>
              </w:rPr>
              <w:t xml:space="preserve">Podstawy prawne </w:t>
            </w:r>
          </w:p>
          <w:p w:rsidR="004A6A55" w:rsidRDefault="004A6A55" w:rsidP="004A6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6A55" w:rsidRDefault="004A6A55" w:rsidP="004A6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Dodano nową podstawę prawną w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związku z uchwaleniem nowej ustawy </w:t>
            </w:r>
            <w:r w:rsidRPr="00A218B1">
              <w:rPr>
                <w:rFonts w:ascii="Arial" w:hAnsi="Arial" w:cs="Arial"/>
                <w:sz w:val="24"/>
                <w:szCs w:val="24"/>
              </w:rPr>
              <w:t>z dnia 3 kwietnia 2020 r. o szczególnych rozwiązaniach wspierających realizację programów operacyjnych w związku z wystąpieniem COVID – 19 w 2020 r.</w:t>
            </w:r>
          </w:p>
        </w:tc>
        <w:tc>
          <w:tcPr>
            <w:tcW w:w="4715" w:type="dxa"/>
          </w:tcPr>
          <w:p w:rsidR="004A6A55" w:rsidRPr="004A6A55" w:rsidRDefault="004A6A55" w:rsidP="004A6A55">
            <w:pPr>
              <w:rPr>
                <w:rFonts w:ascii="Arial" w:hAnsi="Arial" w:cs="Arial"/>
                <w:sz w:val="24"/>
                <w:szCs w:val="24"/>
              </w:rPr>
            </w:pPr>
            <w:r w:rsidRPr="004A6A55">
              <w:rPr>
                <w:rFonts w:ascii="Arial" w:hAnsi="Arial" w:cs="Arial"/>
                <w:sz w:val="24"/>
                <w:szCs w:val="24"/>
              </w:rPr>
              <w:lastRenderedPageBreak/>
              <w:t>Brak zapisu</w:t>
            </w:r>
          </w:p>
          <w:p w:rsidR="004A6A55" w:rsidRDefault="004A6A55" w:rsidP="004A6A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4A6A55" w:rsidRDefault="004A6A55" w:rsidP="004A6A55">
            <w:pPr>
              <w:spacing w:before="2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29. </w:t>
            </w:r>
            <w:r w:rsidRPr="00A218B1">
              <w:rPr>
                <w:rFonts w:ascii="Arial" w:hAnsi="Arial" w:cs="Arial"/>
                <w:sz w:val="24"/>
                <w:szCs w:val="24"/>
              </w:rPr>
              <w:t xml:space="preserve">Ustawy z dnia 3 kwietnia 2020 r. o szczególnych rozwiązaniach wspierających realizację programów </w:t>
            </w:r>
            <w:r w:rsidRPr="00A218B1">
              <w:rPr>
                <w:rFonts w:ascii="Arial" w:hAnsi="Arial" w:cs="Arial"/>
                <w:sz w:val="24"/>
                <w:szCs w:val="24"/>
              </w:rPr>
              <w:lastRenderedPageBreak/>
              <w:t>operacyjnych w związku z wystąpieniem COVID – 19 w 2020 r. (Dz. U. z 2020 r., poz. 694);</w:t>
            </w:r>
          </w:p>
        </w:tc>
      </w:tr>
      <w:tr w:rsidR="00260C6C" w:rsidRPr="00510CF0" w:rsidTr="00BA076E">
        <w:trPr>
          <w:trHeight w:val="964"/>
        </w:trPr>
        <w:tc>
          <w:tcPr>
            <w:tcW w:w="4719" w:type="dxa"/>
          </w:tcPr>
          <w:p w:rsidR="00686F2D" w:rsidRDefault="00260C6C" w:rsidP="00686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Regulamin konkursu</w:t>
            </w:r>
            <w:r w:rsidR="00686F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6F2D">
              <w:rPr>
                <w:rFonts w:ascii="Arial" w:hAnsi="Arial" w:cs="Arial"/>
                <w:b/>
                <w:sz w:val="24"/>
                <w:szCs w:val="24"/>
              </w:rPr>
              <w:t xml:space="preserve">Podstawy prawne </w:t>
            </w:r>
          </w:p>
          <w:p w:rsidR="00260C6C" w:rsidRDefault="00260C6C" w:rsidP="004C504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0C6C" w:rsidRDefault="00260C6C" w:rsidP="00260C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Zmieniono podstawę prawną z uwagi na zaktualizowane </w:t>
            </w:r>
            <w:r w:rsidRPr="00260C6C">
              <w:rPr>
                <w:rFonts w:ascii="Arial" w:hAnsi="Arial" w:cs="Arial"/>
                <w:i/>
                <w:sz w:val="24"/>
                <w:szCs w:val="24"/>
              </w:rPr>
              <w:t>Wytyczne w zakresie realizacji przedsięwzięć z udziałem środków Europejskiego Funduszu Społecznego w obszarze rynku pracy na lata 2014-2020</w:t>
            </w:r>
          </w:p>
        </w:tc>
        <w:tc>
          <w:tcPr>
            <w:tcW w:w="4715" w:type="dxa"/>
          </w:tcPr>
          <w:p w:rsidR="00260C6C" w:rsidRDefault="00260C6C" w:rsidP="00260C6C">
            <w:pPr>
              <w:spacing w:before="2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45.</w:t>
            </w:r>
            <w:r w:rsidRPr="00F54ADD">
              <w:rPr>
                <w:rFonts w:ascii="Arial" w:hAnsi="Arial" w:cs="Arial"/>
                <w:sz w:val="24"/>
                <w:szCs w:val="24"/>
              </w:rPr>
              <w:t xml:space="preserve"> Wytycznych w zakresie realizacji przedsięwzięć z udziałem środków Europejskiego Funduszu Społecznego w obszarze rynku pracy na lata 2014-2020 </w:t>
            </w:r>
            <w:r w:rsidRPr="00260C6C">
              <w:rPr>
                <w:rFonts w:ascii="Arial" w:hAnsi="Arial" w:cs="Arial"/>
                <w:b/>
                <w:color w:val="FF0000"/>
                <w:sz w:val="24"/>
                <w:szCs w:val="24"/>
              </w:rPr>
              <w:t>z dnia 8 sierpnia 2019 r.;</w:t>
            </w:r>
          </w:p>
        </w:tc>
        <w:tc>
          <w:tcPr>
            <w:tcW w:w="4715" w:type="dxa"/>
          </w:tcPr>
          <w:p w:rsidR="00260C6C" w:rsidRDefault="00260C6C" w:rsidP="00260C6C">
            <w:pPr>
              <w:spacing w:before="2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45.</w:t>
            </w:r>
            <w:r w:rsidRPr="00F54ADD">
              <w:rPr>
                <w:rFonts w:ascii="Arial" w:hAnsi="Arial" w:cs="Arial"/>
                <w:sz w:val="24"/>
                <w:szCs w:val="24"/>
              </w:rPr>
              <w:t xml:space="preserve"> Wytycznych w zakresie realizacji przedsięwzięć z udziałem środków Europejskiego Funduszu Społecznego w obszarze rynku pracy na lata 2014-2020 </w:t>
            </w:r>
            <w:r w:rsidRPr="00260C6C">
              <w:rPr>
                <w:rFonts w:ascii="Arial" w:hAnsi="Arial" w:cs="Arial"/>
                <w:b/>
                <w:color w:val="FF0000"/>
                <w:sz w:val="24"/>
                <w:szCs w:val="24"/>
              </w:rPr>
              <w:t>z dnia 16 kwietnia 2020 r.;</w:t>
            </w:r>
          </w:p>
        </w:tc>
      </w:tr>
      <w:tr w:rsidR="00F72951" w:rsidRPr="00510CF0" w:rsidTr="00BA076E">
        <w:trPr>
          <w:trHeight w:val="964"/>
        </w:trPr>
        <w:tc>
          <w:tcPr>
            <w:tcW w:w="4719" w:type="dxa"/>
          </w:tcPr>
          <w:p w:rsidR="00F72951" w:rsidRDefault="00F72951" w:rsidP="00686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Regulamin konkursu </w:t>
            </w:r>
            <w:r w:rsidRPr="00F72951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E22321">
              <w:rPr>
                <w:rFonts w:ascii="Arial" w:hAnsi="Arial" w:cs="Arial"/>
                <w:b/>
                <w:sz w:val="24"/>
                <w:szCs w:val="24"/>
              </w:rPr>
              <w:t xml:space="preserve">odrozdział 2.1 Założenia ogólne </w:t>
            </w:r>
            <w:r w:rsidR="00E22321" w:rsidRPr="00E22321">
              <w:rPr>
                <w:rFonts w:ascii="Arial" w:hAnsi="Arial" w:cs="Arial"/>
                <w:sz w:val="24"/>
                <w:szCs w:val="24"/>
              </w:rPr>
              <w:t>oraz</w:t>
            </w:r>
            <w:r w:rsidR="00E22321">
              <w:rPr>
                <w:rFonts w:ascii="Arial" w:hAnsi="Arial" w:cs="Arial"/>
                <w:b/>
                <w:sz w:val="24"/>
                <w:szCs w:val="24"/>
              </w:rPr>
              <w:t xml:space="preserve"> Podrozdział 5.1 Rozstrzygnięcie konkursu</w:t>
            </w:r>
          </w:p>
          <w:p w:rsidR="00F72951" w:rsidRPr="00F72951" w:rsidRDefault="00F72951" w:rsidP="00686F2D">
            <w:pPr>
              <w:rPr>
                <w:rFonts w:ascii="Arial" w:hAnsi="Arial" w:cs="Arial"/>
                <w:sz w:val="24"/>
                <w:szCs w:val="24"/>
              </w:rPr>
            </w:pPr>
            <w:r w:rsidRPr="00F72951">
              <w:rPr>
                <w:rFonts w:ascii="Arial" w:hAnsi="Arial" w:cs="Arial"/>
                <w:sz w:val="24"/>
                <w:szCs w:val="24"/>
              </w:rPr>
              <w:t>- Ogłoszenie o konkursie</w:t>
            </w:r>
          </w:p>
          <w:p w:rsidR="00F72951" w:rsidRDefault="00F72951" w:rsidP="00F729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związku z wystąpieniem COVID-19 umieszczono zapisy </w:t>
            </w:r>
            <w:r w:rsidR="00E22321">
              <w:rPr>
                <w:rFonts w:ascii="Arial" w:hAnsi="Arial" w:cs="Arial"/>
                <w:sz w:val="24"/>
                <w:szCs w:val="24"/>
              </w:rPr>
              <w:t>dotyczące</w:t>
            </w:r>
            <w:r>
              <w:rPr>
                <w:rFonts w:ascii="Arial" w:hAnsi="Arial" w:cs="Arial"/>
                <w:sz w:val="24"/>
                <w:szCs w:val="24"/>
              </w:rPr>
              <w:t xml:space="preserve"> wcześniejsze</w:t>
            </w:r>
            <w:r w:rsidR="00E22321">
              <w:rPr>
                <w:rFonts w:ascii="Arial" w:hAnsi="Arial" w:cs="Arial"/>
                <w:sz w:val="24"/>
                <w:szCs w:val="24"/>
              </w:rPr>
              <w:t>go rozstrzygnięcia</w:t>
            </w:r>
            <w:r>
              <w:rPr>
                <w:rFonts w:ascii="Arial" w:hAnsi="Arial" w:cs="Arial"/>
                <w:sz w:val="24"/>
                <w:szCs w:val="24"/>
              </w:rPr>
              <w:t xml:space="preserve"> przedmiotowego konkursu</w:t>
            </w:r>
          </w:p>
          <w:p w:rsidR="00F72951" w:rsidRDefault="00F72951" w:rsidP="00686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F72951" w:rsidRPr="00F72951" w:rsidRDefault="00F72951" w:rsidP="00260C6C">
            <w:pPr>
              <w:spacing w:before="2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2951">
              <w:rPr>
                <w:rFonts w:ascii="Arial" w:hAnsi="Arial" w:cs="Arial"/>
                <w:b/>
                <w:sz w:val="24"/>
                <w:szCs w:val="24"/>
              </w:rPr>
              <w:t xml:space="preserve">Orientacyjny termin rozstrzygnięcia konkursu oraz orientacyjny czas trwania oceny projektów to </w:t>
            </w:r>
            <w:r w:rsidRPr="00E22321">
              <w:rPr>
                <w:rFonts w:ascii="Arial" w:hAnsi="Arial" w:cs="Arial"/>
                <w:b/>
                <w:color w:val="FF0000"/>
                <w:sz w:val="24"/>
                <w:szCs w:val="24"/>
              </w:rPr>
              <w:t>LISTOPAD</w:t>
            </w:r>
            <w:r w:rsidRPr="00F72951">
              <w:rPr>
                <w:rFonts w:ascii="Arial" w:hAnsi="Arial" w:cs="Arial"/>
                <w:b/>
                <w:sz w:val="24"/>
                <w:szCs w:val="24"/>
              </w:rPr>
              <w:t xml:space="preserve"> 2020 r. </w:t>
            </w:r>
          </w:p>
        </w:tc>
        <w:tc>
          <w:tcPr>
            <w:tcW w:w="4715" w:type="dxa"/>
          </w:tcPr>
          <w:p w:rsidR="00F72951" w:rsidRPr="00E22321" w:rsidRDefault="00E22321" w:rsidP="00966C68">
            <w:pPr>
              <w:spacing w:before="240"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2321">
              <w:rPr>
                <w:rFonts w:ascii="Arial" w:hAnsi="Arial" w:cs="Arial"/>
                <w:b/>
                <w:sz w:val="24"/>
                <w:szCs w:val="24"/>
              </w:rPr>
              <w:t xml:space="preserve">Mając na uwadze zakres oferowanego wsparcia, w celu przeciwdziałania skutkom pandemii COVID-19, orientacyjny termin rozstrzygnięcia konkursu/naboru oraz orientacyjny czas trwania oceny projektów to </w:t>
            </w:r>
            <w:r w:rsidRPr="00E22321">
              <w:rPr>
                <w:rFonts w:ascii="Arial" w:hAnsi="Arial" w:cs="Arial"/>
                <w:b/>
                <w:color w:val="FF0000"/>
                <w:sz w:val="24"/>
                <w:szCs w:val="24"/>
              </w:rPr>
              <w:t>WRZESIEŃ</w:t>
            </w:r>
            <w:r w:rsidRPr="00E22321">
              <w:rPr>
                <w:rFonts w:ascii="Arial" w:hAnsi="Arial" w:cs="Arial"/>
                <w:b/>
                <w:sz w:val="24"/>
                <w:szCs w:val="24"/>
              </w:rPr>
              <w:t xml:space="preserve"> 2020</w:t>
            </w:r>
            <w:r w:rsidRPr="00E22321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Pr="00E2232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4A6A55" w:rsidRPr="00510CF0" w:rsidTr="00BA076E">
        <w:trPr>
          <w:trHeight w:val="964"/>
        </w:trPr>
        <w:tc>
          <w:tcPr>
            <w:tcW w:w="4719" w:type="dxa"/>
          </w:tcPr>
          <w:p w:rsidR="00686F2D" w:rsidRPr="004A6A55" w:rsidRDefault="004A6A55" w:rsidP="00686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Regulamin konkursu </w:t>
            </w:r>
            <w:bookmarkStart w:id="0" w:name="_Toc4667597"/>
            <w:r w:rsidR="00686F2D">
              <w:rPr>
                <w:rFonts w:ascii="Arial" w:hAnsi="Arial" w:cs="Arial"/>
                <w:b/>
                <w:sz w:val="24"/>
                <w:szCs w:val="24"/>
              </w:rPr>
              <w:t xml:space="preserve">Podrozdział </w:t>
            </w:r>
            <w:r w:rsidR="00686F2D" w:rsidRPr="004A6A55">
              <w:rPr>
                <w:rFonts w:ascii="Arial" w:hAnsi="Arial" w:cs="Arial"/>
                <w:b/>
                <w:sz w:val="24"/>
                <w:szCs w:val="24"/>
              </w:rPr>
              <w:t xml:space="preserve">2.4 Informacje dotyczące partnerstwa w </w:t>
            </w:r>
            <w:r w:rsidR="00686F2D" w:rsidRPr="004A6A55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projekcie</w:t>
            </w:r>
            <w:bookmarkEnd w:id="0"/>
          </w:p>
          <w:p w:rsidR="004A6A55" w:rsidRDefault="004A6A55" w:rsidP="004A6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6A55" w:rsidRDefault="004A6A55" w:rsidP="004A6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Dodano zapis w związku z uchwaleniem nowej ustawy </w:t>
            </w:r>
            <w:r w:rsidRPr="00A218B1">
              <w:rPr>
                <w:rFonts w:ascii="Arial" w:hAnsi="Arial" w:cs="Arial"/>
                <w:sz w:val="24"/>
                <w:szCs w:val="24"/>
              </w:rPr>
              <w:t xml:space="preserve">z dnia 3 kwietnia 2020 </w:t>
            </w:r>
            <w:r>
              <w:rPr>
                <w:rFonts w:ascii="Arial" w:hAnsi="Arial" w:cs="Arial"/>
                <w:sz w:val="24"/>
                <w:szCs w:val="24"/>
              </w:rPr>
              <w:t xml:space="preserve">r. o szczególnych rozwiązaniach </w:t>
            </w:r>
            <w:r w:rsidRPr="00A218B1">
              <w:rPr>
                <w:rFonts w:ascii="Arial" w:hAnsi="Arial" w:cs="Arial"/>
                <w:sz w:val="24"/>
                <w:szCs w:val="24"/>
              </w:rPr>
              <w:t>wspierających realizację programów operacyjnych w związku z wystąpieniem COVID – 19 w 2020 r.</w:t>
            </w:r>
          </w:p>
        </w:tc>
        <w:tc>
          <w:tcPr>
            <w:tcW w:w="4715" w:type="dxa"/>
          </w:tcPr>
          <w:p w:rsidR="004A6A55" w:rsidRPr="004A6A55" w:rsidRDefault="004A6A55" w:rsidP="001E5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Brak zapisu</w:t>
            </w:r>
          </w:p>
        </w:tc>
        <w:tc>
          <w:tcPr>
            <w:tcW w:w="4715" w:type="dxa"/>
          </w:tcPr>
          <w:p w:rsidR="004A6A55" w:rsidRPr="004A6A55" w:rsidRDefault="004A6A55" w:rsidP="004A6A55">
            <w:pPr>
              <w:spacing w:after="0"/>
              <w:ind w:righ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A55">
              <w:rPr>
                <w:rFonts w:ascii="Arial" w:hAnsi="Arial" w:cs="Arial"/>
                <w:sz w:val="24"/>
                <w:szCs w:val="24"/>
              </w:rPr>
              <w:t xml:space="preserve">15. W przypadku gdy na skutek wystąpienia COVID-19 przygotowanie albo realizacja projektu partnerskiego, o </w:t>
            </w:r>
            <w:r w:rsidRPr="004A6A55">
              <w:rPr>
                <w:rFonts w:ascii="Arial" w:hAnsi="Arial" w:cs="Arial"/>
                <w:sz w:val="24"/>
                <w:szCs w:val="24"/>
              </w:rPr>
              <w:lastRenderedPageBreak/>
              <w:t xml:space="preserve">którym mowa w art. 33 ust 1 ustawy wdrożeniowej, stała się niemożliwa lub znacznie utrudniona, odpowiednio wybór albo zmiana partnera lub zaangażowanie dodatkowego partnera może nastąpić po wyrażeniu zgody przez IOK, w terminie nie dłuższym niż 30 dni. Przepisów art. 33 ust. 2 i 3 ustawy wdrożeniowej nie stosuje się. </w:t>
            </w:r>
          </w:p>
        </w:tc>
      </w:tr>
      <w:tr w:rsidR="004A6A55" w:rsidRPr="00510CF0" w:rsidTr="00BA076E">
        <w:trPr>
          <w:trHeight w:val="964"/>
        </w:trPr>
        <w:tc>
          <w:tcPr>
            <w:tcW w:w="4719" w:type="dxa"/>
          </w:tcPr>
          <w:p w:rsidR="00686F2D" w:rsidRPr="00025C32" w:rsidRDefault="004A6A55" w:rsidP="00686F2D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Regulamin konkursu </w:t>
            </w:r>
            <w:r w:rsidR="00686F2D">
              <w:rPr>
                <w:rFonts w:ascii="Arial" w:hAnsi="Arial" w:cs="Arial"/>
                <w:b/>
                <w:sz w:val="24"/>
                <w:szCs w:val="24"/>
              </w:rPr>
              <w:t xml:space="preserve">Rozdział 5 </w:t>
            </w:r>
            <w:bookmarkStart w:id="1" w:name="_Toc463265501"/>
            <w:bookmarkStart w:id="2" w:name="_Toc468197094"/>
            <w:bookmarkStart w:id="3" w:name="_Toc4667613"/>
            <w:r w:rsidR="00686F2D" w:rsidRPr="004A6A55">
              <w:rPr>
                <w:rFonts w:ascii="Arial" w:hAnsi="Arial" w:cs="Arial"/>
                <w:b/>
                <w:sz w:val="24"/>
                <w:szCs w:val="24"/>
              </w:rPr>
              <w:t>Procedura weryfikacji warunków formalnych, poprawiania oczywistych omyłek oraz oceny i wyboru projektów do dofinansowania</w:t>
            </w:r>
            <w:bookmarkEnd w:id="1"/>
            <w:bookmarkEnd w:id="2"/>
            <w:bookmarkEnd w:id="3"/>
          </w:p>
          <w:p w:rsidR="004A6A55" w:rsidRDefault="004A6A55" w:rsidP="004A6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6A55" w:rsidRDefault="004A6A55" w:rsidP="004A6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6A55" w:rsidRDefault="004A6A55" w:rsidP="004A6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Dodano zapis w związku z uchwaleniem nowej ustawy </w:t>
            </w:r>
            <w:r w:rsidRPr="00A218B1">
              <w:rPr>
                <w:rFonts w:ascii="Arial" w:hAnsi="Arial" w:cs="Arial"/>
                <w:sz w:val="24"/>
                <w:szCs w:val="24"/>
              </w:rPr>
              <w:t xml:space="preserve">z dnia 3 kwietnia 2020 </w:t>
            </w:r>
            <w:r>
              <w:rPr>
                <w:rFonts w:ascii="Arial" w:hAnsi="Arial" w:cs="Arial"/>
                <w:sz w:val="24"/>
                <w:szCs w:val="24"/>
              </w:rPr>
              <w:t xml:space="preserve">r. o szczególnych rozwiązaniach </w:t>
            </w:r>
            <w:r w:rsidRPr="00A218B1">
              <w:rPr>
                <w:rFonts w:ascii="Arial" w:hAnsi="Arial" w:cs="Arial"/>
                <w:sz w:val="24"/>
                <w:szCs w:val="24"/>
              </w:rPr>
              <w:t>wspierających realizację programów operacyjnych w związku z wystąpieniem COVID – 19 w 2020 r.</w:t>
            </w:r>
          </w:p>
        </w:tc>
        <w:tc>
          <w:tcPr>
            <w:tcW w:w="4715" w:type="dxa"/>
          </w:tcPr>
          <w:p w:rsidR="004A6A55" w:rsidRPr="004A6A55" w:rsidRDefault="004A6A55" w:rsidP="004A6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A55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Ocena kryteriów </w:t>
            </w:r>
            <w:r w:rsidRPr="00F533CB">
              <w:rPr>
                <w:rFonts w:ascii="Arial" w:hAnsi="Arial" w:cs="Arial"/>
                <w:sz w:val="24"/>
                <w:szCs w:val="24"/>
                <w:lang w:eastAsia="ar-SA"/>
              </w:rPr>
              <w:t>poprzedzon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a</w:t>
            </w:r>
            <w:r w:rsidRPr="00F533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jest etapem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weryfikacji warunków formalnych, które musi spełnić wniosek o dofinansowanie projektu.</w:t>
            </w:r>
            <w:r w:rsidRPr="00F533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W razie stwierdzenia braków w zakresie warunków formalnych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lub oczywistej omyłki </w:t>
            </w:r>
            <w:r w:rsidRPr="00F533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we wniosku o dofinansowanie, IOK wzywa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W</w:t>
            </w:r>
            <w:r w:rsidRPr="00F533CB">
              <w:rPr>
                <w:rFonts w:ascii="Arial" w:hAnsi="Arial" w:cs="Arial"/>
                <w:sz w:val="24"/>
                <w:szCs w:val="24"/>
                <w:lang w:eastAsia="ar-SA"/>
              </w:rPr>
              <w:t>nioskod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awcę do uzupełnienia wniosku w </w:t>
            </w:r>
            <w:r w:rsidRPr="00F533CB">
              <w:rPr>
                <w:rFonts w:ascii="Arial" w:hAnsi="Arial" w:cs="Arial"/>
                <w:sz w:val="24"/>
                <w:szCs w:val="24"/>
                <w:lang w:eastAsia="ar-SA"/>
              </w:rPr>
              <w:t>terminie nie krótszym niż 7 dni i nie dłuższym niż 21 dni od wysłania przedmiotowego wezwania pod rygorem pozostawienia wniosku bez rozpatrzenia.</w:t>
            </w:r>
          </w:p>
        </w:tc>
        <w:tc>
          <w:tcPr>
            <w:tcW w:w="4715" w:type="dxa"/>
          </w:tcPr>
          <w:p w:rsidR="004A6A55" w:rsidRDefault="004A6A55" w:rsidP="004A6A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6A55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Ocena kryteriów </w:t>
            </w:r>
            <w:r w:rsidRPr="00F533CB">
              <w:rPr>
                <w:rFonts w:ascii="Arial" w:hAnsi="Arial" w:cs="Arial"/>
                <w:sz w:val="24"/>
                <w:szCs w:val="24"/>
                <w:lang w:eastAsia="ar-SA"/>
              </w:rPr>
              <w:t>poprzedzon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a</w:t>
            </w:r>
            <w:r w:rsidRPr="00F533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jest etapem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weryfikacji warunków formalnych, które musi spełnić wniosek o dofinansowanie projektu.</w:t>
            </w:r>
            <w:r w:rsidRPr="00F533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W razie stwierdzenia braków w zakresie warunków formalnych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lub oczywistej omyłki </w:t>
            </w:r>
            <w:r w:rsidRPr="00F533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we wniosku o dofinansowanie, IOK wzywa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W</w:t>
            </w:r>
            <w:r w:rsidRPr="00F533CB">
              <w:rPr>
                <w:rFonts w:ascii="Arial" w:hAnsi="Arial" w:cs="Arial"/>
                <w:sz w:val="24"/>
                <w:szCs w:val="24"/>
                <w:lang w:eastAsia="ar-SA"/>
              </w:rPr>
              <w:t>nioskod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awcę do uzupełnienia wniosku w </w:t>
            </w:r>
            <w:r w:rsidRPr="00F533CB">
              <w:rPr>
                <w:rFonts w:ascii="Arial" w:hAnsi="Arial" w:cs="Arial"/>
                <w:sz w:val="24"/>
                <w:szCs w:val="24"/>
                <w:lang w:eastAsia="ar-SA"/>
              </w:rPr>
              <w:t>terminie nie krótszym niż 7 dni i nie dłuższym niż 21 dni od wysłania przedmiotowego wezwania pod rygorem pozostawienia wniosku bez rozpatrzenia.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5F2EA8" w:rsidRPr="005F2EA8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W celu ograniczenia negatywnego wpływu wystąpienia COVID-19 na wybór projektów do dofinansowania termin na uzupełnienie braków w zakresie warunków formalnych lub oczywistej omyłki może zostać przedłużony do 30 dni. O konieczności </w:t>
            </w:r>
            <w:r w:rsidR="005F2EA8" w:rsidRPr="005F2EA8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lastRenderedPageBreak/>
              <w:t>wydłużenia terminu na uzupełnienie braków w zakresie warunków formalnych lub oczywistej omyłki, wnioskodawca jest zobowiązany poinformować IOK w terminie przewidzianym w piśmie wzywającym do uzupełnienia.</w:t>
            </w:r>
          </w:p>
        </w:tc>
      </w:tr>
      <w:tr w:rsidR="00686F2D" w:rsidRPr="00510CF0" w:rsidTr="00686F2D">
        <w:trPr>
          <w:trHeight w:val="2098"/>
        </w:trPr>
        <w:tc>
          <w:tcPr>
            <w:tcW w:w="4719" w:type="dxa"/>
            <w:vMerge w:val="restart"/>
          </w:tcPr>
          <w:p w:rsidR="00686F2D" w:rsidRDefault="00686F2D" w:rsidP="00686F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Regulamin konkursu </w:t>
            </w:r>
            <w:r>
              <w:rPr>
                <w:rFonts w:ascii="Arial" w:hAnsi="Arial" w:cs="Arial"/>
                <w:b/>
                <w:sz w:val="24"/>
                <w:szCs w:val="24"/>
              </w:rPr>
              <w:t>Podrozdział 5.2 Procedura odwoławcza</w:t>
            </w:r>
          </w:p>
          <w:p w:rsidR="00686F2D" w:rsidRDefault="00686F2D" w:rsidP="004A6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6F2D" w:rsidRDefault="00686F2D" w:rsidP="004A6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Zmieniono zapisy w związku z uchwaleniem nowej ustawy </w:t>
            </w:r>
            <w:r w:rsidRPr="00A218B1">
              <w:rPr>
                <w:rFonts w:ascii="Arial" w:hAnsi="Arial" w:cs="Arial"/>
                <w:sz w:val="24"/>
                <w:szCs w:val="24"/>
              </w:rPr>
              <w:t xml:space="preserve">z dnia 3 kwietnia 2020 </w:t>
            </w:r>
            <w:r>
              <w:rPr>
                <w:rFonts w:ascii="Arial" w:hAnsi="Arial" w:cs="Arial"/>
                <w:sz w:val="24"/>
                <w:szCs w:val="24"/>
              </w:rPr>
              <w:t xml:space="preserve">r. o szczególnych rozwiązaniach </w:t>
            </w:r>
            <w:r w:rsidRPr="00A218B1">
              <w:rPr>
                <w:rFonts w:ascii="Arial" w:hAnsi="Arial" w:cs="Arial"/>
                <w:sz w:val="24"/>
                <w:szCs w:val="24"/>
              </w:rPr>
              <w:t>wspierających realizację programów operacyjnych w związku z wystąpieniem COVID – 19 w 2020 r.</w:t>
            </w:r>
          </w:p>
        </w:tc>
        <w:tc>
          <w:tcPr>
            <w:tcW w:w="4715" w:type="dxa"/>
          </w:tcPr>
          <w:p w:rsidR="00686F2D" w:rsidRPr="00686F2D" w:rsidRDefault="00686F2D" w:rsidP="004A6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F2D">
              <w:rPr>
                <w:rFonts w:ascii="Arial" w:hAnsi="Arial" w:cs="Arial"/>
                <w:sz w:val="24"/>
                <w:szCs w:val="24"/>
              </w:rPr>
              <w:t>Brak zapisu</w:t>
            </w:r>
          </w:p>
        </w:tc>
        <w:tc>
          <w:tcPr>
            <w:tcW w:w="4715" w:type="dxa"/>
          </w:tcPr>
          <w:p w:rsidR="00686F2D" w:rsidRDefault="00686F2D" w:rsidP="004A6A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W przypadku gdy na skutek wystąpienia COVID-19 niemożliwe lub utrudnione jest wniesienie protestu we wskazanym terminie, IP może na uzasadniony wniosek Wnioskodawcy wydłużyć ww. termin, jednakże nie więcej niż o 30 dni.</w:t>
            </w:r>
          </w:p>
        </w:tc>
      </w:tr>
      <w:tr w:rsidR="00686F2D" w:rsidRPr="00510CF0" w:rsidTr="00686F2D">
        <w:trPr>
          <w:trHeight w:val="500"/>
        </w:trPr>
        <w:tc>
          <w:tcPr>
            <w:tcW w:w="4719" w:type="dxa"/>
            <w:vMerge/>
          </w:tcPr>
          <w:p w:rsidR="00686F2D" w:rsidRDefault="00686F2D" w:rsidP="004A6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686F2D" w:rsidRPr="009A17EE" w:rsidRDefault="00686F2D" w:rsidP="00686F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9A17EE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Protest wnoszony jest w formie pisemnej:</w:t>
            </w:r>
          </w:p>
          <w:p w:rsidR="00686F2D" w:rsidRPr="00554218" w:rsidRDefault="00686F2D" w:rsidP="00686F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9A17EE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a) osobiście w </w:t>
            </w:r>
            <w:r w:rsidRPr="00FD6418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Wojewódzkim Urzędzie Pracy w Katowicach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54218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albo</w:t>
            </w:r>
          </w:p>
          <w:p w:rsidR="00686F2D" w:rsidRPr="00554218" w:rsidRDefault="00686F2D" w:rsidP="00686F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554218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b) za pośrednictwem operatora pocztowego na adres:</w:t>
            </w:r>
          </w:p>
          <w:p w:rsidR="00686F2D" w:rsidRPr="00FD6418" w:rsidRDefault="00686F2D" w:rsidP="00686F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6418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Wojewódzki Urząd Pracy w Katowicach</w:t>
            </w:r>
          </w:p>
          <w:p w:rsidR="00686F2D" w:rsidRDefault="00686F2D" w:rsidP="00686F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6418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ul. Kościuszki 30, 40-048 Katowice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  <w:p w:rsidR="00686F2D" w:rsidRDefault="00686F2D" w:rsidP="004A6A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686F2D" w:rsidRPr="00554218" w:rsidRDefault="00686F2D" w:rsidP="00686F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9A17EE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Protest wnoszony jest w formie pisemnej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54218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na adres:</w:t>
            </w:r>
          </w:p>
          <w:p w:rsidR="00686F2D" w:rsidRPr="00FD6418" w:rsidRDefault="00686F2D" w:rsidP="00686F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6418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Wojewódzki Urząd Pracy w Katowicach</w:t>
            </w:r>
          </w:p>
          <w:p w:rsidR="00686F2D" w:rsidRDefault="00686F2D" w:rsidP="00686F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6418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ul. Kościuszki 30, 40-048 Katowice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  <w:p w:rsidR="00686F2D" w:rsidRDefault="00686F2D" w:rsidP="004A6A5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  <w:p w:rsidR="00686F2D" w:rsidRDefault="00686F2D" w:rsidP="004A6A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6F2D" w:rsidRPr="00510CF0" w:rsidTr="00686F2D">
        <w:trPr>
          <w:trHeight w:val="2291"/>
        </w:trPr>
        <w:tc>
          <w:tcPr>
            <w:tcW w:w="4719" w:type="dxa"/>
            <w:vMerge/>
          </w:tcPr>
          <w:p w:rsidR="00686F2D" w:rsidRDefault="00686F2D" w:rsidP="004A6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686F2D" w:rsidRPr="009A17EE" w:rsidRDefault="00686F2D" w:rsidP="004A6A5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Brak zapisu</w:t>
            </w:r>
          </w:p>
        </w:tc>
        <w:tc>
          <w:tcPr>
            <w:tcW w:w="4715" w:type="dxa"/>
          </w:tcPr>
          <w:p w:rsidR="00686F2D" w:rsidRPr="009A17EE" w:rsidRDefault="00686F2D" w:rsidP="00686F2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W przypadku gdy na skutek wystąpienia COVID-19 niemożliwe lub utrudnione jest uzupełnienie lub poprawienie oczywistych omyłek w proteście we wskazanym terminie, IP może na uzasadniony wniosek Wnioskodawcy wydłużyć ww. termin, jednakże nie więcej niż o 30 dni.</w:t>
            </w:r>
          </w:p>
        </w:tc>
      </w:tr>
      <w:tr w:rsidR="00686F2D" w:rsidRPr="00510CF0" w:rsidTr="00BA076E">
        <w:trPr>
          <w:trHeight w:val="675"/>
        </w:trPr>
        <w:tc>
          <w:tcPr>
            <w:tcW w:w="4719" w:type="dxa"/>
            <w:vMerge/>
          </w:tcPr>
          <w:p w:rsidR="00686F2D" w:rsidRDefault="00686F2D" w:rsidP="004A6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686F2D" w:rsidRDefault="00686F2D" w:rsidP="004A6A5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Brak zapisu</w:t>
            </w:r>
          </w:p>
        </w:tc>
        <w:tc>
          <w:tcPr>
            <w:tcW w:w="4715" w:type="dxa"/>
          </w:tcPr>
          <w:p w:rsidR="00686F2D" w:rsidRDefault="00686F2D" w:rsidP="00686F2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2E4EE0">
              <w:rPr>
                <w:rFonts w:ascii="Arial" w:hAnsi="Arial" w:cs="Arial"/>
                <w:sz w:val="24"/>
                <w:szCs w:val="24"/>
              </w:rPr>
              <w:t xml:space="preserve">W przypadku </w:t>
            </w:r>
            <w:r w:rsidRPr="002E4EE0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gdy na skutek wystąpienia COVID-19 niemożliwa lub utrudniona jest weryfikacja wyników oceny przez IP lub rozpatrzenie protestu przez IZ, terminy na dokonanie tych czynności mogą zostać wydłużone, jednak nie więcej niż o 30 dni.</w:t>
            </w:r>
          </w:p>
        </w:tc>
      </w:tr>
      <w:tr w:rsidR="005F2EA8" w:rsidRPr="00510CF0" w:rsidTr="00BA076E">
        <w:trPr>
          <w:trHeight w:val="675"/>
        </w:trPr>
        <w:tc>
          <w:tcPr>
            <w:tcW w:w="4719" w:type="dxa"/>
          </w:tcPr>
          <w:p w:rsidR="005F2EA8" w:rsidRDefault="005F2EA8" w:rsidP="004A6A5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Regulamin konkursu </w:t>
            </w:r>
            <w:r w:rsidRPr="000526EB">
              <w:rPr>
                <w:rFonts w:ascii="Arial" w:hAnsi="Arial" w:cs="Arial"/>
                <w:b/>
                <w:sz w:val="24"/>
                <w:szCs w:val="24"/>
              </w:rPr>
              <w:t>Rozdział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8 Umowa o dofinansowanie</w:t>
            </w:r>
          </w:p>
          <w:p w:rsidR="005F2EA8" w:rsidRDefault="005F2EA8" w:rsidP="004A6A5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2EA8" w:rsidRDefault="005F2EA8" w:rsidP="004A6A5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Dodano zapis w związku z uchwaleniem nowej ustawy </w:t>
            </w:r>
            <w:r w:rsidRPr="00A218B1">
              <w:rPr>
                <w:rFonts w:ascii="Arial" w:hAnsi="Arial" w:cs="Arial"/>
                <w:sz w:val="24"/>
                <w:szCs w:val="24"/>
              </w:rPr>
              <w:t xml:space="preserve">z dnia 3 kwietnia 2020 </w:t>
            </w:r>
            <w:r>
              <w:rPr>
                <w:rFonts w:ascii="Arial" w:hAnsi="Arial" w:cs="Arial"/>
                <w:sz w:val="24"/>
                <w:szCs w:val="24"/>
              </w:rPr>
              <w:t xml:space="preserve">r. o szczególnych rozwiązaniach </w:t>
            </w:r>
            <w:r w:rsidRPr="00A218B1">
              <w:rPr>
                <w:rFonts w:ascii="Arial" w:hAnsi="Arial" w:cs="Arial"/>
                <w:sz w:val="24"/>
                <w:szCs w:val="24"/>
              </w:rPr>
              <w:t>wspierających realizację programów operacyjnych w związku z wystąpieniem COVID – 19 w 2020 r.</w:t>
            </w:r>
          </w:p>
          <w:p w:rsidR="005F2EA8" w:rsidRDefault="005F2EA8" w:rsidP="004A6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5F2EA8" w:rsidRPr="005F2EA8" w:rsidRDefault="005F2EA8" w:rsidP="005F2E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EA8">
              <w:rPr>
                <w:rFonts w:ascii="Arial" w:hAnsi="Arial" w:cs="Arial"/>
                <w:sz w:val="24"/>
                <w:szCs w:val="24"/>
              </w:rPr>
              <w:t>1. Na etapie podpisywania umowy o dofinansowanie projektu Instytucja Organizująca Konkurs będzie wymagać, w terminie 14 dni (termin biegnie od daty otrzymania przez Wnioskodawcę informacji o możliwości podpisania umowy o dofinansowanie projektu), od ubiegającego się o dofinansowanie następujących dokumentów do umowy o dofinansowanie projektu/podjęcia decyzji o dofinansowaniu projektu.</w:t>
            </w:r>
          </w:p>
          <w:p w:rsidR="005F2EA8" w:rsidRPr="005F2EA8" w:rsidRDefault="005F2EA8" w:rsidP="000526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5F2EA8" w:rsidRPr="005F2EA8" w:rsidRDefault="005F2EA8" w:rsidP="005F2E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EA8">
              <w:rPr>
                <w:rFonts w:ascii="Arial" w:hAnsi="Arial" w:cs="Arial"/>
                <w:sz w:val="24"/>
                <w:szCs w:val="24"/>
              </w:rPr>
              <w:t>1. Na etapie podpisywania umowy o dofinansowanie projektu Instytucja Organizująca Konkurs będzie wymagać, w terminie 14 dni (termin biegnie od daty otrzymania przez Wnioskodawcę informacji o możliwości podpisania umowy o dofinansowanie projektu), od ubiegającego się o dofinansowanie następujących dokumentów do umowy o dofinansowanie projektu/podjęcia decyzji o dofinansowaniu projektu.</w:t>
            </w:r>
          </w:p>
          <w:p w:rsidR="005F2EA8" w:rsidRPr="005F2EA8" w:rsidRDefault="005F2EA8" w:rsidP="00686F2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F2EA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W przypadku wystąpienia niezależnych od Wnioskodawcy/Partnera  </w:t>
            </w:r>
            <w:r w:rsidRPr="005F2EA8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przeszkód/utrudnień w związku z wystąpieniem COVID-19, istnieje możliwość wydłużenia wskazanego terminu. Powyższe wymaga złożenia do IOK stosownego pisma wraz z uzasadnieniem.</w:t>
            </w:r>
          </w:p>
        </w:tc>
      </w:tr>
      <w:tr w:rsidR="000526EB" w:rsidRPr="00510CF0" w:rsidTr="00BA076E">
        <w:trPr>
          <w:trHeight w:val="675"/>
        </w:trPr>
        <w:tc>
          <w:tcPr>
            <w:tcW w:w="4719" w:type="dxa"/>
          </w:tcPr>
          <w:p w:rsidR="000526EB" w:rsidRDefault="000526EB" w:rsidP="004A6A5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Regulamin konkursu </w:t>
            </w:r>
            <w:r w:rsidRPr="000526EB">
              <w:rPr>
                <w:rFonts w:ascii="Arial" w:hAnsi="Arial" w:cs="Arial"/>
                <w:b/>
                <w:sz w:val="24"/>
                <w:szCs w:val="24"/>
              </w:rPr>
              <w:t>Rozdział 9 Dodatkowe informacje</w:t>
            </w:r>
          </w:p>
          <w:p w:rsidR="000526EB" w:rsidRDefault="000526EB" w:rsidP="004A6A5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26EB" w:rsidRPr="000526EB" w:rsidRDefault="000526EB" w:rsidP="004A6A5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Zmodyfikowano zapisy w związku z uchwaleniem nowej ustawy </w:t>
            </w:r>
            <w:r w:rsidRPr="00A218B1">
              <w:rPr>
                <w:rFonts w:ascii="Arial" w:hAnsi="Arial" w:cs="Arial"/>
                <w:sz w:val="24"/>
                <w:szCs w:val="24"/>
              </w:rPr>
              <w:t xml:space="preserve">z dnia 3 kwietnia 2020 </w:t>
            </w:r>
            <w:r>
              <w:rPr>
                <w:rFonts w:ascii="Arial" w:hAnsi="Arial" w:cs="Arial"/>
                <w:sz w:val="24"/>
                <w:szCs w:val="24"/>
              </w:rPr>
              <w:t xml:space="preserve">r. o szczególnych rozwiązaniach </w:t>
            </w:r>
            <w:r w:rsidRPr="00A218B1">
              <w:rPr>
                <w:rFonts w:ascii="Arial" w:hAnsi="Arial" w:cs="Arial"/>
                <w:sz w:val="24"/>
                <w:szCs w:val="24"/>
              </w:rPr>
              <w:t>wspierających realizację programów operacyjnych w związku z wystąpieniem COVID – 19 w 2020 r.</w:t>
            </w:r>
          </w:p>
          <w:p w:rsidR="000526EB" w:rsidRDefault="000526EB" w:rsidP="004A6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0526EB" w:rsidRDefault="000526EB" w:rsidP="000526E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0526EB">
              <w:rPr>
                <w:rFonts w:ascii="Arial" w:hAnsi="Arial" w:cs="Arial"/>
                <w:b/>
                <w:sz w:val="24"/>
                <w:szCs w:val="24"/>
              </w:rPr>
              <w:t xml:space="preserve">Regulamin konkursu może ulegać zmianom w trakcie trwania konkursu. Do czasu rozstrzygnięcia konkursu </w:t>
            </w:r>
            <w:r w:rsidRPr="000526EB">
              <w:rPr>
                <w:rFonts w:ascii="Arial" w:hAnsi="Arial" w:cs="Arial"/>
                <w:b/>
                <w:i/>
                <w:sz w:val="24"/>
                <w:szCs w:val="24"/>
              </w:rPr>
              <w:t>Regulamin konkursu</w:t>
            </w:r>
            <w:r w:rsidRPr="000526EB">
              <w:rPr>
                <w:rFonts w:ascii="Arial" w:hAnsi="Arial" w:cs="Arial"/>
                <w:b/>
                <w:sz w:val="24"/>
                <w:szCs w:val="24"/>
              </w:rPr>
              <w:t xml:space="preserve"> nie może być zmieniany w sposób skutkujący nierównym traktowaniem Wnioskodawców chyba, że konieczność jego zmiany wynika z przepisów prawa powszechnie obowiązującego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715" w:type="dxa"/>
          </w:tcPr>
          <w:p w:rsidR="000526EB" w:rsidRPr="000526EB" w:rsidRDefault="000526EB" w:rsidP="00686F2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EB">
              <w:rPr>
                <w:rFonts w:ascii="Arial" w:hAnsi="Arial" w:cs="Arial"/>
                <w:b/>
                <w:sz w:val="24"/>
                <w:szCs w:val="24"/>
              </w:rPr>
              <w:t xml:space="preserve">Regulamin konkursu może ulegać zmianom w trakcie trwania konkursu </w:t>
            </w:r>
            <w:r w:rsidRPr="000526EB">
              <w:rPr>
                <w:rFonts w:ascii="Arial" w:hAnsi="Arial" w:cs="Arial"/>
                <w:b/>
                <w:color w:val="FF0000"/>
                <w:sz w:val="24"/>
                <w:szCs w:val="24"/>
              </w:rPr>
              <w:t>oraz w przypadku, gdy nastąpią przeszkody/utrudnienia w przeprowadzeniu postępowania w zakresie wyboru projektów, które pojawiły się albo mogą pojawić się w związku z wystąpieniem COVID-19</w:t>
            </w:r>
            <w:r w:rsidRPr="000526EB">
              <w:rPr>
                <w:rFonts w:ascii="Arial" w:hAnsi="Arial" w:cs="Arial"/>
                <w:b/>
                <w:sz w:val="24"/>
                <w:szCs w:val="24"/>
              </w:rPr>
              <w:t xml:space="preserve">. Do czasu rozstrzygnięcia konkursu </w:t>
            </w:r>
            <w:r w:rsidRPr="000526EB">
              <w:rPr>
                <w:rFonts w:ascii="Arial" w:hAnsi="Arial" w:cs="Arial"/>
                <w:b/>
                <w:i/>
                <w:sz w:val="24"/>
                <w:szCs w:val="24"/>
              </w:rPr>
              <w:t>Regulamin konkursu</w:t>
            </w:r>
            <w:r w:rsidRPr="000526EB">
              <w:rPr>
                <w:rFonts w:ascii="Arial" w:hAnsi="Arial" w:cs="Arial"/>
                <w:b/>
                <w:sz w:val="24"/>
                <w:szCs w:val="24"/>
              </w:rPr>
              <w:t xml:space="preserve"> nie może być zmieniany w sposób skutkujący nierównym traktowaniem Wnioskodawców chyba, że konieczność jego zmiany wynika z przepisów prawa powszechnie obowiązującego, </w:t>
            </w:r>
            <w:r w:rsidRPr="000526EB">
              <w:rPr>
                <w:rFonts w:ascii="Arial" w:hAnsi="Arial" w:cs="Arial"/>
                <w:b/>
                <w:color w:val="FF0000"/>
                <w:sz w:val="24"/>
                <w:szCs w:val="24"/>
              </w:rPr>
              <w:t>w tym w przypadku wystąpienia COVID-19</w:t>
            </w:r>
            <w:r w:rsidRPr="000526E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60C6C" w:rsidRPr="00510CF0" w:rsidTr="00026241">
        <w:tc>
          <w:tcPr>
            <w:tcW w:w="4719" w:type="dxa"/>
          </w:tcPr>
          <w:p w:rsidR="00686F2D" w:rsidRDefault="00260C6C" w:rsidP="00686F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Regulamin konkursu </w:t>
            </w:r>
            <w:bookmarkStart w:id="4" w:name="_Toc512243186"/>
            <w:r w:rsidR="00686F2D">
              <w:rPr>
                <w:rFonts w:ascii="Arial" w:hAnsi="Arial" w:cs="Arial"/>
                <w:b/>
              </w:rPr>
              <w:t>Przypis nr 15</w:t>
            </w:r>
          </w:p>
          <w:bookmarkEnd w:id="4"/>
          <w:p w:rsidR="00260C6C" w:rsidRDefault="00260C6C" w:rsidP="001D3C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0C6C" w:rsidRPr="00260C6C" w:rsidRDefault="00260C6C" w:rsidP="007443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Doprecyzowano, iż stypendium szkoleniowe </w:t>
            </w:r>
            <w:r w:rsidRPr="00260C6C">
              <w:rPr>
                <w:rFonts w:ascii="Arial" w:hAnsi="Arial" w:cs="Arial"/>
              </w:rPr>
              <w:t xml:space="preserve">przysługuje jeżeli miesięczna liczba godzin </w:t>
            </w:r>
            <w:r w:rsidRPr="00260C6C">
              <w:rPr>
                <w:rFonts w:ascii="Arial" w:hAnsi="Arial" w:cs="Arial"/>
              </w:rPr>
              <w:lastRenderedPageBreak/>
              <w:t xml:space="preserve">szkolenia wynosi co najmniej 150 godzin </w:t>
            </w:r>
            <w:r w:rsidRPr="00260C6C">
              <w:rPr>
                <w:rFonts w:ascii="Arial" w:hAnsi="Arial" w:cs="Arial"/>
                <w:b/>
              </w:rPr>
              <w:t>zegarowych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zgodnie z zaktualizowanymi </w:t>
            </w:r>
            <w:r>
              <w:rPr>
                <w:rFonts w:ascii="Arial" w:hAnsi="Arial" w:cs="Arial"/>
                <w:i/>
                <w:sz w:val="24"/>
                <w:szCs w:val="24"/>
              </w:rPr>
              <w:t>Wytycznymi</w:t>
            </w:r>
            <w:r w:rsidRPr="00260C6C">
              <w:rPr>
                <w:rFonts w:ascii="Arial" w:hAnsi="Arial" w:cs="Arial"/>
                <w:i/>
                <w:sz w:val="24"/>
                <w:szCs w:val="24"/>
              </w:rPr>
              <w:t xml:space="preserve"> w zakresie realizacji przedsięwzięć z udziałem środków Europejskiego Funduszu Społecznego w obszarze rynku pracy na lata 2014-2020</w:t>
            </w:r>
          </w:p>
        </w:tc>
        <w:tc>
          <w:tcPr>
            <w:tcW w:w="4715" w:type="dxa"/>
          </w:tcPr>
          <w:p w:rsidR="00260C6C" w:rsidRPr="00FE6B62" w:rsidRDefault="00260C6C" w:rsidP="00260C6C">
            <w:pPr>
              <w:pStyle w:val="Default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C6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IOK zastrzega, iż usługi szkoleniowe są realizowane przez instytucje posiadające wpis do Rejestru Instytucji Szkoleniowych prowadzonego przez Wojewódzki Urząd Pracy właściwy ze względu na siedzibę </w:t>
            </w:r>
            <w:r w:rsidRPr="00260C6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instytucji szkoleniowej. </w:t>
            </w:r>
            <w:r w:rsidRPr="00260C6C">
              <w:rPr>
                <w:rFonts w:ascii="Arial" w:hAnsi="Arial" w:cs="Arial"/>
                <w:sz w:val="22"/>
                <w:szCs w:val="22"/>
              </w:rPr>
              <w:t xml:space="preserve">Ponadto osobom uczestniczącym w szkoleniach przysługuje stypendium szkoleniowe, które miesięcznie wynosi 120% zasiłku (w uzasadnionych przypadkach uczestnik może dobrowolnie zrezygnować z otrzymywania stypendium szkoleniowego w projekcie. Beneficjent jest zobowiązany do ubezpieczenia od następstw nieszczęśliwych wypadków uczestnika projektu w sytuacji rezygnacji ze stypendium), o którym mowa w art. 72 ust. 1 </w:t>
            </w:r>
            <w:proofErr w:type="spellStart"/>
            <w:r w:rsidRPr="00260C6C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Pr="00260C6C">
              <w:rPr>
                <w:rFonts w:ascii="Arial" w:hAnsi="Arial" w:cs="Arial"/>
                <w:sz w:val="22"/>
                <w:szCs w:val="22"/>
              </w:rPr>
              <w:t xml:space="preserve"> 1 ustawy o promocji zatrudnienia i instytucjach rynku pracy, jeżeli miesięczna liczba godzin szkolenia wynosi co najmniej 150 godzin; w przypadku niższej miesięcznej liczby godzin szkolenia, wysokość stypendium szkoleniowego ustala się proporcjonalnie, z tym, że stypendium to nie może być niższe niż 20% zasiłku, o którym mowa w art. 72 ust. 1 </w:t>
            </w:r>
            <w:proofErr w:type="spellStart"/>
            <w:r w:rsidRPr="00260C6C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Pr="00260C6C">
              <w:rPr>
                <w:rFonts w:ascii="Arial" w:hAnsi="Arial" w:cs="Arial"/>
                <w:sz w:val="22"/>
                <w:szCs w:val="22"/>
              </w:rPr>
              <w:t xml:space="preserve"> 1 ustawy o promocji zatrudnienia i instytucjach rynku pracy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15" w:type="dxa"/>
          </w:tcPr>
          <w:p w:rsidR="00260C6C" w:rsidRPr="00260C6C" w:rsidRDefault="00260C6C" w:rsidP="002331CD">
            <w:pPr>
              <w:pStyle w:val="Default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C6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IOK zastrzega, iż usługi szkoleniowe są realizowane przez instytucje posiadające wpis do Rejestru Instytucji Szkoleniowych prowadzonego przez Wojewódzki Urząd Pracy właściwy ze względu na siedzibę </w:t>
            </w:r>
            <w:r w:rsidRPr="00260C6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instytucji szkoleniowej. Ponadto osobom uczestniczącym w szkoleniach przysługuje stypendium szkoleniowe, które miesięcznie wynosi 120% zasiłku (w uzasadnionych przypadkach uczestnik może dobrowolnie zrezygnować z otrzymywania stypendium szkoleniowego w projekcie. Beneficjent jest zobowiązany do ubezpieczenia od następstw nieszczęśliwych wypadków uczestnika projektu w sytuacji rezygnacji ze stypendium), o którym mowa w art. 72 ust. 1 </w:t>
            </w:r>
            <w:proofErr w:type="spellStart"/>
            <w:r w:rsidRPr="00260C6C">
              <w:rPr>
                <w:rFonts w:ascii="Arial" w:hAnsi="Arial" w:cs="Arial"/>
                <w:sz w:val="22"/>
                <w:szCs w:val="22"/>
                <w:lang w:eastAsia="en-US"/>
              </w:rPr>
              <w:t>pkt</w:t>
            </w:r>
            <w:proofErr w:type="spellEnd"/>
            <w:r w:rsidRPr="00260C6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 ustawy o promocji zatrudnienia i instytucjach rynku pracy, jeżeli miesięczna liczba godzin szkolenia wynosi co najmniej 150 godzin </w:t>
            </w:r>
            <w:r w:rsidRPr="002331CD"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  <w:t>zegarowych</w:t>
            </w:r>
            <w:r w:rsidRPr="00260C6C">
              <w:rPr>
                <w:rFonts w:ascii="Arial" w:hAnsi="Arial" w:cs="Arial"/>
                <w:sz w:val="22"/>
                <w:szCs w:val="22"/>
                <w:lang w:eastAsia="en-US"/>
              </w:rPr>
              <w:t xml:space="preserve">; w przypadku niższej miesięcznej liczby godzin szkolenia, wysokość stypendium szkoleniowego ustala się proporcjonalnie, z tym, że stypendium to nie może być niższe niż 20% zasiłku, o którym mowa w art. 72 ust. 1 </w:t>
            </w:r>
            <w:proofErr w:type="spellStart"/>
            <w:r w:rsidRPr="00260C6C">
              <w:rPr>
                <w:rFonts w:ascii="Arial" w:hAnsi="Arial" w:cs="Arial"/>
                <w:sz w:val="22"/>
                <w:szCs w:val="22"/>
                <w:lang w:eastAsia="en-US"/>
              </w:rPr>
              <w:t>pkt</w:t>
            </w:r>
            <w:proofErr w:type="spellEnd"/>
            <w:r w:rsidRPr="00260C6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 ustawy o promocji zatrudnienia i instytucjach rynku pracy.</w:t>
            </w:r>
          </w:p>
        </w:tc>
      </w:tr>
      <w:tr w:rsidR="003F6191" w:rsidRPr="00510CF0" w:rsidTr="003F6191">
        <w:trPr>
          <w:trHeight w:val="1332"/>
        </w:trPr>
        <w:tc>
          <w:tcPr>
            <w:tcW w:w="4719" w:type="dxa"/>
            <w:vMerge w:val="restart"/>
          </w:tcPr>
          <w:p w:rsidR="003F6191" w:rsidRDefault="003F6191" w:rsidP="00260C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Załącznik nr 8 do Regulaminu konkursu:</w:t>
            </w:r>
          </w:p>
          <w:p w:rsidR="003F6191" w:rsidRDefault="003F6191" w:rsidP="00260C6C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60C6C">
              <w:rPr>
                <w:rFonts w:ascii="Arial" w:hAnsi="Arial" w:cs="Arial"/>
                <w:i/>
                <w:sz w:val="24"/>
                <w:szCs w:val="24"/>
              </w:rPr>
              <w:t xml:space="preserve">Standard udzielania wsparcia związanego z organizacją staży lub praktyk zawodowych na rzecz uczestników projektów w ramach </w:t>
            </w:r>
            <w:proofErr w:type="spellStart"/>
            <w:r w:rsidRPr="00260C6C">
              <w:rPr>
                <w:rFonts w:ascii="Arial" w:hAnsi="Arial" w:cs="Arial"/>
                <w:i/>
                <w:sz w:val="24"/>
                <w:szCs w:val="24"/>
              </w:rPr>
              <w:t>Poddziałania</w:t>
            </w:r>
            <w:proofErr w:type="spellEnd"/>
            <w:r w:rsidRPr="00260C6C">
              <w:rPr>
                <w:rFonts w:ascii="Arial" w:hAnsi="Arial" w:cs="Arial"/>
                <w:i/>
                <w:sz w:val="24"/>
                <w:szCs w:val="24"/>
              </w:rPr>
              <w:t xml:space="preserve"> 7.1.3</w:t>
            </w:r>
          </w:p>
          <w:p w:rsidR="003F6191" w:rsidRDefault="003F6191" w:rsidP="00260C6C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F6191" w:rsidRPr="00260C6C" w:rsidRDefault="003F6191" w:rsidP="00260C6C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F6191">
              <w:rPr>
                <w:rFonts w:ascii="Arial" w:hAnsi="Arial" w:cs="Arial"/>
                <w:sz w:val="24"/>
                <w:szCs w:val="24"/>
              </w:rPr>
              <w:t>Zapisy przedmiotowego załącznika dostosowano do zmienionych zapisów</w:t>
            </w:r>
            <w:r w:rsidRPr="003F61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6191">
              <w:rPr>
                <w:rFonts w:ascii="Arial" w:hAnsi="Arial" w:cs="Arial"/>
                <w:i/>
                <w:sz w:val="24"/>
                <w:szCs w:val="24"/>
              </w:rPr>
              <w:t>Wytycznych w zakresie realizacji przedsięwzięć z udziałem środków Europejskiego Funduszu Społecznego w obszarze rynku pracy na lata 2014-2020</w:t>
            </w:r>
          </w:p>
        </w:tc>
        <w:tc>
          <w:tcPr>
            <w:tcW w:w="4711" w:type="dxa"/>
          </w:tcPr>
          <w:p w:rsidR="003F6191" w:rsidRDefault="003F6191" w:rsidP="003F6191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IV. </w:t>
            </w:r>
            <w:r w:rsidRPr="00B55F7C">
              <w:rPr>
                <w:rFonts w:ascii="Arial" w:hAnsi="Arial" w:cs="Arial"/>
                <w:b/>
                <w:sz w:val="24"/>
                <w:szCs w:val="24"/>
                <w:u w:val="single"/>
              </w:rPr>
              <w:t>Czas trwania</w:t>
            </w:r>
            <w:r w:rsidRPr="00B55F7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B55F7C">
              <w:rPr>
                <w:rFonts w:ascii="Arial" w:hAnsi="Arial" w:cs="Arial"/>
                <w:b/>
                <w:sz w:val="24"/>
                <w:szCs w:val="24"/>
                <w:u w:val="single"/>
              </w:rPr>
              <w:t>staży</w:t>
            </w:r>
          </w:p>
          <w:p w:rsidR="003F6191" w:rsidRPr="00AB43C6" w:rsidRDefault="003F6191" w:rsidP="003F61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AB43C6">
              <w:rPr>
                <w:rFonts w:ascii="Arial" w:hAnsi="Arial" w:cs="Arial"/>
                <w:sz w:val="24"/>
                <w:szCs w:val="24"/>
              </w:rPr>
              <w:t>Staż trwa nie dłużej niż 6 miesięcy kalendarzowych. W uzasadnionych przypadkach, wynikających ze specyfiki stanowiska pracy, na którym odbywa się staż, może być wydłużony stosownie do programu stażu</w:t>
            </w:r>
            <w:r w:rsidRPr="00AB43C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3F6191" w:rsidRPr="003F6191" w:rsidRDefault="003F6191" w:rsidP="003F619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:rsidR="003F6191" w:rsidRPr="003F6191" w:rsidRDefault="003F6191" w:rsidP="003F61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9" w:type="dxa"/>
          </w:tcPr>
          <w:p w:rsidR="003F6191" w:rsidRDefault="003F6191" w:rsidP="003F6191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IV. </w:t>
            </w:r>
            <w:r w:rsidRPr="00B55F7C">
              <w:rPr>
                <w:rFonts w:ascii="Arial" w:hAnsi="Arial" w:cs="Arial"/>
                <w:b/>
                <w:sz w:val="24"/>
                <w:szCs w:val="24"/>
                <w:u w:val="single"/>
              </w:rPr>
              <w:t>Czas trwania</w:t>
            </w:r>
            <w:r w:rsidRPr="00B55F7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B55F7C">
              <w:rPr>
                <w:rFonts w:ascii="Arial" w:hAnsi="Arial" w:cs="Arial"/>
                <w:b/>
                <w:sz w:val="24"/>
                <w:szCs w:val="24"/>
                <w:u w:val="single"/>
              </w:rPr>
              <w:t>staży</w:t>
            </w:r>
          </w:p>
          <w:p w:rsidR="003F6191" w:rsidRPr="003F6191" w:rsidRDefault="003F6191" w:rsidP="003F6191">
            <w:pPr>
              <w:spacing w:before="240" w:after="120"/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AB43C6">
              <w:rPr>
                <w:rFonts w:ascii="Arial" w:hAnsi="Arial" w:cs="Arial"/>
                <w:sz w:val="24"/>
                <w:szCs w:val="24"/>
              </w:rPr>
              <w:t>Staż trwa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191">
              <w:rPr>
                <w:rFonts w:ascii="Arial" w:hAnsi="Arial" w:cs="Arial"/>
                <w:b/>
                <w:color w:val="FF0000"/>
                <w:sz w:val="24"/>
                <w:szCs w:val="24"/>
              </w:rPr>
              <w:t>co najmniej 3 miesiące</w:t>
            </w:r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AB43C6">
              <w:rPr>
                <w:rFonts w:ascii="Arial" w:hAnsi="Arial" w:cs="Arial"/>
                <w:sz w:val="24"/>
                <w:szCs w:val="24"/>
              </w:rPr>
              <w:t xml:space="preserve"> nie dłużej niż 6 miesięcy kalendarzowych. W uzasadnionych przypadkach, wynikających ze specyfiki stanowiska pracy, na którym odbywa się staż, </w:t>
            </w:r>
            <w:r>
              <w:rPr>
                <w:rFonts w:ascii="Arial" w:hAnsi="Arial" w:cs="Arial"/>
                <w:sz w:val="24"/>
                <w:szCs w:val="24"/>
              </w:rPr>
              <w:t xml:space="preserve">okres ten </w:t>
            </w:r>
            <w:r w:rsidRPr="00AB43C6">
              <w:rPr>
                <w:rFonts w:ascii="Arial" w:hAnsi="Arial" w:cs="Arial"/>
                <w:sz w:val="24"/>
                <w:szCs w:val="24"/>
              </w:rPr>
              <w:t xml:space="preserve">może być </w:t>
            </w:r>
            <w:r>
              <w:rPr>
                <w:rFonts w:ascii="Arial" w:hAnsi="Arial" w:cs="Arial"/>
                <w:sz w:val="24"/>
                <w:szCs w:val="24"/>
              </w:rPr>
              <w:t>zmieniony</w:t>
            </w:r>
            <w:r w:rsidRPr="00AB43C6">
              <w:rPr>
                <w:rFonts w:ascii="Arial" w:hAnsi="Arial" w:cs="Arial"/>
                <w:sz w:val="24"/>
                <w:szCs w:val="24"/>
              </w:rPr>
              <w:t xml:space="preserve"> stosownie do </w:t>
            </w:r>
            <w:r>
              <w:rPr>
                <w:rFonts w:ascii="Arial" w:hAnsi="Arial" w:cs="Arial"/>
                <w:sz w:val="24"/>
                <w:szCs w:val="24"/>
              </w:rPr>
              <w:t>planu</w:t>
            </w:r>
            <w:r w:rsidRPr="00AB43C6">
              <w:rPr>
                <w:rFonts w:ascii="Arial" w:hAnsi="Arial" w:cs="Arial"/>
                <w:sz w:val="24"/>
                <w:szCs w:val="24"/>
              </w:rPr>
              <w:t xml:space="preserve"> stażu</w:t>
            </w:r>
            <w:r w:rsidRPr="00AB43C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F619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Uzasadnienie krótszego okresu powinno zawierać informację o tym, dlaczego jest on wystarczający do </w:t>
            </w:r>
            <w:r w:rsidRPr="003F6191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osiągnięcia założonego w projekcie celu stażu.</w:t>
            </w:r>
            <w:r w:rsidRPr="003F6191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3F6191" w:rsidRPr="003F6191" w:rsidRDefault="003F6191" w:rsidP="00260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191" w:rsidRPr="00510CF0" w:rsidTr="003F6191">
        <w:trPr>
          <w:trHeight w:val="883"/>
        </w:trPr>
        <w:tc>
          <w:tcPr>
            <w:tcW w:w="4719" w:type="dxa"/>
            <w:vMerge/>
          </w:tcPr>
          <w:p w:rsidR="003F6191" w:rsidRDefault="003F6191" w:rsidP="00260C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3F6191" w:rsidRDefault="003F6191" w:rsidP="003F6191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VI. </w:t>
            </w:r>
            <w:r w:rsidRPr="00B55F7C">
              <w:rPr>
                <w:rFonts w:ascii="Arial" w:hAnsi="Arial" w:cs="Arial"/>
                <w:b/>
                <w:sz w:val="24"/>
                <w:szCs w:val="24"/>
                <w:u w:val="single"/>
              </w:rPr>
              <w:t>Obowiązki stron</w:t>
            </w:r>
          </w:p>
          <w:p w:rsidR="003F6191" w:rsidRPr="003F6191" w:rsidRDefault="003F6191" w:rsidP="003F6191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3F6191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Pr="003F619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Obowiązki beneficjenta:</w:t>
            </w:r>
          </w:p>
          <w:p w:rsidR="003F6191" w:rsidRPr="003F6191" w:rsidRDefault="003F6191" w:rsidP="003F6191">
            <w:pPr>
              <w:pStyle w:val="Default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line="276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191">
              <w:rPr>
                <w:rFonts w:ascii="Arial" w:hAnsi="Arial" w:cs="Arial"/>
                <w:sz w:val="24"/>
                <w:szCs w:val="24"/>
              </w:rPr>
              <w:t xml:space="preserve">pokrywanie kosztów przejazdu, zakwaterowania, wyżywienia stażysty, </w:t>
            </w:r>
            <w:r w:rsidRPr="003F6191">
              <w:rPr>
                <w:rFonts w:ascii="Arial" w:hAnsi="Arial" w:cs="Arial"/>
                <w:b/>
                <w:color w:val="FF0000"/>
                <w:sz w:val="24"/>
                <w:szCs w:val="24"/>
              </w:rPr>
              <w:t>opieki nad osobami zależnymi</w:t>
            </w:r>
            <w:r w:rsidRPr="003F6191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Pr="003F6191">
              <w:rPr>
                <w:rFonts w:ascii="Arial" w:hAnsi="Arial" w:cs="Arial"/>
                <w:sz w:val="24"/>
                <w:szCs w:val="24"/>
              </w:rPr>
              <w:t xml:space="preserve"> oraz wypłatę stypendium za odbywany staż;</w:t>
            </w:r>
          </w:p>
          <w:p w:rsidR="003F6191" w:rsidRPr="003F6191" w:rsidRDefault="003F6191" w:rsidP="00260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9" w:type="dxa"/>
          </w:tcPr>
          <w:p w:rsidR="003F6191" w:rsidRDefault="003F6191" w:rsidP="003F6191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VI. </w:t>
            </w:r>
            <w:r w:rsidRPr="00B55F7C">
              <w:rPr>
                <w:rFonts w:ascii="Arial" w:hAnsi="Arial" w:cs="Arial"/>
                <w:b/>
                <w:sz w:val="24"/>
                <w:szCs w:val="24"/>
                <w:u w:val="single"/>
              </w:rPr>
              <w:t>Obowiązki stron</w:t>
            </w:r>
          </w:p>
          <w:p w:rsidR="003F6191" w:rsidRPr="003F6191" w:rsidRDefault="003F6191" w:rsidP="003F6191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3F6191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Pr="003F619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Obowiązki beneficjenta:</w:t>
            </w:r>
          </w:p>
          <w:p w:rsidR="003F6191" w:rsidRPr="003F6191" w:rsidRDefault="003F6191" w:rsidP="003F6191">
            <w:pPr>
              <w:pStyle w:val="Default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line="276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191">
              <w:rPr>
                <w:rFonts w:ascii="Arial" w:hAnsi="Arial" w:cs="Arial"/>
                <w:sz w:val="24"/>
                <w:szCs w:val="24"/>
              </w:rPr>
              <w:t xml:space="preserve">pokrywanie kosztów przejazdu, zakwaterowania, wyżywienia stażysty, </w:t>
            </w:r>
            <w:r w:rsidRPr="003F6191">
              <w:rPr>
                <w:rFonts w:ascii="Arial" w:hAnsi="Arial" w:cs="Arial"/>
                <w:b/>
                <w:color w:val="FF0000"/>
                <w:sz w:val="24"/>
                <w:szCs w:val="24"/>
              </w:rPr>
              <w:t>opieki nad osobami potrzebującymi wsparcia w codziennym funkcjonowaniu</w:t>
            </w:r>
            <w:r w:rsidRPr="003F6191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Pr="003F6191">
              <w:rPr>
                <w:rFonts w:ascii="Arial" w:hAnsi="Arial" w:cs="Arial"/>
                <w:sz w:val="24"/>
                <w:szCs w:val="24"/>
              </w:rPr>
              <w:t xml:space="preserve"> oraz wypłatę stypendium za odbywany staż;</w:t>
            </w:r>
          </w:p>
          <w:p w:rsidR="003F6191" w:rsidRPr="003F6191" w:rsidRDefault="003F6191" w:rsidP="00260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191" w:rsidRPr="00510CF0" w:rsidTr="003F6191">
        <w:trPr>
          <w:trHeight w:val="533"/>
        </w:trPr>
        <w:tc>
          <w:tcPr>
            <w:tcW w:w="4719" w:type="dxa"/>
            <w:vMerge/>
          </w:tcPr>
          <w:p w:rsidR="003F6191" w:rsidRDefault="003F6191" w:rsidP="00260C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3F6191" w:rsidRDefault="003F6191" w:rsidP="003F6191">
            <w:pPr>
              <w:pStyle w:val="NormalnyWeb"/>
              <w:numPr>
                <w:ilvl w:val="0"/>
                <w:numId w:val="32"/>
              </w:numPr>
              <w:spacing w:before="0" w:beforeAutospacing="0" w:after="240" w:afterAutospacing="0" w:line="276" w:lineRule="auto"/>
              <w:rPr>
                <w:rFonts w:ascii="Arial" w:hAnsi="Arial" w:cs="Arial"/>
                <w:color w:val="000000"/>
              </w:rPr>
            </w:pPr>
            <w:r w:rsidRPr="00B55F7C">
              <w:rPr>
                <w:rFonts w:ascii="Arial" w:hAnsi="Arial" w:cs="Arial"/>
                <w:b/>
                <w:u w:val="single"/>
              </w:rPr>
              <w:t>Wynagrodzenie za staż</w:t>
            </w:r>
          </w:p>
          <w:p w:rsidR="003F6191" w:rsidRDefault="003F6191" w:rsidP="003F619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="TTFF5B7610t00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1) </w:t>
            </w:r>
            <w:r w:rsidRPr="00B55F7C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Osobom uczestniczącym w stażu przysługuje </w:t>
            </w:r>
            <w:r w:rsidRPr="00BF540C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>stypendium stażowe</w:t>
            </w:r>
            <w:r>
              <w:rPr>
                <w:rStyle w:val="Odwoanieprzypisudolnego"/>
                <w:rFonts w:ascii="Arial" w:eastAsia="TTFF5B7610t00" w:hAnsi="Arial"/>
                <w:sz w:val="24"/>
                <w:szCs w:val="24"/>
                <w:lang w:eastAsia="pl-PL"/>
              </w:rPr>
              <w:footnoteReference w:id="4"/>
            </w:r>
            <w:r w:rsidRPr="00BF540C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, które miesięcznie wynosi 120% zasiłku, o którym mowa w art. 72 ust. 1 </w:t>
            </w:r>
            <w:proofErr w:type="spellStart"/>
            <w:r w:rsidRPr="00BF540C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>pkt</w:t>
            </w:r>
            <w:proofErr w:type="spellEnd"/>
            <w:r w:rsidRPr="00BF540C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 1 ustawy </w:t>
            </w:r>
            <w:r w:rsidRPr="00BF540C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lastRenderedPageBreak/>
              <w:t>o promocji zatrudnienia i instytucjach rynku pracy</w:t>
            </w:r>
            <w:r>
              <w:rPr>
                <w:rStyle w:val="Odwoanieprzypisudolnego"/>
                <w:rFonts w:ascii="Arial" w:eastAsia="TTFF5B7610t00" w:hAnsi="Arial" w:cs="Arial"/>
                <w:sz w:val="24"/>
                <w:szCs w:val="24"/>
                <w:lang w:eastAsia="pl-PL"/>
              </w:rPr>
              <w:footnoteReference w:id="5"/>
            </w:r>
            <w:r w:rsidRPr="00BF540C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>, jeżeli miesięczna liczba godzin stażu wynosi nie mniej niż 160 godzin miesięcznie</w:t>
            </w:r>
            <w:r>
              <w:rPr>
                <w:rStyle w:val="Odwoanieprzypisudolnego"/>
                <w:rFonts w:ascii="Arial" w:eastAsia="TTFF5B7610t00" w:hAnsi="Arial" w:cs="Arial"/>
                <w:sz w:val="24"/>
                <w:szCs w:val="24"/>
                <w:lang w:eastAsia="pl-PL"/>
              </w:rPr>
              <w:footnoteReference w:id="6"/>
            </w:r>
            <w:r w:rsidRPr="00BF540C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 – w przypadku niższego miesięcznego wymiaru godzin, wysokość stypendium ustala się proporcjonalnie</w:t>
            </w:r>
            <w:r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>, chyba że w danym miesiącu nie występuje 20 dni roboczych i odbywanie stażu w mniejszej liczbie godzin stażowych jest niezawinione ze strony uczestnika i podmiotu przyjmującego na staż</w:t>
            </w:r>
            <w:r>
              <w:rPr>
                <w:rStyle w:val="Odwoanieprzypisudolnego"/>
                <w:rFonts w:ascii="Arial" w:eastAsia="TTFF5B7610t00" w:hAnsi="Arial" w:cs="Arial"/>
                <w:sz w:val="24"/>
                <w:szCs w:val="24"/>
                <w:lang w:eastAsia="pl-PL"/>
              </w:rPr>
              <w:footnoteReference w:id="7"/>
            </w:r>
            <w:r w:rsidRPr="00B55F7C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>.</w:t>
            </w:r>
          </w:p>
          <w:p w:rsidR="003F6191" w:rsidRDefault="003F6191" w:rsidP="00260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191" w:rsidRDefault="003F6191" w:rsidP="00260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191" w:rsidRDefault="003F6191" w:rsidP="00260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191" w:rsidRDefault="003F6191" w:rsidP="00260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191" w:rsidRDefault="003F6191" w:rsidP="00260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191" w:rsidRDefault="003F6191" w:rsidP="00260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191" w:rsidRDefault="003F6191" w:rsidP="00260C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191" w:rsidRPr="003F6191" w:rsidRDefault="003F6191" w:rsidP="003F619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="TTFF5B7610t00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5) </w:t>
            </w:r>
            <w:r w:rsidRPr="003F6191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Osoba zachowuje prawo do stypendium stażowego za okres udokumentowanej niezdolności do wykonywania zadań przypadający w okresie odbywania stażu, za który na podstawie odrębnych przepisów pracownicy zachowują prawo do wynagrodzenia lub przysługują im zasiłki z ubezpieczenia społecznego w razie choroby lub macierzyństwa. </w:t>
            </w:r>
          </w:p>
          <w:p w:rsidR="003F6191" w:rsidRDefault="003F6191" w:rsidP="003F619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="TTFF5B7610t00" w:hAnsi="Arial" w:cs="Arial"/>
                <w:sz w:val="24"/>
                <w:szCs w:val="24"/>
                <w:lang w:eastAsia="pl-PL"/>
              </w:rPr>
            </w:pPr>
          </w:p>
          <w:p w:rsidR="003F6191" w:rsidRDefault="003F6191" w:rsidP="003F619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="TTFF5B7610t00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7) </w:t>
            </w:r>
            <w:r w:rsidRPr="001A7D4D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Osobom uczestniczącym w stażu, w okresie jego trwania, można pokryć koszty opieki nad dzieckiem lub dziećmi do lat 7 oraz osobami zależnymi w wysokości </w:t>
            </w:r>
            <w:r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>wynikającej z wniosku o dofinansowanie</w:t>
            </w:r>
            <w:r w:rsidRPr="001A7D4D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. </w:t>
            </w:r>
          </w:p>
          <w:p w:rsidR="009A7B3B" w:rsidRDefault="009A7B3B" w:rsidP="003F619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="TTFF5B7610t00" w:hAnsi="Arial" w:cs="Arial"/>
                <w:sz w:val="24"/>
                <w:szCs w:val="24"/>
                <w:lang w:eastAsia="pl-PL"/>
              </w:rPr>
            </w:pPr>
          </w:p>
          <w:p w:rsidR="003F6191" w:rsidRPr="003F6191" w:rsidRDefault="009A7B3B" w:rsidP="009A7B3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10) </w:t>
            </w:r>
            <w:r w:rsidRPr="00B55F7C">
              <w:rPr>
                <w:rFonts w:ascii="Arial" w:hAnsi="Arial" w:cs="Arial"/>
                <w:sz w:val="24"/>
                <w:szCs w:val="24"/>
              </w:rPr>
              <w:t xml:space="preserve">Katalog wydatków przewidzianych w ramach projektu może uwzględniać </w:t>
            </w:r>
            <w:r>
              <w:rPr>
                <w:rFonts w:ascii="Arial" w:hAnsi="Arial" w:cs="Arial"/>
                <w:sz w:val="24"/>
                <w:szCs w:val="24"/>
              </w:rPr>
              <w:t xml:space="preserve">również inne </w:t>
            </w:r>
            <w:r w:rsidRPr="00B55F7C">
              <w:rPr>
                <w:rFonts w:ascii="Arial" w:hAnsi="Arial" w:cs="Arial"/>
                <w:sz w:val="24"/>
                <w:szCs w:val="24"/>
              </w:rPr>
              <w:t xml:space="preserve">koszty związane z odbywaniem stażu </w:t>
            </w:r>
            <w:r>
              <w:rPr>
                <w:rFonts w:ascii="Arial" w:hAnsi="Arial" w:cs="Arial"/>
                <w:sz w:val="24"/>
                <w:szCs w:val="24"/>
              </w:rPr>
              <w:t>takie jak:</w:t>
            </w:r>
            <w:r w:rsidRPr="00B55F7C">
              <w:rPr>
                <w:rFonts w:ascii="Arial" w:hAnsi="Arial" w:cs="Arial"/>
                <w:sz w:val="24"/>
                <w:szCs w:val="24"/>
              </w:rPr>
              <w:t xml:space="preserve"> koszty dojazdu, koszty </w:t>
            </w:r>
            <w:r>
              <w:rPr>
                <w:rFonts w:ascii="Arial" w:hAnsi="Arial" w:cs="Arial"/>
                <w:sz w:val="24"/>
                <w:szCs w:val="24"/>
              </w:rPr>
              <w:t>zakupu zużywalnych materiałów i narzędzi niezbędnych stażyście do odbycia stażu</w:t>
            </w:r>
            <w:r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8"/>
            </w:r>
            <w:r w:rsidRPr="00B55F7C">
              <w:rPr>
                <w:rFonts w:ascii="Arial" w:hAnsi="Arial" w:cs="Arial"/>
                <w:sz w:val="24"/>
                <w:szCs w:val="24"/>
              </w:rPr>
              <w:t xml:space="preserve"> szkolenia BHP stażysty w wysokości nieprzekraczającej 5 000 zł brutto na 1 stażystę</w:t>
            </w:r>
            <w:r>
              <w:rPr>
                <w:rFonts w:ascii="Arial" w:hAnsi="Arial" w:cs="Arial"/>
                <w:sz w:val="24"/>
                <w:szCs w:val="24"/>
              </w:rPr>
              <w:t>, które są rozliczane jako refundacja wydatków poniesionych przez podmiot przyjmujący na staż</w:t>
            </w:r>
            <w:r w:rsidRPr="00B55F7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Katalog wydatków nie obejmuje wyposażenia stanowiska stażu.</w:t>
            </w:r>
            <w:r w:rsidRPr="00B55F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</w:tcPr>
          <w:p w:rsidR="003F6191" w:rsidRDefault="003F6191" w:rsidP="003F6191">
            <w:pPr>
              <w:pStyle w:val="NormalnyWeb"/>
              <w:numPr>
                <w:ilvl w:val="0"/>
                <w:numId w:val="32"/>
              </w:numPr>
              <w:spacing w:before="0" w:beforeAutospacing="0" w:after="240" w:afterAutospacing="0" w:line="276" w:lineRule="auto"/>
              <w:rPr>
                <w:rFonts w:ascii="Arial" w:hAnsi="Arial" w:cs="Arial"/>
                <w:color w:val="000000"/>
              </w:rPr>
            </w:pPr>
            <w:r w:rsidRPr="00B55F7C">
              <w:rPr>
                <w:rFonts w:ascii="Arial" w:hAnsi="Arial" w:cs="Arial"/>
                <w:b/>
                <w:u w:val="single"/>
              </w:rPr>
              <w:lastRenderedPageBreak/>
              <w:t>Wynagrodzenie za staż</w:t>
            </w:r>
          </w:p>
          <w:p w:rsidR="003F6191" w:rsidRPr="003F6191" w:rsidRDefault="003F6191" w:rsidP="003F61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1) </w:t>
            </w:r>
            <w:r w:rsidRPr="003F6191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>Osobom uczestniczącym w stażu przysługuje stypendium stażowe</w:t>
            </w:r>
            <w:r>
              <w:rPr>
                <w:rStyle w:val="Odwoanieprzypisudolnego"/>
                <w:rFonts w:ascii="Arial" w:eastAsia="TTFF5B7610t00" w:hAnsi="Arial"/>
                <w:sz w:val="24"/>
                <w:szCs w:val="24"/>
                <w:lang w:eastAsia="pl-PL"/>
              </w:rPr>
              <w:footnoteReference w:id="9"/>
            </w:r>
            <w:r w:rsidRPr="003F6191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, które miesięcznie wynosi </w:t>
            </w:r>
            <w:r w:rsidRPr="003F6191">
              <w:rPr>
                <w:rFonts w:ascii="Arial" w:hAnsi="Arial" w:cs="Arial"/>
                <w:sz w:val="24"/>
                <w:szCs w:val="24"/>
              </w:rPr>
              <w:t>80% wartości netto minimalnego wynagrodzenia za pracę</w:t>
            </w:r>
            <w:r w:rsidRPr="003F6191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, o </w:t>
            </w:r>
            <w:r w:rsidRPr="003F6191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lastRenderedPageBreak/>
              <w:t xml:space="preserve">którym mowa w przepisach o minimalnym wynagrodzeniu za pracę, obowiązującego w roku złożenia przez Wnioskodawcę wniosku o dofinansowanie w odpowiedzi na niniejszy konkurs.  </w:t>
            </w:r>
          </w:p>
          <w:p w:rsidR="003F6191" w:rsidRDefault="003F6191" w:rsidP="003F619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="TTFF5B7610t00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>2) M</w:t>
            </w:r>
            <w:r w:rsidRPr="00BF540C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iesięczna </w:t>
            </w:r>
            <w:r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wysokość stypendium stażowego przysługuje jeżeli </w:t>
            </w:r>
            <w:r w:rsidRPr="00BF540C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liczba godzin stażu </w:t>
            </w:r>
            <w:r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>w miesiącu kalendarzowym</w:t>
            </w:r>
            <w:r w:rsidRPr="00BF540C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 wynosi nie mniej niż 160 godzin miesięcznie</w:t>
            </w:r>
            <w:r>
              <w:rPr>
                <w:rStyle w:val="Odwoanieprzypisudolnego"/>
                <w:rFonts w:ascii="Arial" w:eastAsia="TTFF5B7610t00" w:hAnsi="Arial" w:cs="Arial"/>
                <w:sz w:val="24"/>
                <w:szCs w:val="24"/>
                <w:lang w:eastAsia="pl-PL"/>
              </w:rPr>
              <w:footnoteReference w:id="10"/>
            </w:r>
            <w:r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>.</w:t>
            </w:r>
          </w:p>
          <w:p w:rsidR="003F6191" w:rsidRPr="003F6191" w:rsidRDefault="003F6191" w:rsidP="003F61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3) </w:t>
            </w:r>
            <w:r w:rsidRPr="003F6191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W przypadku niższego miesięcznego wymiaru godzin, wysokość stypendium ustala się proporcjonalnie. , Do wyliczenia niepełnego stypendium należy posługiwać się liczbą dni roboczych w danym miesiącu i na tej podstawie wyliczyć stawkę za dzień roboczy w tym miesiącu. Kwotę stypendium stażowego należy </w:t>
            </w:r>
            <w:r w:rsidRPr="003F6191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lastRenderedPageBreak/>
              <w:t>wyliczyć poprzez przemnożenie liczby dni roboczych, podczas których uczestnik odbywał staż przez stawkę dzienną.</w:t>
            </w:r>
          </w:p>
          <w:p w:rsidR="003F6191" w:rsidRDefault="003F6191" w:rsidP="003F61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191" w:rsidRDefault="003F6191" w:rsidP="003F6191">
            <w:pPr>
              <w:autoSpaceDE w:val="0"/>
              <w:autoSpaceDN w:val="0"/>
              <w:adjustRightInd w:val="0"/>
              <w:spacing w:after="240"/>
              <w:ind w:left="64"/>
              <w:jc w:val="both"/>
              <w:rPr>
                <w:rFonts w:ascii="Arial" w:eastAsia="TTFF5B7610t00" w:hAnsi="Arial" w:cs="Arial"/>
                <w:sz w:val="24"/>
                <w:szCs w:val="24"/>
                <w:lang w:eastAsia="pl-PL"/>
              </w:rPr>
            </w:pPr>
            <w:bookmarkStart w:id="5" w:name="_GoBack"/>
            <w:bookmarkEnd w:id="5"/>
            <w:r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7) </w:t>
            </w:r>
            <w:r w:rsidRPr="001A7D4D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>Osob</w:t>
            </w:r>
            <w:r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a zachowuje prawo do stypendium </w:t>
            </w:r>
            <w:r w:rsidRPr="001A7D4D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stażowego za okres udokumentowanej niezdolności do </w:t>
            </w:r>
            <w:r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>odbywania stażu, wykonywania zadań</w:t>
            </w:r>
            <w:r w:rsidRPr="001A7D4D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 przypadający w okresie </w:t>
            </w:r>
            <w:r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>jego trwania</w:t>
            </w:r>
            <w:r w:rsidRPr="001A7D4D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, za który na podstawie odrębnych przepisów pracownicy zachowują prawo do wynagrodzenia lub przysługują im zasiłki z ubezpieczenia społecznego w razie choroby lub macierzyństwa. </w:t>
            </w:r>
          </w:p>
          <w:p w:rsidR="003F6191" w:rsidRDefault="003F6191" w:rsidP="003F61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7B3B" w:rsidRDefault="009A7B3B" w:rsidP="009A7B3B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="TTFF5B7610t00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9) </w:t>
            </w:r>
            <w:r w:rsidRPr="001A7D4D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Osobom uczestniczącym w stażu, w okresie jego trwania, można pokryć koszty opieki nad dzieckiem lub dziećmi do lat 7 oraz osobami </w:t>
            </w:r>
            <w:r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>potrzebującymi wsparcia w codziennym funkcjonowaniu</w:t>
            </w:r>
            <w:r w:rsidRPr="001A7D4D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 w wysokości </w:t>
            </w:r>
            <w:r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>wynikającej z wniosku o dofinansowanie</w:t>
            </w:r>
            <w:r w:rsidRPr="001A7D4D">
              <w:rPr>
                <w:rFonts w:ascii="Arial" w:eastAsia="TTFF5B7610t00" w:hAnsi="Arial" w:cs="Arial"/>
                <w:sz w:val="24"/>
                <w:szCs w:val="24"/>
                <w:lang w:eastAsia="pl-PL"/>
              </w:rPr>
              <w:t xml:space="preserve">. </w:t>
            </w:r>
          </w:p>
          <w:p w:rsidR="003F6191" w:rsidRDefault="003F6191" w:rsidP="003F61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191" w:rsidRPr="003F6191" w:rsidRDefault="009A7B3B" w:rsidP="009A7B3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12) </w:t>
            </w:r>
            <w:r w:rsidRPr="00B55F7C">
              <w:rPr>
                <w:rFonts w:ascii="Arial" w:hAnsi="Arial" w:cs="Arial"/>
                <w:sz w:val="24"/>
                <w:szCs w:val="24"/>
              </w:rPr>
              <w:t xml:space="preserve">Katalog wydatków przewidzianych w </w:t>
            </w:r>
            <w:r w:rsidRPr="00B55F7C">
              <w:rPr>
                <w:rFonts w:ascii="Arial" w:hAnsi="Arial" w:cs="Arial"/>
                <w:sz w:val="24"/>
                <w:szCs w:val="24"/>
              </w:rPr>
              <w:lastRenderedPageBreak/>
              <w:t xml:space="preserve">ramach projektu może uwzględniać </w:t>
            </w:r>
            <w:r>
              <w:rPr>
                <w:rFonts w:ascii="Arial" w:hAnsi="Arial" w:cs="Arial"/>
                <w:sz w:val="24"/>
                <w:szCs w:val="24"/>
              </w:rPr>
              <w:t xml:space="preserve">również inne </w:t>
            </w:r>
            <w:r w:rsidRPr="00B55F7C">
              <w:rPr>
                <w:rFonts w:ascii="Arial" w:hAnsi="Arial" w:cs="Arial"/>
                <w:sz w:val="24"/>
                <w:szCs w:val="24"/>
              </w:rPr>
              <w:t xml:space="preserve">koszty związane z odbywaniem stażu </w:t>
            </w:r>
            <w:r>
              <w:rPr>
                <w:rFonts w:ascii="Arial" w:hAnsi="Arial" w:cs="Arial"/>
                <w:sz w:val="24"/>
                <w:szCs w:val="24"/>
              </w:rPr>
              <w:t>takie jak:</w:t>
            </w:r>
            <w:r w:rsidRPr="00B55F7C">
              <w:rPr>
                <w:rFonts w:ascii="Arial" w:hAnsi="Arial" w:cs="Arial"/>
                <w:sz w:val="24"/>
                <w:szCs w:val="24"/>
              </w:rPr>
              <w:t xml:space="preserve"> koszty dojazdu, koszty </w:t>
            </w:r>
            <w:r>
              <w:rPr>
                <w:rFonts w:ascii="Arial" w:hAnsi="Arial" w:cs="Arial"/>
                <w:sz w:val="24"/>
                <w:szCs w:val="24"/>
              </w:rPr>
              <w:t>zakupu zużywalnych materiałów i narzędzi niezbędnych stażyście do odbycia stażu</w:t>
            </w:r>
            <w:r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1"/>
            </w:r>
            <w:r w:rsidRPr="00B55F7C">
              <w:rPr>
                <w:rFonts w:ascii="Arial" w:hAnsi="Arial" w:cs="Arial"/>
                <w:sz w:val="24"/>
                <w:szCs w:val="24"/>
              </w:rPr>
              <w:t xml:space="preserve"> szkolenia BHP stażysty</w:t>
            </w:r>
            <w:r>
              <w:rPr>
                <w:rFonts w:ascii="Arial" w:hAnsi="Arial" w:cs="Arial"/>
                <w:sz w:val="24"/>
                <w:szCs w:val="24"/>
              </w:rPr>
              <w:t>. Koszty te nie mogą przekroczyć</w:t>
            </w:r>
            <w:r w:rsidRPr="00B55F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kwoty</w:t>
            </w:r>
            <w:r w:rsidRPr="00B55F7C">
              <w:rPr>
                <w:rFonts w:ascii="Arial" w:hAnsi="Arial" w:cs="Arial"/>
                <w:sz w:val="24"/>
                <w:szCs w:val="24"/>
              </w:rPr>
              <w:t xml:space="preserve"> 5 000 zł brutto na 1 stażystę</w:t>
            </w:r>
            <w:r>
              <w:rPr>
                <w:rFonts w:ascii="Arial" w:hAnsi="Arial" w:cs="Arial"/>
                <w:sz w:val="24"/>
                <w:szCs w:val="24"/>
              </w:rPr>
              <w:t xml:space="preserve"> i są rozliczane jako refundacja wydatków poniesionych przez podmiot przyjmujący na staż</w:t>
            </w:r>
            <w:r w:rsidRPr="00B55F7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Katalog wydatków nie obejmuje wyposażenia stanowiska stażu.</w:t>
            </w:r>
            <w:r w:rsidRPr="00B55F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F6191" w:rsidRPr="00510CF0" w:rsidTr="003F6191">
        <w:trPr>
          <w:trHeight w:val="558"/>
        </w:trPr>
        <w:tc>
          <w:tcPr>
            <w:tcW w:w="4719" w:type="dxa"/>
            <w:vMerge/>
          </w:tcPr>
          <w:p w:rsidR="003F6191" w:rsidRDefault="003F6191" w:rsidP="00260C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9A7B3B" w:rsidRDefault="009A7B3B" w:rsidP="009A7B3B">
            <w:pPr>
              <w:pStyle w:val="NormalnyWeb"/>
              <w:spacing w:before="0" w:beforeAutospacing="0" w:after="240" w:afterAutospacing="0" w:line="27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VIII. </w:t>
            </w:r>
            <w:r w:rsidRPr="00B55F7C">
              <w:rPr>
                <w:rFonts w:ascii="Arial" w:hAnsi="Arial" w:cs="Arial"/>
                <w:b/>
                <w:u w:val="single"/>
              </w:rPr>
              <w:t>Wynagrodzenie opiekuna stażysty</w:t>
            </w:r>
          </w:p>
          <w:p w:rsidR="003F6191" w:rsidRPr="003F6191" w:rsidRDefault="009A7B3B" w:rsidP="009A7B3B">
            <w:pPr>
              <w:spacing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3) Funkcję opiekuna stażysty </w:t>
            </w:r>
            <w:r w:rsidRPr="00E74C0B">
              <w:rPr>
                <w:rFonts w:ascii="Arial" w:hAnsi="Arial" w:cs="Arial"/>
                <w:sz w:val="24"/>
                <w:szCs w:val="24"/>
              </w:rPr>
              <w:t xml:space="preserve">może pełnić wyłącznie osoba posiadająca co najmniej </w:t>
            </w:r>
            <w:r>
              <w:rPr>
                <w:rFonts w:ascii="Arial" w:hAnsi="Arial" w:cs="Arial"/>
                <w:sz w:val="24"/>
                <w:szCs w:val="24"/>
              </w:rPr>
              <w:t>dwunastomiesięczny</w:t>
            </w:r>
            <w:r w:rsidRPr="00E74C0B">
              <w:rPr>
                <w:rFonts w:ascii="Arial" w:hAnsi="Arial" w:cs="Arial"/>
                <w:sz w:val="24"/>
                <w:szCs w:val="24"/>
              </w:rPr>
              <w:t xml:space="preserve"> staż pracy na danym stanowisku, na którym odbywa się staż lub co najmniej dwunastomiesięczne doświadczenie w branży/dziedzinie, w jakiej realizowany jest staż</w:t>
            </w:r>
            <w:r w:rsidRPr="00B55F7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19" w:type="dxa"/>
          </w:tcPr>
          <w:p w:rsidR="009A7B3B" w:rsidRDefault="009A7B3B" w:rsidP="009A7B3B">
            <w:pPr>
              <w:pStyle w:val="NormalnyWeb"/>
              <w:spacing w:before="0" w:beforeAutospacing="0" w:after="240" w:afterAutospacing="0" w:line="27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VIII. </w:t>
            </w:r>
            <w:r w:rsidRPr="00B55F7C">
              <w:rPr>
                <w:rFonts w:ascii="Arial" w:hAnsi="Arial" w:cs="Arial"/>
                <w:b/>
                <w:u w:val="single"/>
              </w:rPr>
              <w:t>Wynagrodzenie opiekuna stażysty</w:t>
            </w:r>
          </w:p>
          <w:p w:rsidR="003F6191" w:rsidRPr="003F6191" w:rsidRDefault="009A7B3B" w:rsidP="00E22321">
            <w:pPr>
              <w:spacing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3) Funkcję opiekuna stażysty </w:t>
            </w:r>
            <w:r w:rsidRPr="00E74C0B">
              <w:rPr>
                <w:rFonts w:ascii="Arial" w:hAnsi="Arial" w:cs="Arial"/>
                <w:sz w:val="24"/>
                <w:szCs w:val="24"/>
              </w:rPr>
              <w:t>może pełnić wyłącznie osoba posiadająca co najmniej dwunastomiesięczne doświadczenie w branży/dziedzinie, w jakiej realizowany jest staż</w:t>
            </w:r>
            <w:r>
              <w:rPr>
                <w:rFonts w:ascii="Arial" w:hAnsi="Arial" w:cs="Arial"/>
                <w:sz w:val="24"/>
                <w:szCs w:val="24"/>
              </w:rPr>
              <w:t xml:space="preserve"> (spełnienie tego wymogu musi być odpowiednio udokumentowane)</w:t>
            </w:r>
            <w:r w:rsidRPr="00B55F7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045BCE" w:rsidRPr="00510CF0" w:rsidRDefault="00045BCE">
      <w:pPr>
        <w:rPr>
          <w:rFonts w:ascii="Arial" w:hAnsi="Arial" w:cs="Arial"/>
        </w:rPr>
      </w:pPr>
    </w:p>
    <w:sectPr w:rsidR="00045BCE" w:rsidRPr="00510CF0" w:rsidSect="00985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EA032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0C4" w:rsidRPr="00666AE5" w:rsidRDefault="003220C4" w:rsidP="00666AE5">
      <w:pPr>
        <w:pStyle w:val="Akapitzlist"/>
        <w:spacing w:before="0" w:after="0" w:line="240" w:lineRule="auto"/>
        <w:rPr>
          <w:sz w:val="22"/>
          <w:szCs w:val="22"/>
        </w:rPr>
      </w:pPr>
      <w:r>
        <w:separator/>
      </w:r>
    </w:p>
  </w:endnote>
  <w:endnote w:type="continuationSeparator" w:id="0">
    <w:p w:rsidR="003220C4" w:rsidRPr="00666AE5" w:rsidRDefault="003220C4" w:rsidP="00666AE5">
      <w:pPr>
        <w:pStyle w:val="Akapitzlist"/>
        <w:spacing w:before="0" w:after="0" w:line="240" w:lineRule="auto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FF5B761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xo2.0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32" w:rsidRDefault="00525F3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DC" w:rsidRDefault="0061348C">
    <w:pPr>
      <w:pStyle w:val="Stopka"/>
      <w:jc w:val="right"/>
    </w:pPr>
    <w:r>
      <w:rPr>
        <w:noProof/>
      </w:rPr>
      <w:fldChar w:fldCharType="begin"/>
    </w:r>
    <w:r w:rsidR="003F0D2E">
      <w:rPr>
        <w:noProof/>
      </w:rPr>
      <w:instrText xml:space="preserve"> PAGE   \* MERGEFORMAT </w:instrText>
    </w:r>
    <w:r>
      <w:rPr>
        <w:noProof/>
      </w:rPr>
      <w:fldChar w:fldCharType="separate"/>
    </w:r>
    <w:r w:rsidR="00525F32">
      <w:rPr>
        <w:noProof/>
      </w:rPr>
      <w:t>1</w:t>
    </w:r>
    <w:r>
      <w:rPr>
        <w:noProof/>
      </w:rPr>
      <w:fldChar w:fldCharType="end"/>
    </w:r>
  </w:p>
  <w:p w:rsidR="00790EDC" w:rsidRDefault="00790ED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32" w:rsidRDefault="00525F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0C4" w:rsidRPr="00666AE5" w:rsidRDefault="003220C4" w:rsidP="00666AE5">
      <w:pPr>
        <w:pStyle w:val="Akapitzlist"/>
        <w:spacing w:before="0" w:after="0" w:line="240" w:lineRule="auto"/>
        <w:rPr>
          <w:sz w:val="22"/>
          <w:szCs w:val="22"/>
        </w:rPr>
      </w:pPr>
      <w:r>
        <w:separator/>
      </w:r>
    </w:p>
  </w:footnote>
  <w:footnote w:type="continuationSeparator" w:id="0">
    <w:p w:rsidR="003220C4" w:rsidRPr="00666AE5" w:rsidRDefault="003220C4" w:rsidP="00666AE5">
      <w:pPr>
        <w:pStyle w:val="Akapitzlist"/>
        <w:spacing w:before="0" w:after="0" w:line="240" w:lineRule="auto"/>
        <w:rPr>
          <w:sz w:val="22"/>
          <w:szCs w:val="22"/>
        </w:rPr>
      </w:pPr>
      <w:r>
        <w:continuationSeparator/>
      </w:r>
    </w:p>
  </w:footnote>
  <w:footnote w:id="1">
    <w:p w:rsidR="00E22321" w:rsidRDefault="00E22321" w:rsidP="00E22321">
      <w:pPr>
        <w:autoSpaceDE w:val="0"/>
        <w:autoSpaceDN w:val="0"/>
        <w:adjustRightInd w:val="0"/>
        <w:spacing w:after="0" w:line="240" w:lineRule="auto"/>
        <w:rPr>
          <w:rFonts w:ascii="Exo2.0-Regular" w:hAnsi="Exo2.0-Regular" w:cs="Exo2.0-Regular"/>
          <w:color w:val="42424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Exo2.0-Regular" w:hAnsi="Exo2.0-Regular" w:cs="Exo2.0-Regular"/>
          <w:color w:val="424242"/>
          <w:sz w:val="16"/>
          <w:szCs w:val="16"/>
          <w:lang w:eastAsia="pl-PL"/>
        </w:rPr>
        <w:t>W przypadku dużej liczby wniosków, zgodnie z przyjętą procedura wyboru, czas na ocenę może ulec wydłużeniu.</w:t>
      </w:r>
    </w:p>
  </w:footnote>
  <w:footnote w:id="2">
    <w:p w:rsidR="003F6191" w:rsidRDefault="003F6191" w:rsidP="003F6191">
      <w:pPr>
        <w:pStyle w:val="Tekstprzypisudolnego"/>
        <w:jc w:val="both"/>
      </w:pPr>
      <w:r w:rsidRPr="00E74C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4C0B">
        <w:rPr>
          <w:rFonts w:ascii="Arial" w:hAnsi="Arial" w:cs="Arial"/>
          <w:sz w:val="16"/>
          <w:szCs w:val="16"/>
        </w:rPr>
        <w:t xml:space="preserve"> Jeżeli koszty te są uzasadnione i przewidziane w ramach projektu.</w:t>
      </w:r>
    </w:p>
  </w:footnote>
  <w:footnote w:id="3">
    <w:p w:rsidR="003F6191" w:rsidRDefault="003F6191" w:rsidP="003F6191">
      <w:pPr>
        <w:pStyle w:val="Tekstprzypisudolnego"/>
        <w:jc w:val="both"/>
      </w:pPr>
      <w:r w:rsidRPr="00E74C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4C0B">
        <w:rPr>
          <w:rFonts w:ascii="Arial" w:hAnsi="Arial" w:cs="Arial"/>
          <w:sz w:val="16"/>
          <w:szCs w:val="16"/>
        </w:rPr>
        <w:t xml:space="preserve"> Jeżeli koszty te są uzasadnione i przewidziane w ramach projektu.</w:t>
      </w:r>
    </w:p>
  </w:footnote>
  <w:footnote w:id="4">
    <w:p w:rsidR="003F6191" w:rsidRDefault="003F6191" w:rsidP="003F619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066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6603">
        <w:rPr>
          <w:rFonts w:ascii="Arial" w:hAnsi="Arial" w:cs="Arial"/>
          <w:sz w:val="16"/>
          <w:szCs w:val="16"/>
        </w:rPr>
        <w:t xml:space="preserve"> W uzasadnionych przypadkach uczestnik może dobrowolnie zrezygnować z otrzymywania stypendium stażowego w projekcie. Beneficjent jest zobowiązany do ubezpieczenia od następstw nieszczęśliwych wypadków uczestnika projektu w sytuacji rezygnacji ze stypendium.</w:t>
      </w:r>
    </w:p>
  </w:footnote>
  <w:footnote w:id="5">
    <w:p w:rsidR="003F6191" w:rsidRDefault="003F6191" w:rsidP="003F6191">
      <w:pPr>
        <w:pStyle w:val="Tekstprzypisudolnego"/>
        <w:jc w:val="both"/>
      </w:pPr>
      <w:r w:rsidRPr="00E74C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4C0B">
        <w:rPr>
          <w:rFonts w:ascii="Arial" w:hAnsi="Arial" w:cs="Arial"/>
          <w:sz w:val="16"/>
          <w:szCs w:val="16"/>
        </w:rPr>
        <w:t xml:space="preserve"> Z uwzględnieniem waloryzacji, o której mowa w art. 72 ust. 6 ustawy o promocji zatrudnienia i instytucjach rynku pracy.</w:t>
      </w:r>
    </w:p>
  </w:footnote>
  <w:footnote w:id="6">
    <w:p w:rsidR="003F6191" w:rsidRDefault="003F6191" w:rsidP="003F6191">
      <w:pPr>
        <w:pStyle w:val="Tekstprzypisudolnego"/>
        <w:jc w:val="both"/>
      </w:pPr>
      <w:r w:rsidRPr="00E74C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4C0B">
        <w:rPr>
          <w:rFonts w:ascii="Arial" w:hAnsi="Arial" w:cs="Arial"/>
          <w:sz w:val="16"/>
          <w:szCs w:val="16"/>
        </w:rPr>
        <w:t xml:space="preserve"> W przypadku osób z niepełnosprawnością zaliczonych do znacznego lub umiarkowanego stopnia niepełnosprawności miesięczne stypendium przysługuje pod warunkiem, że miesięczna liczba godzin stażu wynosi nie mniej niż 140 godzin miesięcznie.</w:t>
      </w:r>
      <w:r>
        <w:rPr>
          <w:rFonts w:ascii="Arial" w:hAnsi="Arial" w:cs="Arial"/>
          <w:sz w:val="16"/>
          <w:szCs w:val="16"/>
        </w:rPr>
        <w:t xml:space="preserve"> Ponadto, wskazany minimalny wymiar godzinowy nie ma zastosowania w odniesieniu do staży realizowanych na stanowiskach pracy, dla których przewidziano krótszy czas pracy zgodnie z obowiązującymi przepisami. </w:t>
      </w:r>
    </w:p>
  </w:footnote>
  <w:footnote w:id="7">
    <w:p w:rsidR="003F6191" w:rsidRDefault="003F6191" w:rsidP="003F6191">
      <w:pPr>
        <w:pStyle w:val="Tekstprzypisudolnego"/>
        <w:jc w:val="both"/>
      </w:pPr>
      <w:r w:rsidRPr="00E74C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4C0B">
        <w:rPr>
          <w:rFonts w:ascii="Arial" w:hAnsi="Arial" w:cs="Arial"/>
          <w:sz w:val="16"/>
          <w:szCs w:val="16"/>
        </w:rPr>
        <w:t xml:space="preserve"> Kwota stypendium stażowego jest kwotą brutto nieuwzględniającą składek na ubezpieczenia społeczne płaconych w całości przez płatnika tj.  podmiot kierujący na staż.</w:t>
      </w:r>
    </w:p>
  </w:footnote>
  <w:footnote w:id="8">
    <w:p w:rsidR="009A7B3B" w:rsidRDefault="009A7B3B" w:rsidP="009A7B3B">
      <w:pPr>
        <w:pStyle w:val="Tekstprzypisudolnego"/>
        <w:jc w:val="both"/>
      </w:pPr>
      <w:r w:rsidRPr="00E74C0B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Dotyczy to zakupu materiałów ulegających zużyciu, wyczerpaniu lub degradacji w wyniku normalnej eksploatacji w czasie realizacji zadań stażowych, w przypadku gdy brak ich finansowania w projekcie skutkowałby zubożeniem praktycznego wymiaru stażu; powinny to być wyłącznie materiały w ilości niezbędnej i ściśle powiązanej z programem kształcenia i programem stażu.</w:t>
      </w:r>
      <w:r w:rsidRPr="00E74C0B">
        <w:rPr>
          <w:rFonts w:ascii="Arial" w:hAnsi="Arial" w:cs="Arial"/>
          <w:sz w:val="16"/>
          <w:szCs w:val="16"/>
        </w:rPr>
        <w:t xml:space="preserve"> </w:t>
      </w:r>
    </w:p>
  </w:footnote>
  <w:footnote w:id="9">
    <w:p w:rsidR="003F6191" w:rsidRDefault="003F6191" w:rsidP="003F619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066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6603">
        <w:rPr>
          <w:rFonts w:ascii="Arial" w:hAnsi="Arial" w:cs="Arial"/>
          <w:sz w:val="16"/>
          <w:szCs w:val="16"/>
        </w:rPr>
        <w:t xml:space="preserve"> W uzasadnionych przypadkach uczestnik może dobrowolnie zrezygnować z otrzymywania stypendium stażowego w projekcie. Beneficjent jest zobowiązany do ubezpieczenia od następstw nieszczęśliwych wypadków uczestnika projektu w sytuacji rezygnacji ze stypendium.</w:t>
      </w:r>
    </w:p>
  </w:footnote>
  <w:footnote w:id="10">
    <w:p w:rsidR="003F6191" w:rsidRDefault="003F6191" w:rsidP="003F6191">
      <w:pPr>
        <w:pStyle w:val="Tekstprzypisudolnego"/>
        <w:jc w:val="both"/>
      </w:pPr>
      <w:r w:rsidRPr="00E74C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4C0B">
        <w:rPr>
          <w:rFonts w:ascii="Arial" w:hAnsi="Arial" w:cs="Arial"/>
          <w:sz w:val="16"/>
          <w:szCs w:val="16"/>
        </w:rPr>
        <w:t xml:space="preserve"> W przypadku osób z niepełnosprawnością zaliczonych do znacznego lub umiarkowanego stopnia niepełnosprawności miesięczne stypendium przysługuje pod warunkiem, że miesięczna liczba godzin stażu wynosi nie mniej niż 140 godzin miesięcznie.</w:t>
      </w:r>
      <w:r>
        <w:rPr>
          <w:rFonts w:ascii="Arial" w:hAnsi="Arial" w:cs="Arial"/>
          <w:sz w:val="16"/>
          <w:szCs w:val="16"/>
        </w:rPr>
        <w:t xml:space="preserve"> Ponadto, wskazany minimalny wymiar godzinowy nie ma zastosowania w odniesieniu do staży realizowanych na stanowiskach pracy, dla których przewidziano krótszy czas pracy zgodnie z obowiązującymi przepisami. </w:t>
      </w:r>
    </w:p>
  </w:footnote>
  <w:footnote w:id="11">
    <w:p w:rsidR="009A7B3B" w:rsidRDefault="009A7B3B" w:rsidP="009A7B3B">
      <w:pPr>
        <w:pStyle w:val="Tekstprzypisudolnego"/>
        <w:jc w:val="both"/>
      </w:pPr>
      <w:r w:rsidRPr="00E74C0B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Dotyczy to zakupu materiałów ulegających zużyciu, wyczerpaniu lub degradacji w wyniku normalnej eksploatacji w czasie realizacji zadań stażowych, w przypadku gdy brak ich finansowania w projekcie skutkowałby zubożeniem praktycznego wymiaru stażu; powinny to być wyłącznie materiały w ilości niezbędnej i ściśle powiązanej z programem kształcenia i programem stażu.</w:t>
      </w:r>
      <w:r w:rsidRPr="00E74C0B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32" w:rsidRDefault="00525F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40" w:rsidRPr="000E4C6F" w:rsidRDefault="00A55FBD" w:rsidP="00465640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</w:t>
    </w:r>
    <w:r w:rsidR="00525F32">
      <w:rPr>
        <w:rFonts w:ascii="Times New Roman" w:hAnsi="Times New Roman"/>
        <w:sz w:val="20"/>
        <w:szCs w:val="20"/>
      </w:rPr>
      <w:t xml:space="preserve">nr </w:t>
    </w:r>
    <w:r w:rsidR="00525F32">
      <w:rPr>
        <w:rFonts w:ascii="Times New Roman" w:hAnsi="Times New Roman"/>
        <w:sz w:val="20"/>
        <w:szCs w:val="20"/>
      </w:rPr>
      <w:t>3</w:t>
    </w:r>
    <w:r w:rsidR="00260C6C">
      <w:rPr>
        <w:rFonts w:ascii="Times New Roman" w:hAnsi="Times New Roman"/>
        <w:sz w:val="20"/>
        <w:szCs w:val="20"/>
      </w:rPr>
      <w:t xml:space="preserve"> </w:t>
    </w:r>
    <w:r w:rsidR="00465640" w:rsidRPr="000E4C6F">
      <w:rPr>
        <w:rFonts w:ascii="Times New Roman" w:hAnsi="Times New Roman"/>
        <w:sz w:val="20"/>
        <w:szCs w:val="20"/>
      </w:rPr>
      <w:t>do Uchwały Zarzą</w:t>
    </w:r>
    <w:r w:rsidR="00465640">
      <w:rPr>
        <w:rFonts w:ascii="Times New Roman" w:hAnsi="Times New Roman"/>
        <w:sz w:val="20"/>
        <w:szCs w:val="20"/>
      </w:rPr>
      <w:t>du Wojewódz</w:t>
    </w:r>
    <w:r w:rsidR="00C96998">
      <w:rPr>
        <w:rFonts w:ascii="Times New Roman" w:hAnsi="Times New Roman"/>
        <w:sz w:val="20"/>
        <w:szCs w:val="20"/>
      </w:rPr>
      <w:t>twa Śląskiego nr         /V</w:t>
    </w:r>
    <w:r w:rsidR="00260C6C">
      <w:rPr>
        <w:rFonts w:ascii="Times New Roman" w:hAnsi="Times New Roman"/>
        <w:sz w:val="20"/>
        <w:szCs w:val="20"/>
      </w:rPr>
      <w:t>I/2020</w:t>
    </w:r>
    <w:r w:rsidR="00465640">
      <w:rPr>
        <w:rFonts w:ascii="Times New Roman" w:hAnsi="Times New Roman"/>
        <w:sz w:val="20"/>
        <w:szCs w:val="20"/>
      </w:rPr>
      <w:t xml:space="preserve"> z dnia   </w:t>
    </w:r>
  </w:p>
  <w:p w:rsidR="00465640" w:rsidRPr="00465640" w:rsidRDefault="00465640" w:rsidP="0046564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32" w:rsidRDefault="00525F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BA9"/>
    <w:multiLevelType w:val="hybridMultilevel"/>
    <w:tmpl w:val="8D522586"/>
    <w:lvl w:ilvl="0" w:tplc="E4067FCC">
      <w:start w:val="1"/>
      <w:numFmt w:val="ordinal"/>
      <w:lvlText w:val="§ %1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10464D"/>
    <w:multiLevelType w:val="hybridMultilevel"/>
    <w:tmpl w:val="A448D88E"/>
    <w:lvl w:ilvl="0" w:tplc="B9825AD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653005"/>
    <w:multiLevelType w:val="hybridMultilevel"/>
    <w:tmpl w:val="F746EA0A"/>
    <w:lvl w:ilvl="0" w:tplc="0415000F">
      <w:start w:val="9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3">
    <w:nsid w:val="0D4A6F0F"/>
    <w:multiLevelType w:val="hybridMultilevel"/>
    <w:tmpl w:val="5970A5A0"/>
    <w:lvl w:ilvl="0" w:tplc="15908FE2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B22D3"/>
    <w:multiLevelType w:val="hybridMultilevel"/>
    <w:tmpl w:val="BED6B5EE"/>
    <w:lvl w:ilvl="0" w:tplc="0AF49D0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BC1D63"/>
    <w:multiLevelType w:val="hybridMultilevel"/>
    <w:tmpl w:val="F746EA0A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C41834"/>
    <w:multiLevelType w:val="hybridMultilevel"/>
    <w:tmpl w:val="36722F78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0B10F8"/>
    <w:multiLevelType w:val="multilevel"/>
    <w:tmpl w:val="8B548D5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38C0E5C"/>
    <w:multiLevelType w:val="multilevel"/>
    <w:tmpl w:val="FF1470E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 w:val="0"/>
        <w:sz w:val="24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  <w:sz w:val="24"/>
      </w:rPr>
    </w:lvl>
  </w:abstractNum>
  <w:abstractNum w:abstractNumId="9">
    <w:nsid w:val="15627294"/>
    <w:multiLevelType w:val="hybridMultilevel"/>
    <w:tmpl w:val="DA465E2A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84C63"/>
    <w:multiLevelType w:val="hybridMultilevel"/>
    <w:tmpl w:val="DA465E2A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AA58F7"/>
    <w:multiLevelType w:val="multilevel"/>
    <w:tmpl w:val="E730C5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CD1448E"/>
    <w:multiLevelType w:val="hybridMultilevel"/>
    <w:tmpl w:val="D81AEE70"/>
    <w:lvl w:ilvl="0" w:tplc="4A18E542">
      <w:start w:val="5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F413ADE"/>
    <w:multiLevelType w:val="hybridMultilevel"/>
    <w:tmpl w:val="952AFD08"/>
    <w:lvl w:ilvl="0" w:tplc="D4DA53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CC2B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56C88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2825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3011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32CC36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C2AF8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507C2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C2BA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A5379B"/>
    <w:multiLevelType w:val="multilevel"/>
    <w:tmpl w:val="4ED6D88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28810FF1"/>
    <w:multiLevelType w:val="multilevel"/>
    <w:tmpl w:val="79F0510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29AB3AD6"/>
    <w:multiLevelType w:val="hybridMultilevel"/>
    <w:tmpl w:val="102EFE80"/>
    <w:lvl w:ilvl="0" w:tplc="D9D0ADCC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</w:rPr>
    </w:lvl>
    <w:lvl w:ilvl="1" w:tplc="FEFA7D1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3C884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742AC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C44CE1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426CE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32D2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75C0EA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8CA55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5940DC"/>
    <w:multiLevelType w:val="hybridMultilevel"/>
    <w:tmpl w:val="C2A4C2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2F621F"/>
    <w:multiLevelType w:val="hybridMultilevel"/>
    <w:tmpl w:val="31FE415E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137328"/>
    <w:multiLevelType w:val="hybridMultilevel"/>
    <w:tmpl w:val="E7B010F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TFF5B7610t00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90CA4"/>
    <w:multiLevelType w:val="hybridMultilevel"/>
    <w:tmpl w:val="02BE73D8"/>
    <w:lvl w:ilvl="0" w:tplc="695C4D9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9F501E"/>
    <w:multiLevelType w:val="hybridMultilevel"/>
    <w:tmpl w:val="A86223E8"/>
    <w:lvl w:ilvl="0" w:tplc="A6DCD0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355CC5"/>
    <w:multiLevelType w:val="hybridMultilevel"/>
    <w:tmpl w:val="3092DEAC"/>
    <w:lvl w:ilvl="0" w:tplc="6DACB98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1C115C"/>
    <w:multiLevelType w:val="hybridMultilevel"/>
    <w:tmpl w:val="BA9C7B8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021166"/>
    <w:multiLevelType w:val="hybridMultilevel"/>
    <w:tmpl w:val="BED6B5EE"/>
    <w:lvl w:ilvl="0" w:tplc="E5CE8E6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572FB7"/>
    <w:multiLevelType w:val="hybridMultilevel"/>
    <w:tmpl w:val="1C1E20BE"/>
    <w:lvl w:ilvl="0" w:tplc="0AF49D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ED1D1E"/>
    <w:multiLevelType w:val="hybridMultilevel"/>
    <w:tmpl w:val="FC22522C"/>
    <w:lvl w:ilvl="0" w:tplc="0415000F">
      <w:start w:val="1"/>
      <w:numFmt w:val="decimal"/>
      <w:lvlText w:val="%1."/>
      <w:lvlJc w:val="left"/>
      <w:pPr>
        <w:ind w:left="603" w:hanging="360"/>
      </w:pPr>
      <w:rPr>
        <w:rFonts w:cs="Times New Roman" w:hint="default"/>
        <w:b w:val="0"/>
      </w:rPr>
    </w:lvl>
    <w:lvl w:ilvl="1" w:tplc="BEA2EE76" w:tentative="1">
      <w:start w:val="1"/>
      <w:numFmt w:val="lowerLetter"/>
      <w:lvlText w:val="%2."/>
      <w:lvlJc w:val="left"/>
      <w:pPr>
        <w:ind w:left="13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  <w:rPr>
        <w:rFonts w:cs="Times New Roman"/>
      </w:rPr>
    </w:lvl>
  </w:abstractNum>
  <w:abstractNum w:abstractNumId="27">
    <w:nsid w:val="61345833"/>
    <w:multiLevelType w:val="hybridMultilevel"/>
    <w:tmpl w:val="6F1036CC"/>
    <w:lvl w:ilvl="0" w:tplc="0415000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E901E4"/>
    <w:multiLevelType w:val="hybridMultilevel"/>
    <w:tmpl w:val="50CC10FC"/>
    <w:lvl w:ilvl="0" w:tplc="AD4E20C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BB6A70E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693E4B29"/>
    <w:multiLevelType w:val="multilevel"/>
    <w:tmpl w:val="CF70907A"/>
    <w:lvl w:ilvl="0">
      <w:start w:val="2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03" w:hanging="703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30">
    <w:nsid w:val="6B543F8B"/>
    <w:multiLevelType w:val="hybridMultilevel"/>
    <w:tmpl w:val="6512FB18"/>
    <w:lvl w:ilvl="0" w:tplc="FD56810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3D6E367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ECD96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9C60C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6061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3847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C2D4B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A4D3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B8FB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F31944"/>
    <w:multiLevelType w:val="multilevel"/>
    <w:tmpl w:val="06846C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70386FB6"/>
    <w:multiLevelType w:val="multilevel"/>
    <w:tmpl w:val="D78C8D08"/>
    <w:lvl w:ilvl="0">
      <w:start w:val="1"/>
      <w:numFmt w:val="decimal"/>
      <w:pStyle w:val="Nagwek1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4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cs="Times New Roman" w:hint="default"/>
      </w:rPr>
    </w:lvl>
  </w:abstractNum>
  <w:abstractNum w:abstractNumId="33">
    <w:nsid w:val="76AF607E"/>
    <w:multiLevelType w:val="hybridMultilevel"/>
    <w:tmpl w:val="FEE66642"/>
    <w:lvl w:ilvl="0" w:tplc="E7FE7B4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8D022C7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1C3B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A8796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230EA0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2803A3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DCEC5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D2AA7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5A42D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1467FB"/>
    <w:multiLevelType w:val="hybridMultilevel"/>
    <w:tmpl w:val="BCF2FF52"/>
    <w:lvl w:ilvl="0" w:tplc="FFFFFFFF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8E7075E"/>
    <w:multiLevelType w:val="hybridMultilevel"/>
    <w:tmpl w:val="F12476DA"/>
    <w:lvl w:ilvl="0" w:tplc="B834188A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F361B6"/>
    <w:multiLevelType w:val="hybridMultilevel"/>
    <w:tmpl w:val="852EAB28"/>
    <w:lvl w:ilvl="0" w:tplc="04150011">
      <w:start w:val="1"/>
      <w:numFmt w:val="bullet"/>
      <w:lvlText w:val=""/>
      <w:lvlJc w:val="left"/>
      <w:rPr>
        <w:rFonts w:ascii="Symbol" w:hAnsi="Symbol" w:hint="default"/>
      </w:rPr>
    </w:lvl>
    <w:lvl w:ilvl="1" w:tplc="04150019">
      <w:numFmt w:val="decimal"/>
      <w:lvlText w:val=""/>
      <w:lvlJc w:val="left"/>
      <w:rPr>
        <w:rFonts w:cs="Times New Roman"/>
      </w:rPr>
    </w:lvl>
    <w:lvl w:ilvl="2" w:tplc="0415001B">
      <w:numFmt w:val="decimal"/>
      <w:lvlText w:val=""/>
      <w:lvlJc w:val="left"/>
      <w:rPr>
        <w:rFonts w:cs="Times New Roman"/>
      </w:rPr>
    </w:lvl>
    <w:lvl w:ilvl="3" w:tplc="0415000F">
      <w:numFmt w:val="decimal"/>
      <w:lvlText w:val=""/>
      <w:lvlJc w:val="left"/>
      <w:rPr>
        <w:rFonts w:cs="Times New Roman"/>
      </w:rPr>
    </w:lvl>
    <w:lvl w:ilvl="4" w:tplc="04150019">
      <w:numFmt w:val="decimal"/>
      <w:lvlText w:val=""/>
      <w:lvlJc w:val="left"/>
      <w:rPr>
        <w:rFonts w:cs="Times New Roman"/>
      </w:rPr>
    </w:lvl>
    <w:lvl w:ilvl="5" w:tplc="0415001B">
      <w:numFmt w:val="decimal"/>
      <w:lvlText w:val=""/>
      <w:lvlJc w:val="left"/>
      <w:rPr>
        <w:rFonts w:cs="Times New Roman"/>
      </w:rPr>
    </w:lvl>
    <w:lvl w:ilvl="6" w:tplc="0415000F">
      <w:numFmt w:val="decimal"/>
      <w:lvlText w:val=""/>
      <w:lvlJc w:val="left"/>
      <w:rPr>
        <w:rFonts w:cs="Times New Roman"/>
      </w:rPr>
    </w:lvl>
    <w:lvl w:ilvl="7" w:tplc="04150019">
      <w:numFmt w:val="decimal"/>
      <w:lvlText w:val=""/>
      <w:lvlJc w:val="left"/>
      <w:rPr>
        <w:rFonts w:cs="Times New Roman"/>
      </w:rPr>
    </w:lvl>
    <w:lvl w:ilvl="8" w:tplc="0415001B">
      <w:numFmt w:val="decimal"/>
      <w:lvlText w:val=""/>
      <w:lvlJc w:val="left"/>
      <w:rPr>
        <w:rFonts w:cs="Times New Roman"/>
      </w:rPr>
    </w:lvl>
  </w:abstractNum>
  <w:abstractNum w:abstractNumId="37">
    <w:nsid w:val="7B1E7318"/>
    <w:multiLevelType w:val="hybridMultilevel"/>
    <w:tmpl w:val="D9169950"/>
    <w:lvl w:ilvl="0" w:tplc="04150001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5"/>
  </w:num>
  <w:num w:numId="4">
    <w:abstractNumId w:val="16"/>
  </w:num>
  <w:num w:numId="5">
    <w:abstractNumId w:val="37"/>
  </w:num>
  <w:num w:numId="6">
    <w:abstractNumId w:val="35"/>
  </w:num>
  <w:num w:numId="7">
    <w:abstractNumId w:val="6"/>
  </w:num>
  <w:num w:numId="8">
    <w:abstractNumId w:val="22"/>
  </w:num>
  <w:num w:numId="9">
    <w:abstractNumId w:val="26"/>
  </w:num>
  <w:num w:numId="10">
    <w:abstractNumId w:val="27"/>
  </w:num>
  <w:num w:numId="11">
    <w:abstractNumId w:val="0"/>
  </w:num>
  <w:num w:numId="12">
    <w:abstractNumId w:val="1"/>
  </w:num>
  <w:num w:numId="13">
    <w:abstractNumId w:val="25"/>
  </w:num>
  <w:num w:numId="14">
    <w:abstractNumId w:val="30"/>
  </w:num>
  <w:num w:numId="15">
    <w:abstractNumId w:val="33"/>
  </w:num>
  <w:num w:numId="16">
    <w:abstractNumId w:val="18"/>
  </w:num>
  <w:num w:numId="17">
    <w:abstractNumId w:val="2"/>
  </w:num>
  <w:num w:numId="18">
    <w:abstractNumId w:val="5"/>
  </w:num>
  <w:num w:numId="19">
    <w:abstractNumId w:val="13"/>
  </w:num>
  <w:num w:numId="20">
    <w:abstractNumId w:val="17"/>
  </w:num>
  <w:num w:numId="21">
    <w:abstractNumId w:val="10"/>
  </w:num>
  <w:num w:numId="22">
    <w:abstractNumId w:val="9"/>
  </w:num>
  <w:num w:numId="23">
    <w:abstractNumId w:val="14"/>
  </w:num>
  <w:num w:numId="24">
    <w:abstractNumId w:val="8"/>
  </w:num>
  <w:num w:numId="25">
    <w:abstractNumId w:val="31"/>
  </w:num>
  <w:num w:numId="26">
    <w:abstractNumId w:val="29"/>
  </w:num>
  <w:num w:numId="27">
    <w:abstractNumId w:val="23"/>
  </w:num>
  <w:num w:numId="28">
    <w:abstractNumId w:val="20"/>
  </w:num>
  <w:num w:numId="29">
    <w:abstractNumId w:val="7"/>
  </w:num>
  <w:num w:numId="30">
    <w:abstractNumId w:val="34"/>
  </w:num>
  <w:num w:numId="31">
    <w:abstractNumId w:val="36"/>
  </w:num>
  <w:num w:numId="32">
    <w:abstractNumId w:val="3"/>
  </w:num>
  <w:num w:numId="33">
    <w:abstractNumId w:val="4"/>
  </w:num>
  <w:num w:numId="34">
    <w:abstractNumId w:val="19"/>
  </w:num>
  <w:num w:numId="35">
    <w:abstractNumId w:val="28"/>
  </w:num>
  <w:num w:numId="36">
    <w:abstractNumId w:val="12"/>
  </w:num>
  <w:num w:numId="37">
    <w:abstractNumId w:val="24"/>
  </w:num>
  <w:num w:numId="38">
    <w:abstractNumId w:val="2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ś Tatiana">
    <w15:presenceInfo w15:providerId="AD" w15:userId="S-1-5-21-833596994-3496505273-2944068786-13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BCE"/>
    <w:rsid w:val="00007D13"/>
    <w:rsid w:val="00015C2E"/>
    <w:rsid w:val="00024A96"/>
    <w:rsid w:val="00025C32"/>
    <w:rsid w:val="00026241"/>
    <w:rsid w:val="00036DC4"/>
    <w:rsid w:val="000370F0"/>
    <w:rsid w:val="00045BCE"/>
    <w:rsid w:val="00047559"/>
    <w:rsid w:val="00050D89"/>
    <w:rsid w:val="000526EB"/>
    <w:rsid w:val="00063396"/>
    <w:rsid w:val="0007767A"/>
    <w:rsid w:val="000842E0"/>
    <w:rsid w:val="000907CC"/>
    <w:rsid w:val="0009585D"/>
    <w:rsid w:val="00097992"/>
    <w:rsid w:val="000A5F06"/>
    <w:rsid w:val="000C3BAE"/>
    <w:rsid w:val="000C7E87"/>
    <w:rsid w:val="000E4C6F"/>
    <w:rsid w:val="000F5BE1"/>
    <w:rsid w:val="00111503"/>
    <w:rsid w:val="00121A11"/>
    <w:rsid w:val="00125AE3"/>
    <w:rsid w:val="00137E21"/>
    <w:rsid w:val="00150A32"/>
    <w:rsid w:val="00156A88"/>
    <w:rsid w:val="00162AD5"/>
    <w:rsid w:val="001759DE"/>
    <w:rsid w:val="00181371"/>
    <w:rsid w:val="00186A4C"/>
    <w:rsid w:val="0019432C"/>
    <w:rsid w:val="001A3E8D"/>
    <w:rsid w:val="001A7B46"/>
    <w:rsid w:val="001B1AEA"/>
    <w:rsid w:val="001B65FC"/>
    <w:rsid w:val="001D242F"/>
    <w:rsid w:val="001D26B4"/>
    <w:rsid w:val="001D27DF"/>
    <w:rsid w:val="001D3CC5"/>
    <w:rsid w:val="001E55A4"/>
    <w:rsid w:val="001E711D"/>
    <w:rsid w:val="001F0217"/>
    <w:rsid w:val="001F21EE"/>
    <w:rsid w:val="001F727B"/>
    <w:rsid w:val="00212215"/>
    <w:rsid w:val="00231427"/>
    <w:rsid w:val="002331CD"/>
    <w:rsid w:val="00242234"/>
    <w:rsid w:val="002551B9"/>
    <w:rsid w:val="00256585"/>
    <w:rsid w:val="00260C6C"/>
    <w:rsid w:val="00265805"/>
    <w:rsid w:val="002718BE"/>
    <w:rsid w:val="00295FCA"/>
    <w:rsid w:val="00296B0B"/>
    <w:rsid w:val="002A61C9"/>
    <w:rsid w:val="002B7633"/>
    <w:rsid w:val="002C08E5"/>
    <w:rsid w:val="002D08F7"/>
    <w:rsid w:val="002D52F1"/>
    <w:rsid w:val="002D63FB"/>
    <w:rsid w:val="002E4EE0"/>
    <w:rsid w:val="002E6E37"/>
    <w:rsid w:val="00301DC3"/>
    <w:rsid w:val="003045BE"/>
    <w:rsid w:val="00306189"/>
    <w:rsid w:val="003200AC"/>
    <w:rsid w:val="003220C4"/>
    <w:rsid w:val="00322CBE"/>
    <w:rsid w:val="003265F1"/>
    <w:rsid w:val="00346968"/>
    <w:rsid w:val="0035738C"/>
    <w:rsid w:val="00367E74"/>
    <w:rsid w:val="00375B5A"/>
    <w:rsid w:val="003B399A"/>
    <w:rsid w:val="003B4317"/>
    <w:rsid w:val="003B5372"/>
    <w:rsid w:val="003F0D2E"/>
    <w:rsid w:val="003F1BF2"/>
    <w:rsid w:val="003F6191"/>
    <w:rsid w:val="0040538B"/>
    <w:rsid w:val="00410DBB"/>
    <w:rsid w:val="004224B3"/>
    <w:rsid w:val="00425C74"/>
    <w:rsid w:val="00433B66"/>
    <w:rsid w:val="00445F5A"/>
    <w:rsid w:val="004607AB"/>
    <w:rsid w:val="00465640"/>
    <w:rsid w:val="00472C90"/>
    <w:rsid w:val="00473BB4"/>
    <w:rsid w:val="00477559"/>
    <w:rsid w:val="00492A60"/>
    <w:rsid w:val="004A186C"/>
    <w:rsid w:val="004A639D"/>
    <w:rsid w:val="004A6A55"/>
    <w:rsid w:val="004B6C2D"/>
    <w:rsid w:val="004C4643"/>
    <w:rsid w:val="004C504B"/>
    <w:rsid w:val="004C6D55"/>
    <w:rsid w:val="004D1CBF"/>
    <w:rsid w:val="004E4E7C"/>
    <w:rsid w:val="004F42CB"/>
    <w:rsid w:val="004F4BAE"/>
    <w:rsid w:val="005025FA"/>
    <w:rsid w:val="00503424"/>
    <w:rsid w:val="00510CF0"/>
    <w:rsid w:val="00513ACA"/>
    <w:rsid w:val="00525331"/>
    <w:rsid w:val="00525F32"/>
    <w:rsid w:val="0053770A"/>
    <w:rsid w:val="005449E3"/>
    <w:rsid w:val="00545968"/>
    <w:rsid w:val="00554218"/>
    <w:rsid w:val="00575193"/>
    <w:rsid w:val="005821A2"/>
    <w:rsid w:val="00584715"/>
    <w:rsid w:val="00587936"/>
    <w:rsid w:val="005A1840"/>
    <w:rsid w:val="005A560D"/>
    <w:rsid w:val="005A6B6D"/>
    <w:rsid w:val="005B589E"/>
    <w:rsid w:val="005B6035"/>
    <w:rsid w:val="005C7FB9"/>
    <w:rsid w:val="005D0D4A"/>
    <w:rsid w:val="005D1B8A"/>
    <w:rsid w:val="005D4C19"/>
    <w:rsid w:val="005D4DAB"/>
    <w:rsid w:val="005E5D9C"/>
    <w:rsid w:val="005F2EA8"/>
    <w:rsid w:val="005F50FB"/>
    <w:rsid w:val="0061058D"/>
    <w:rsid w:val="0061348C"/>
    <w:rsid w:val="00627FB7"/>
    <w:rsid w:val="00630027"/>
    <w:rsid w:val="006520B3"/>
    <w:rsid w:val="00661E51"/>
    <w:rsid w:val="0066535D"/>
    <w:rsid w:val="00666AE5"/>
    <w:rsid w:val="00680787"/>
    <w:rsid w:val="00682E45"/>
    <w:rsid w:val="00686F2D"/>
    <w:rsid w:val="006907E3"/>
    <w:rsid w:val="006C5A9A"/>
    <w:rsid w:val="006D7C2F"/>
    <w:rsid w:val="006E11F7"/>
    <w:rsid w:val="006E1957"/>
    <w:rsid w:val="006E237D"/>
    <w:rsid w:val="006E31E6"/>
    <w:rsid w:val="006E477B"/>
    <w:rsid w:val="006E5B93"/>
    <w:rsid w:val="006F78F3"/>
    <w:rsid w:val="00700E44"/>
    <w:rsid w:val="007021F2"/>
    <w:rsid w:val="0071408A"/>
    <w:rsid w:val="00723D17"/>
    <w:rsid w:val="00744379"/>
    <w:rsid w:val="00762330"/>
    <w:rsid w:val="00765CA8"/>
    <w:rsid w:val="007751E8"/>
    <w:rsid w:val="00781D18"/>
    <w:rsid w:val="007906A3"/>
    <w:rsid w:val="00790EDC"/>
    <w:rsid w:val="00794A7D"/>
    <w:rsid w:val="00794C02"/>
    <w:rsid w:val="0079756D"/>
    <w:rsid w:val="007A5E01"/>
    <w:rsid w:val="007B31C9"/>
    <w:rsid w:val="007C1590"/>
    <w:rsid w:val="007C2743"/>
    <w:rsid w:val="007D6A70"/>
    <w:rsid w:val="007F04D0"/>
    <w:rsid w:val="007F5516"/>
    <w:rsid w:val="00801EFD"/>
    <w:rsid w:val="00802B5F"/>
    <w:rsid w:val="00812095"/>
    <w:rsid w:val="0083600E"/>
    <w:rsid w:val="00836475"/>
    <w:rsid w:val="00837BFF"/>
    <w:rsid w:val="00846FF4"/>
    <w:rsid w:val="008606E2"/>
    <w:rsid w:val="00860958"/>
    <w:rsid w:val="00865EEA"/>
    <w:rsid w:val="00875AFB"/>
    <w:rsid w:val="00883450"/>
    <w:rsid w:val="00896897"/>
    <w:rsid w:val="0089761A"/>
    <w:rsid w:val="008977B4"/>
    <w:rsid w:val="008A25D5"/>
    <w:rsid w:val="008A5410"/>
    <w:rsid w:val="008B794F"/>
    <w:rsid w:val="008C0E83"/>
    <w:rsid w:val="008C1F8C"/>
    <w:rsid w:val="008E0326"/>
    <w:rsid w:val="008E43E3"/>
    <w:rsid w:val="008E62AA"/>
    <w:rsid w:val="008E6B5C"/>
    <w:rsid w:val="008F797C"/>
    <w:rsid w:val="00904C4E"/>
    <w:rsid w:val="00905C0E"/>
    <w:rsid w:val="0093458D"/>
    <w:rsid w:val="00935014"/>
    <w:rsid w:val="009464C8"/>
    <w:rsid w:val="00946BF2"/>
    <w:rsid w:val="00947C06"/>
    <w:rsid w:val="0095375E"/>
    <w:rsid w:val="00966C68"/>
    <w:rsid w:val="00977157"/>
    <w:rsid w:val="00984E44"/>
    <w:rsid w:val="00985637"/>
    <w:rsid w:val="00985775"/>
    <w:rsid w:val="0098588A"/>
    <w:rsid w:val="009A17EE"/>
    <w:rsid w:val="009A7B3B"/>
    <w:rsid w:val="009B2ED0"/>
    <w:rsid w:val="009B505A"/>
    <w:rsid w:val="009C0CB7"/>
    <w:rsid w:val="009C4DA3"/>
    <w:rsid w:val="009D01DF"/>
    <w:rsid w:val="009D6077"/>
    <w:rsid w:val="009F37D1"/>
    <w:rsid w:val="00A05B9A"/>
    <w:rsid w:val="00A14B55"/>
    <w:rsid w:val="00A218B1"/>
    <w:rsid w:val="00A2690C"/>
    <w:rsid w:val="00A32245"/>
    <w:rsid w:val="00A432D6"/>
    <w:rsid w:val="00A46869"/>
    <w:rsid w:val="00A55FBD"/>
    <w:rsid w:val="00A569E4"/>
    <w:rsid w:val="00A609F6"/>
    <w:rsid w:val="00A71CCF"/>
    <w:rsid w:val="00A755AF"/>
    <w:rsid w:val="00A814EA"/>
    <w:rsid w:val="00A83139"/>
    <w:rsid w:val="00A83C98"/>
    <w:rsid w:val="00A876DB"/>
    <w:rsid w:val="00A95C3B"/>
    <w:rsid w:val="00AB0BB6"/>
    <w:rsid w:val="00AC0AFF"/>
    <w:rsid w:val="00AD2661"/>
    <w:rsid w:val="00AE59BB"/>
    <w:rsid w:val="00AF17CD"/>
    <w:rsid w:val="00AF4177"/>
    <w:rsid w:val="00AF4592"/>
    <w:rsid w:val="00AF4B83"/>
    <w:rsid w:val="00B12F25"/>
    <w:rsid w:val="00B23D81"/>
    <w:rsid w:val="00B31403"/>
    <w:rsid w:val="00B3179B"/>
    <w:rsid w:val="00B45834"/>
    <w:rsid w:val="00B51ACF"/>
    <w:rsid w:val="00B55F7C"/>
    <w:rsid w:val="00B63DB0"/>
    <w:rsid w:val="00B77AF7"/>
    <w:rsid w:val="00B90068"/>
    <w:rsid w:val="00B9240E"/>
    <w:rsid w:val="00B9561F"/>
    <w:rsid w:val="00BA076E"/>
    <w:rsid w:val="00BC2016"/>
    <w:rsid w:val="00BC4B4A"/>
    <w:rsid w:val="00BE0363"/>
    <w:rsid w:val="00BE3E4D"/>
    <w:rsid w:val="00C012A7"/>
    <w:rsid w:val="00C07E3F"/>
    <w:rsid w:val="00C102B6"/>
    <w:rsid w:val="00C14485"/>
    <w:rsid w:val="00C17B62"/>
    <w:rsid w:val="00C237B5"/>
    <w:rsid w:val="00C25852"/>
    <w:rsid w:val="00C27AA3"/>
    <w:rsid w:val="00C32CDF"/>
    <w:rsid w:val="00C400FC"/>
    <w:rsid w:val="00C422BE"/>
    <w:rsid w:val="00C50C11"/>
    <w:rsid w:val="00C53B09"/>
    <w:rsid w:val="00C6430F"/>
    <w:rsid w:val="00C65810"/>
    <w:rsid w:val="00C875F4"/>
    <w:rsid w:val="00C9480A"/>
    <w:rsid w:val="00C96998"/>
    <w:rsid w:val="00CC168F"/>
    <w:rsid w:val="00CC4897"/>
    <w:rsid w:val="00CD27C3"/>
    <w:rsid w:val="00CD76BF"/>
    <w:rsid w:val="00CE0565"/>
    <w:rsid w:val="00CE1E72"/>
    <w:rsid w:val="00CF6EA3"/>
    <w:rsid w:val="00D03B2D"/>
    <w:rsid w:val="00D062EC"/>
    <w:rsid w:val="00D1103A"/>
    <w:rsid w:val="00D165C6"/>
    <w:rsid w:val="00D22885"/>
    <w:rsid w:val="00D34A94"/>
    <w:rsid w:val="00D36951"/>
    <w:rsid w:val="00D429E6"/>
    <w:rsid w:val="00D55E9A"/>
    <w:rsid w:val="00D570EC"/>
    <w:rsid w:val="00D6107D"/>
    <w:rsid w:val="00D77B3F"/>
    <w:rsid w:val="00D81E96"/>
    <w:rsid w:val="00D867F7"/>
    <w:rsid w:val="00DA2694"/>
    <w:rsid w:val="00DA6BD4"/>
    <w:rsid w:val="00DC6153"/>
    <w:rsid w:val="00DD45A4"/>
    <w:rsid w:val="00DD46FC"/>
    <w:rsid w:val="00E0027E"/>
    <w:rsid w:val="00E149E7"/>
    <w:rsid w:val="00E22321"/>
    <w:rsid w:val="00E3023D"/>
    <w:rsid w:val="00E33DDD"/>
    <w:rsid w:val="00E5073E"/>
    <w:rsid w:val="00E569E3"/>
    <w:rsid w:val="00E667AF"/>
    <w:rsid w:val="00E92FE4"/>
    <w:rsid w:val="00E9717B"/>
    <w:rsid w:val="00EB6F12"/>
    <w:rsid w:val="00EC421F"/>
    <w:rsid w:val="00EC589E"/>
    <w:rsid w:val="00EE603E"/>
    <w:rsid w:val="00F010AD"/>
    <w:rsid w:val="00F06901"/>
    <w:rsid w:val="00F06A89"/>
    <w:rsid w:val="00F166DD"/>
    <w:rsid w:val="00F232C3"/>
    <w:rsid w:val="00F2462E"/>
    <w:rsid w:val="00F30D13"/>
    <w:rsid w:val="00F32F6C"/>
    <w:rsid w:val="00F37D70"/>
    <w:rsid w:val="00F40327"/>
    <w:rsid w:val="00F533CB"/>
    <w:rsid w:val="00F5483E"/>
    <w:rsid w:val="00F54ADD"/>
    <w:rsid w:val="00F55600"/>
    <w:rsid w:val="00F72951"/>
    <w:rsid w:val="00F732B2"/>
    <w:rsid w:val="00F82728"/>
    <w:rsid w:val="00F972C9"/>
    <w:rsid w:val="00FD6418"/>
    <w:rsid w:val="00FE4ED6"/>
    <w:rsid w:val="00FE6B62"/>
    <w:rsid w:val="00FE775E"/>
    <w:rsid w:val="00FF04CC"/>
    <w:rsid w:val="00FF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68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10CF0"/>
    <w:pPr>
      <w:pageBreakBefore/>
      <w:numPr>
        <w:numId w:val="1"/>
      </w:numPr>
      <w:spacing w:before="480" w:after="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510CF0"/>
    <w:pPr>
      <w:pageBreakBefore w:val="0"/>
      <w:spacing w:before="240"/>
      <w:outlineLvl w:val="1"/>
    </w:pPr>
    <w:rPr>
      <w:spacing w:val="15"/>
      <w:sz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6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3B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0C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10CF0"/>
    <w:rPr>
      <w:rFonts w:ascii="Arial" w:hAnsi="Arial" w:cs="Arial"/>
      <w:b/>
      <w:bCs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510CF0"/>
    <w:rPr>
      <w:rFonts w:ascii="Arial" w:hAnsi="Arial" w:cs="Arial"/>
      <w:b/>
      <w:bCs/>
      <w:spacing w:val="15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666AE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D03B2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260C6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A6B6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link w:val="NormalnyWebZnak"/>
    <w:uiPriority w:val="99"/>
    <w:unhideWhenUsed/>
    <w:rsid w:val="00095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510CF0"/>
    <w:pPr>
      <w:spacing w:before="200" w:line="360" w:lineRule="auto"/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Kolorowa lista — akcent 11 Znak,Akapit z listą BS Znak,List Paragraph Znak"/>
    <w:link w:val="Akapitzlist"/>
    <w:uiPriority w:val="34"/>
    <w:locked/>
    <w:rsid w:val="00510CF0"/>
    <w:rPr>
      <w:rFonts w:eastAsia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510CF0"/>
    <w:pPr>
      <w:spacing w:before="200" w:after="120" w:line="320" w:lineRule="atLeast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10CF0"/>
    <w:rPr>
      <w:rFonts w:ascii="Arial" w:hAnsi="Arial" w:cs="Times New Roman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"/>
    <w:basedOn w:val="Normalny"/>
    <w:link w:val="TekstprzypisudolnegoZnak"/>
    <w:unhideWhenUsed/>
    <w:rsid w:val="00666AE5"/>
    <w:pPr>
      <w:spacing w:before="20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locked/>
    <w:rsid w:val="00666AE5"/>
    <w:rPr>
      <w:rFonts w:eastAsia="Times New Roman" w:cs="Times New Roman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66AE5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D242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0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90EDC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90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90EDC"/>
    <w:rPr>
      <w:rFonts w:cs="Times New Roman"/>
      <w:sz w:val="22"/>
      <w:szCs w:val="22"/>
      <w:lang w:eastAsia="en-US"/>
    </w:rPr>
  </w:style>
  <w:style w:type="character" w:customStyle="1" w:styleId="h1">
    <w:name w:val="h1"/>
    <w:rsid w:val="00744379"/>
  </w:style>
  <w:style w:type="paragraph" w:customStyle="1" w:styleId="Default">
    <w:name w:val="Default"/>
    <w:link w:val="DefaultZnak"/>
    <w:rsid w:val="005A1840"/>
    <w:pPr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DefaultZnak">
    <w:name w:val="Default Znak"/>
    <w:link w:val="Default"/>
    <w:locked/>
    <w:rsid w:val="005A1840"/>
    <w:rPr>
      <w:rFonts w:ascii="TimesNewRoman,Bold" w:hAnsi="TimesNewRoman,Bold"/>
    </w:rPr>
  </w:style>
  <w:style w:type="paragraph" w:customStyle="1" w:styleId="Standard">
    <w:name w:val="Standard"/>
    <w:rsid w:val="009B505A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9F37D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F37D1"/>
    <w:pPr>
      <w:spacing w:before="200"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9F37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37D1"/>
    <w:rPr>
      <w:rFonts w:ascii="Tahoma" w:hAnsi="Tahoma" w:cs="Tahoma"/>
      <w:sz w:val="16"/>
      <w:szCs w:val="16"/>
      <w:lang w:eastAsia="en-US"/>
    </w:rPr>
  </w:style>
  <w:style w:type="paragraph" w:customStyle="1" w:styleId="xl33">
    <w:name w:val="xl33"/>
    <w:basedOn w:val="Standard"/>
    <w:rsid w:val="00C14485"/>
    <w:pPr>
      <w:spacing w:before="100" w:after="100"/>
      <w:jc w:val="center"/>
    </w:pPr>
    <w:rPr>
      <w:sz w:val="20"/>
    </w:rPr>
  </w:style>
  <w:style w:type="character" w:customStyle="1" w:styleId="NormalnyWebZnak">
    <w:name w:val="Normalny (Web) Znak"/>
    <w:link w:val="NormalnyWeb"/>
    <w:locked/>
    <w:rsid w:val="003F6191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67A"/>
    <w:pPr>
      <w:spacing w:before="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67A"/>
    <w:rPr>
      <w:rFonts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AE62-A781-47C1-A9DA-73B9E19F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azareba</dc:creator>
  <cp:lastModifiedBy>abanach</cp:lastModifiedBy>
  <cp:revision>5</cp:revision>
  <cp:lastPrinted>2018-06-19T07:38:00Z</cp:lastPrinted>
  <dcterms:created xsi:type="dcterms:W3CDTF">2020-05-15T06:14:00Z</dcterms:created>
  <dcterms:modified xsi:type="dcterms:W3CDTF">2020-05-15T06:18:00Z</dcterms:modified>
</cp:coreProperties>
</file>