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1BA386D3" w:rsidR="00F93282" w:rsidRPr="00702290" w:rsidRDefault="00E64C31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cs="Calibri"/>
                <w:color w:val="222222"/>
                <w:szCs w:val="22"/>
                <w:shd w:val="clear" w:color="auto" w:fill="FFFFFF"/>
              </w:rPr>
              <w:t>Rozeznanie rynku i zasada konkurencyjności stosowana w projektach współfinansowanych z Regionalnego programu Operacyjnego Województwa Śląskiego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667CAF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Puchacz</w:t>
            </w:r>
          </w:p>
        </w:tc>
      </w:tr>
      <w:tr w:rsidR="00F93282" w:rsidRPr="00667CAF" w14:paraId="26743E2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0363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7946" w14:textId="77777777"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14:paraId="239857FD" w14:textId="2ED85915"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F3C74" w14:textId="7777777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bCs/>
              </w:rPr>
            </w:pPr>
          </w:p>
          <w:p w14:paraId="4A0EDAB9" w14:textId="7777777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 w:rsidRPr="00F341C2">
              <w:rPr>
                <w:rFonts w:asciiTheme="majorHAnsi" w:hAnsiTheme="majorHAnsi" w:cs="Times New Roman"/>
                <w:bCs/>
              </w:rPr>
              <w:t xml:space="preserve">1. 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Omówienie charakteru wytycznych Ministra Infrastruktury i Rozwoju dotyczących kwalifikowalności wydatków w ramach EFRR, EFS i FS (zwanych dalej wytycznymi horyzontalnymi).</w:t>
            </w:r>
          </w:p>
          <w:p w14:paraId="36E9C7F8" w14:textId="7777777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 w:rsidRPr="00F341C2">
              <w:rPr>
                <w:rFonts w:asciiTheme="majorHAnsi" w:hAnsiTheme="majorHAnsi" w:cs="Times New Roman"/>
                <w:bCs/>
              </w:rPr>
              <w:t>2.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Obowiązek udzielania interpretacji dotyczących wytycznych horyzontalnych przez instytucje będące stroną umowy o dofinansowanie.</w:t>
            </w:r>
          </w:p>
          <w:p w14:paraId="41A949FD" w14:textId="7777777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 w:rsidRPr="00F341C2">
              <w:rPr>
                <w:rFonts w:asciiTheme="majorHAnsi" w:hAnsiTheme="majorHAnsi" w:cs="Times New Roman"/>
                <w:bCs/>
              </w:rPr>
              <w:t>3.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Rola wytycznych horyzontalnych w procesie rozliczenia projektu.</w:t>
            </w:r>
          </w:p>
          <w:p w14:paraId="16884109" w14:textId="4F999787" w:rsidR="00E64C31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 w:rsidRPr="00F341C2">
              <w:rPr>
                <w:rFonts w:asciiTheme="majorHAnsi" w:hAnsiTheme="majorHAnsi" w:cs="Times New Roman"/>
                <w:bCs/>
              </w:rPr>
              <w:t>4.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Zasady kwalifikowalności wydatków w zakresie oszczędności i efektywności jego poniesienia.</w:t>
            </w:r>
          </w:p>
          <w:p w14:paraId="0433ACBF" w14:textId="7777777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 w:rsidRPr="00F341C2">
              <w:rPr>
                <w:rFonts w:asciiTheme="majorHAnsi" w:hAnsiTheme="majorHAnsi" w:cs="Times New Roman"/>
                <w:bCs/>
              </w:rPr>
              <w:t>5.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Zasady dokonywania wydatków do 20.000 PLN netto.</w:t>
            </w:r>
          </w:p>
          <w:p w14:paraId="43834A5B" w14:textId="7E8C2D81" w:rsidR="00DE40E1" w:rsidRPr="00E64C31" w:rsidRDefault="00DE40E1" w:rsidP="00E64C31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77777777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1BC1C" w14:textId="72670526" w:rsidR="00E64C31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6.      Ustalanie wartości zamówienia</w:t>
            </w:r>
            <w:r w:rsidRPr="00F341C2">
              <w:rPr>
                <w:rFonts w:asciiTheme="majorHAnsi" w:hAnsiTheme="majorHAnsi" w:cs="Times New Roman"/>
                <w:bCs/>
              </w:rPr>
              <w:tab/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  <w:p w14:paraId="604F6364" w14:textId="0453B51B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7.       </w:t>
            </w:r>
            <w:r w:rsidRPr="00F341C2">
              <w:rPr>
                <w:rFonts w:asciiTheme="majorHAnsi" w:hAnsiTheme="majorHAnsi" w:cs="Times New Roman"/>
                <w:bCs/>
              </w:rPr>
              <w:t>Zasady dokonywania wydatków w przedziale 20.00</w:t>
            </w:r>
            <w:r>
              <w:rPr>
                <w:rFonts w:asciiTheme="majorHAnsi" w:hAnsiTheme="majorHAnsi" w:cs="Times New Roman"/>
                <w:bCs/>
              </w:rPr>
              <w:t>0 PLN netto – 50.000 PLN netto (tzw. zasada rozeznania rynku)</w:t>
            </w:r>
          </w:p>
          <w:p w14:paraId="68DA35F9" w14:textId="406C47D2" w:rsidR="006A639F" w:rsidRPr="003F6B3A" w:rsidRDefault="006A639F" w:rsidP="00E64C31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EB139" w14:textId="527A7526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8.        </w:t>
            </w:r>
            <w:r w:rsidRPr="00F341C2">
              <w:rPr>
                <w:rFonts w:asciiTheme="majorHAnsi" w:hAnsiTheme="majorHAnsi" w:cs="Times New Roman"/>
                <w:bCs/>
              </w:rPr>
              <w:t xml:space="preserve">Zasada konkurencyjności dla zamówień o wartości od 50.000 PLN </w:t>
            </w:r>
            <w:r w:rsidRPr="00F341C2">
              <w:rPr>
                <w:rFonts w:asciiTheme="majorHAnsi" w:hAnsiTheme="majorHAnsi" w:cs="Times New Roman"/>
                <w:bCs/>
              </w:rPr>
              <w:lastRenderedPageBreak/>
              <w:t>netto do 30.000 euro netto:</w:t>
            </w:r>
          </w:p>
          <w:p w14:paraId="341E20B8" w14:textId="001921DA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-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upublicznianie postępowania;</w:t>
            </w:r>
          </w:p>
          <w:p w14:paraId="02DA066E" w14:textId="7E1D669F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-</w:t>
            </w:r>
            <w:r w:rsidRPr="00F341C2">
              <w:rPr>
                <w:rFonts w:asciiTheme="majorHAnsi" w:hAnsiTheme="majorHAnsi" w:cs="Times New Roman"/>
                <w:bCs/>
              </w:rPr>
              <w:t xml:space="preserve"> 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opis przedmiotu zamówienia, kryteria oceny ofert, warunki udziału w postępowaniu;</w:t>
            </w:r>
          </w:p>
          <w:p w14:paraId="0135620D" w14:textId="782DE887" w:rsidR="00E64C31" w:rsidRPr="00F341C2" w:rsidRDefault="00E64C31" w:rsidP="00E64C31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- </w:t>
            </w:r>
            <w:r w:rsidRPr="00F341C2">
              <w:rPr>
                <w:rFonts w:asciiTheme="majorHAnsi" w:hAnsiTheme="majorHAnsi" w:cs="Times New Roman"/>
                <w:bCs/>
              </w:rPr>
              <w:t xml:space="preserve"> </w:t>
            </w:r>
            <w:r w:rsidRPr="00F341C2">
              <w:rPr>
                <w:rFonts w:asciiTheme="majorHAnsi" w:hAnsiTheme="majorHAnsi" w:cs="Times New Roman"/>
                <w:bCs/>
              </w:rPr>
              <w:tab/>
              <w:t>konflikt interesów;</w:t>
            </w:r>
          </w:p>
          <w:p w14:paraId="77FF2B68" w14:textId="2A6B9125" w:rsidR="00E64C31" w:rsidRDefault="00E64C31" w:rsidP="00E64C31">
            <w:pPr>
              <w:autoSpaceDE w:val="0"/>
              <w:adjustRightInd w:val="0"/>
              <w:spacing w:after="0" w:line="360" w:lineRule="auto"/>
              <w:ind w:left="1134" w:hanging="567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- </w:t>
            </w:r>
            <w:r w:rsidRPr="00F341C2">
              <w:rPr>
                <w:rFonts w:asciiTheme="majorHAnsi" w:hAnsiTheme="majorHAnsi" w:cs="Times New Roman"/>
                <w:bCs/>
              </w:rPr>
              <w:t xml:space="preserve"> </w:t>
            </w:r>
            <w:r w:rsidRPr="00F341C2">
              <w:rPr>
                <w:rFonts w:asciiTheme="majorHAnsi" w:hAnsiTheme="majorHAnsi" w:cs="Times New Roman"/>
                <w:bCs/>
              </w:rPr>
              <w:tab/>
              <w:t xml:space="preserve">przebieg i </w:t>
            </w:r>
            <w:r>
              <w:rPr>
                <w:rFonts w:asciiTheme="majorHAnsi" w:hAnsiTheme="majorHAnsi" w:cs="Times New Roman"/>
                <w:bCs/>
              </w:rPr>
              <w:t>dokumentowanie postępowania,</w:t>
            </w:r>
          </w:p>
          <w:p w14:paraId="3E28E2F4" w14:textId="3D092522" w:rsidR="006A639F" w:rsidRPr="003F6B3A" w:rsidRDefault="006A639F" w:rsidP="00E64C31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27CE5ED2" w:rsidR="006A639F" w:rsidRPr="003F6B3A" w:rsidRDefault="00E64C31" w:rsidP="00E64C31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asciiTheme="majorHAnsi" w:hAnsiTheme="majorHAnsi" w:cs="Times New Roman"/>
                <w:bCs/>
              </w:rPr>
              <w:t xml:space="preserve">9.              Szczegółowe omówienie taryfikatora korekt finansowych.  </w:t>
            </w: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0FEF1CC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F8F078F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7D9083B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65EEE1F" w14:textId="77777777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CCA7" w14:textId="77777777" w:rsidR="007B59F2" w:rsidRDefault="007B59F2">
      <w:pPr>
        <w:spacing w:after="0" w:line="240" w:lineRule="auto"/>
      </w:pPr>
      <w:r>
        <w:separator/>
      </w:r>
    </w:p>
  </w:endnote>
  <w:endnote w:type="continuationSeparator" w:id="0">
    <w:p w14:paraId="7C76189F" w14:textId="77777777" w:rsidR="007B59F2" w:rsidRDefault="007B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A48C" w14:textId="77777777" w:rsidR="00AF3DAB" w:rsidRDefault="00AF3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4958" w14:textId="77777777" w:rsidR="00AF3DAB" w:rsidRDefault="00AF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72BE" w14:textId="77777777" w:rsidR="007B59F2" w:rsidRDefault="007B59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FDEC2F" w14:textId="77777777" w:rsidR="007B59F2" w:rsidRDefault="007B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F4E7" w14:textId="77777777" w:rsidR="00AF3DAB" w:rsidRDefault="00AF3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19EED25C" w:rsidR="008079DD" w:rsidRDefault="00AF3DAB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7A08D295" wp14:editId="3F83A30D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AF3D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A8EF" w14:textId="77777777" w:rsidR="00AF3DAB" w:rsidRDefault="00AF3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E5A38"/>
    <w:rsid w:val="00180C51"/>
    <w:rsid w:val="001B3E22"/>
    <w:rsid w:val="001B5006"/>
    <w:rsid w:val="001D6B69"/>
    <w:rsid w:val="002605C7"/>
    <w:rsid w:val="002D0AB5"/>
    <w:rsid w:val="00311591"/>
    <w:rsid w:val="003A7A59"/>
    <w:rsid w:val="003F6B3A"/>
    <w:rsid w:val="00416082"/>
    <w:rsid w:val="0042319C"/>
    <w:rsid w:val="0048554D"/>
    <w:rsid w:val="004918DE"/>
    <w:rsid w:val="004D5B05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B59F2"/>
    <w:rsid w:val="007F4A21"/>
    <w:rsid w:val="00836767"/>
    <w:rsid w:val="00840969"/>
    <w:rsid w:val="008E0123"/>
    <w:rsid w:val="009979B3"/>
    <w:rsid w:val="009F5557"/>
    <w:rsid w:val="009F71CF"/>
    <w:rsid w:val="00A13CF0"/>
    <w:rsid w:val="00A43282"/>
    <w:rsid w:val="00A512F3"/>
    <w:rsid w:val="00AC1E56"/>
    <w:rsid w:val="00AF3DAB"/>
    <w:rsid w:val="00AF75C7"/>
    <w:rsid w:val="00B322FB"/>
    <w:rsid w:val="00C06235"/>
    <w:rsid w:val="00C07E4B"/>
    <w:rsid w:val="00C20DA1"/>
    <w:rsid w:val="00CB4FE4"/>
    <w:rsid w:val="00D601C5"/>
    <w:rsid w:val="00DE40E1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5</cp:revision>
  <cp:lastPrinted>2016-11-15T21:46:00Z</cp:lastPrinted>
  <dcterms:created xsi:type="dcterms:W3CDTF">2019-04-10T07:24:00Z</dcterms:created>
  <dcterms:modified xsi:type="dcterms:W3CDTF">2019-05-28T11:24:00Z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