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180C51" w:rsidRDefault="00C20DA1" w:rsidP="006114DA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20DA1">
              <w:rPr>
                <w:rFonts w:asciiTheme="minorHAnsi" w:hAnsiTheme="minorHAnsi"/>
                <w:b/>
                <w:szCs w:val="22"/>
              </w:rPr>
              <w:t>Prawo zamówień publicznych i zasada konkurencyjności w ramach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C20DA1">
              <w:rPr>
                <w:rFonts w:asciiTheme="minorHAnsi" w:hAnsiTheme="minorHAnsi"/>
                <w:b/>
                <w:szCs w:val="22"/>
              </w:rPr>
              <w:t xml:space="preserve"> Europejskiego Funduszu </w:t>
            </w:r>
            <w:r w:rsidR="006114DA">
              <w:rPr>
                <w:rFonts w:asciiTheme="minorHAnsi" w:hAnsiTheme="minorHAnsi"/>
                <w:b/>
                <w:szCs w:val="22"/>
              </w:rPr>
              <w:t>Społecznego</w:t>
            </w:r>
            <w:r w:rsidRPr="00C20DA1">
              <w:rPr>
                <w:rFonts w:asciiTheme="minorHAnsi" w:hAnsiTheme="minorHAnsi"/>
                <w:b/>
                <w:szCs w:val="22"/>
              </w:rPr>
              <w:t xml:space="preserve"> w projektach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C20DA1">
              <w:rPr>
                <w:rFonts w:asciiTheme="minorHAnsi" w:hAnsiTheme="minorHAnsi"/>
                <w:b/>
                <w:szCs w:val="22"/>
              </w:rPr>
              <w:t xml:space="preserve"> współfinansowanych z Regionalnego Programu Województwa Śląskiego</w:t>
            </w:r>
            <w:r>
              <w:rPr>
                <w:rFonts w:asciiTheme="minorHAnsi" w:hAnsiTheme="minorHAnsi"/>
                <w:b/>
                <w:szCs w:val="22"/>
              </w:rPr>
              <w:br/>
            </w:r>
            <w:r w:rsidRPr="00C20DA1">
              <w:rPr>
                <w:rFonts w:asciiTheme="minorHAnsi" w:hAnsiTheme="minorHAnsi"/>
                <w:b/>
                <w:szCs w:val="22"/>
              </w:rPr>
              <w:t xml:space="preserve"> na lata 2014-2020</w:t>
            </w:r>
          </w:p>
        </w:tc>
      </w:tr>
      <w:tr w:rsidR="00F93282" w:rsidRPr="00667CAF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997403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Krzysztof Puchacz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03475" w:rsidRPr="00773C38" w:rsidRDefault="00503475" w:rsidP="00503475">
            <w:pPr>
              <w:spacing w:line="340" w:lineRule="exact"/>
              <w:ind w:left="550" w:hanging="567"/>
              <w:jc w:val="both"/>
              <w:rPr>
                <w:rFonts w:asciiTheme="minorHAnsi" w:eastAsia="Arial Unicode MS" w:hAnsiTheme="minorHAnsi" w:cs="Arial Unicode MS"/>
                <w:b/>
                <w:bCs/>
              </w:rPr>
            </w:pPr>
            <w:r w:rsidRPr="00773C38">
              <w:rPr>
                <w:rFonts w:asciiTheme="minorHAnsi" w:eastAsia="Arial Unicode MS" w:hAnsiTheme="minorHAnsi" w:cs="Arial Unicode MS"/>
                <w:b/>
                <w:bCs/>
              </w:rPr>
              <w:t xml:space="preserve">Przepisy regulujące zasady udzielania zamówień publicznych (źródła prawa) </w:t>
            </w:r>
          </w:p>
          <w:p w:rsidR="00503475" w:rsidRPr="00773C38" w:rsidRDefault="00503475" w:rsidP="00503475">
            <w:pPr>
              <w:spacing w:line="340" w:lineRule="exact"/>
              <w:ind w:left="550" w:hanging="567"/>
              <w:jc w:val="both"/>
              <w:rPr>
                <w:rFonts w:asciiTheme="minorHAnsi" w:eastAsia="Arial Unicode MS" w:hAnsiTheme="minorHAnsi" w:cs="Arial Unicode MS"/>
                <w:b/>
                <w:bCs/>
              </w:rPr>
            </w:pPr>
          </w:p>
          <w:p w:rsidR="00503475" w:rsidRPr="00773C38" w:rsidRDefault="00503475" w:rsidP="00503475">
            <w:pPr>
              <w:spacing w:after="0" w:line="340" w:lineRule="exact"/>
              <w:ind w:left="851" w:hanging="301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 xml:space="preserve">źródła prawa wspólnotowego 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301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 xml:space="preserve">źródła prawa krajowego 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301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stosowanie kodeksu cywilnego w sprawach nieuregulowanych w Prawie zamówień publicznych,</w:t>
            </w:r>
          </w:p>
          <w:p w:rsidR="00503475" w:rsidRPr="00773C38" w:rsidRDefault="00503475" w:rsidP="00503475">
            <w:pPr>
              <w:spacing w:line="340" w:lineRule="exact"/>
              <w:jc w:val="both"/>
              <w:rPr>
                <w:rFonts w:asciiTheme="minorHAnsi" w:eastAsia="Arial Unicode MS" w:hAnsiTheme="minorHAnsi" w:cs="Arial Unicode MS"/>
              </w:rPr>
            </w:pPr>
          </w:p>
          <w:p w:rsidR="00503475" w:rsidRPr="00773C38" w:rsidRDefault="00503475" w:rsidP="00503475">
            <w:pPr>
              <w:spacing w:after="0" w:line="340" w:lineRule="exact"/>
              <w:ind w:left="851" w:hanging="851"/>
              <w:jc w:val="both"/>
              <w:rPr>
                <w:rFonts w:asciiTheme="minorHAnsi" w:eastAsia="Arial Unicode MS" w:hAnsiTheme="minorHAnsi" w:cs="Arial Unicode MS"/>
                <w:b/>
                <w:bCs/>
              </w:rPr>
            </w:pPr>
            <w:r w:rsidRPr="00773C38">
              <w:rPr>
                <w:rFonts w:asciiTheme="minorHAnsi" w:eastAsia="Arial Unicode MS" w:hAnsiTheme="minorHAnsi" w:cs="Arial Unicode MS"/>
                <w:b/>
                <w:bCs/>
              </w:rPr>
              <w:t>Szacowanie wartości zamówienia publicznego.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851"/>
              <w:jc w:val="both"/>
              <w:rPr>
                <w:rFonts w:asciiTheme="minorHAnsi" w:eastAsia="Arial Unicode MS" w:hAnsiTheme="minorHAnsi" w:cs="Arial Unicode MS"/>
                <w:b/>
                <w:bCs/>
              </w:rPr>
            </w:pP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>-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należyta staranność przy szacowaniu wartości zamówienia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szacowanie wartości zamówienia a plan zamówień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zamówienia nieobjęte planem zamówień (zamówienia odrębne)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zamówienia udzielane w częściach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jak uniknąć zakazanego podziału zamówienia? (reguły interpretacyjne)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asciiTheme="minorHAnsi" w:eastAsia="Arial Unicode MS" w:hAnsiTheme="minorHAnsi" w:cs="Arial Unicode MS"/>
              </w:rPr>
            </w:pPr>
            <w:r w:rsidRPr="00773C38">
              <w:rPr>
                <w:rFonts w:asciiTheme="minorHAnsi" w:eastAsia="Arial Unicode MS" w:hAnsiTheme="minorHAnsi" w:cs="Arial Unicode MS"/>
              </w:rPr>
              <w:t xml:space="preserve">- </w:t>
            </w:r>
            <w:r w:rsidRPr="00773C38">
              <w:rPr>
                <w:rFonts w:asciiTheme="minorHAnsi" w:eastAsia="Arial Unicode MS" w:hAnsiTheme="minorHAnsi" w:cs="Arial Unicode MS"/>
              </w:rPr>
              <w:tab/>
              <w:t>jak szacować wartość zamówienia na zamówienia finansowane z środków UE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eastAsia="Arial"/>
              </w:rPr>
            </w:pPr>
            <w:r w:rsidRPr="00773C38">
              <w:rPr>
                <w:rFonts w:eastAsia="Arial"/>
              </w:rPr>
              <w:t xml:space="preserve">- </w:t>
            </w:r>
            <w:r w:rsidRPr="00773C38">
              <w:rPr>
                <w:rFonts w:eastAsia="Arial"/>
              </w:rPr>
              <w:tab/>
              <w:t>uwzględnianie zamówień uzupełniających i prawa opcji</w:t>
            </w:r>
          </w:p>
          <w:p w:rsidR="00503475" w:rsidRPr="00773C38" w:rsidRDefault="00503475" w:rsidP="00503475">
            <w:pPr>
              <w:spacing w:after="0" w:line="340" w:lineRule="exact"/>
              <w:ind w:left="851" w:hanging="284"/>
              <w:jc w:val="both"/>
              <w:rPr>
                <w:rFonts w:eastAsia="Arial"/>
              </w:rPr>
            </w:pPr>
            <w:r w:rsidRPr="00773C38">
              <w:rPr>
                <w:rFonts w:eastAsia="Arial"/>
              </w:rPr>
              <w:t>-</w:t>
            </w:r>
            <w:r w:rsidRPr="00773C38">
              <w:rPr>
                <w:rFonts w:eastAsia="Arial"/>
              </w:rPr>
              <w:tab/>
              <w:t>planowanie postępowań (art. 13a PZP)</w:t>
            </w:r>
          </w:p>
          <w:p w:rsidR="00DE40E1" w:rsidRPr="006A639F" w:rsidRDefault="00DE40E1" w:rsidP="00503475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cs="Times New Roman"/>
                <w:szCs w:val="24"/>
                <w:lang w:eastAsia="ar-SA"/>
              </w:rPr>
            </w:pP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03475" w:rsidRPr="00773C38" w:rsidRDefault="00503475" w:rsidP="00503475">
            <w:pPr>
              <w:spacing w:before="100" w:beforeAutospacing="1" w:after="100" w:afterAutospacing="1"/>
              <w:ind w:left="851" w:hanging="851"/>
              <w:jc w:val="both"/>
              <w:rPr>
                <w:rFonts w:asciiTheme="minorHAnsi" w:hAnsiTheme="minorHAnsi"/>
              </w:rPr>
            </w:pPr>
            <w:r w:rsidRPr="00773C38">
              <w:rPr>
                <w:rFonts w:asciiTheme="minorHAnsi" w:hAnsiTheme="minorHAnsi"/>
                <w:b/>
              </w:rPr>
              <w:t>Opis przedmiotu zamówienia (przykłady rozwiązań obniżających ryzyko nieprawidłowości).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 xml:space="preserve">- </w:t>
            </w:r>
            <w:r w:rsidRPr="00773C38">
              <w:rPr>
                <w:sz w:val="22"/>
                <w:szCs w:val="22"/>
              </w:rPr>
              <w:tab/>
              <w:t>granica pomiędzy zakazanym ograniczaniem konkurencji a l</w:t>
            </w:r>
            <w:r w:rsidRPr="00773C38">
              <w:rPr>
                <w:sz w:val="22"/>
                <w:szCs w:val="22"/>
              </w:rPr>
              <w:t>e</w:t>
            </w:r>
            <w:r w:rsidRPr="00773C38">
              <w:rPr>
                <w:sz w:val="22"/>
                <w:szCs w:val="22"/>
              </w:rPr>
              <w:t>galnym opisaniem przedmiotu zamówienia z uwzględnieniem wysokich standardów uzasadnionych potrzebą zamawiającego;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 xml:space="preserve">- </w:t>
            </w:r>
            <w:r w:rsidRPr="00773C38">
              <w:rPr>
                <w:sz w:val="22"/>
                <w:szCs w:val="22"/>
              </w:rPr>
              <w:tab/>
              <w:t>dokumenty potwierdzające, że oferowane dostawy, usługi lub roboty budowlane spełniają wymagania zamawiając</w:t>
            </w:r>
            <w:r w:rsidRPr="00773C38">
              <w:rPr>
                <w:sz w:val="22"/>
                <w:szCs w:val="22"/>
              </w:rPr>
              <w:t>e</w:t>
            </w:r>
            <w:r w:rsidRPr="00773C38">
              <w:rPr>
                <w:sz w:val="22"/>
                <w:szCs w:val="22"/>
              </w:rPr>
              <w:t>go, w tym oznakowanie, certyfikaty, raporty z badań;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próbki, testy i prezentacje, jako element weryfikacji przedmiotu zamówienia na etapie oceny i badania ofert;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uwzględnianie potrzeb wszystkich uczestników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klauzula zatrudnienia (art. 29 ust. 3a);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</w:p>
          <w:p w:rsidR="00503475" w:rsidRPr="00773C38" w:rsidRDefault="00503475" w:rsidP="00503475">
            <w:pPr>
              <w:spacing w:before="100" w:beforeAutospacing="1" w:after="100" w:afterAutospacing="1"/>
              <w:ind w:left="851" w:hanging="851"/>
              <w:jc w:val="both"/>
              <w:rPr>
                <w:rFonts w:asciiTheme="minorHAnsi" w:hAnsiTheme="minorHAnsi"/>
                <w:b/>
              </w:rPr>
            </w:pPr>
            <w:r w:rsidRPr="00773C38">
              <w:rPr>
                <w:rFonts w:asciiTheme="minorHAnsi" w:hAnsiTheme="minorHAnsi"/>
                <w:b/>
              </w:rPr>
              <w:t>Warunki udziału w postępowaniu oraz podstawy wykluczenia wykonawcy z udziału w postępowaniu.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zakres uprawnień zamawiającego w zakresie konstruowania w</w:t>
            </w:r>
            <w:r w:rsidRPr="00773C38">
              <w:rPr>
                <w:sz w:val="22"/>
                <w:szCs w:val="22"/>
              </w:rPr>
              <w:t>a</w:t>
            </w:r>
            <w:r w:rsidRPr="00773C38">
              <w:rPr>
                <w:sz w:val="22"/>
                <w:szCs w:val="22"/>
              </w:rPr>
              <w:t>runków udziału w postępowaniu;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warunek udziału w postępowaniu, jako instrument badania zdolności wykonawcy do wykonania zamówienia;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 xml:space="preserve">- </w:t>
            </w:r>
            <w:r w:rsidRPr="00773C38">
              <w:rPr>
                <w:sz w:val="22"/>
                <w:szCs w:val="22"/>
              </w:rPr>
              <w:tab/>
              <w:t>warunek udziału w postępowaniu a kryteria oceny ofert;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przesłanki wykluczenia wykonawców z udziału w postęp</w:t>
            </w:r>
            <w:r w:rsidRPr="00773C38">
              <w:rPr>
                <w:sz w:val="22"/>
                <w:szCs w:val="22"/>
              </w:rPr>
              <w:t>o</w:t>
            </w:r>
            <w:r w:rsidRPr="00773C38">
              <w:rPr>
                <w:sz w:val="22"/>
                <w:szCs w:val="22"/>
              </w:rPr>
              <w:t>waniu po nowelizacji (obligatoryjne i fakultaty</w:t>
            </w:r>
            <w:r w:rsidRPr="00773C38">
              <w:rPr>
                <w:sz w:val="22"/>
                <w:szCs w:val="22"/>
              </w:rPr>
              <w:t>w</w:t>
            </w:r>
            <w:r w:rsidRPr="00773C38">
              <w:rPr>
                <w:sz w:val="22"/>
                <w:szCs w:val="22"/>
              </w:rPr>
              <w:t>ne)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851" w:hanging="284"/>
              <w:jc w:val="both"/>
              <w:rPr>
                <w:sz w:val="22"/>
                <w:szCs w:val="22"/>
              </w:rPr>
            </w:pP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773C38">
              <w:rPr>
                <w:b/>
                <w:sz w:val="22"/>
                <w:szCs w:val="22"/>
              </w:rPr>
              <w:t>Kryteria oceny ofert.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1701" w:hanging="567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zasady konstruowania kryteriów oceny ofert;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1701" w:hanging="567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przykłady kryteriów oceny ofert (koszty w cyklu życia, jakość, funkcjonalność, termin realizacji, gwarancja, wartość techniczna itp.)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1701" w:hanging="567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>-</w:t>
            </w:r>
            <w:r w:rsidRPr="00773C38">
              <w:rPr>
                <w:sz w:val="22"/>
                <w:szCs w:val="22"/>
              </w:rPr>
              <w:tab/>
              <w:t>kryteria mierzalne i niemierzalne.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1701" w:hanging="567"/>
              <w:jc w:val="both"/>
              <w:rPr>
                <w:sz w:val="22"/>
                <w:szCs w:val="22"/>
              </w:rPr>
            </w:pPr>
            <w:r w:rsidRPr="00773C38">
              <w:rPr>
                <w:sz w:val="22"/>
                <w:szCs w:val="22"/>
              </w:rPr>
              <w:t xml:space="preserve">- </w:t>
            </w:r>
            <w:r w:rsidRPr="00773C38">
              <w:rPr>
                <w:sz w:val="22"/>
                <w:szCs w:val="22"/>
              </w:rPr>
              <w:tab/>
              <w:t>weryfikacja kryteriów oceny ofert na podstawie d</w:t>
            </w:r>
            <w:r w:rsidRPr="00773C38">
              <w:rPr>
                <w:sz w:val="22"/>
                <w:szCs w:val="22"/>
              </w:rPr>
              <w:t>o</w:t>
            </w:r>
            <w:r w:rsidRPr="00773C38">
              <w:rPr>
                <w:sz w:val="22"/>
                <w:szCs w:val="22"/>
              </w:rPr>
              <w:t xml:space="preserve">kumentów lub próbek w tym omówienie możliwości </w:t>
            </w:r>
            <w:r w:rsidRPr="00773C38">
              <w:rPr>
                <w:sz w:val="22"/>
                <w:szCs w:val="22"/>
              </w:rPr>
              <w:lastRenderedPageBreak/>
              <w:t>ich uzupełniania.</w:t>
            </w:r>
          </w:p>
          <w:p w:rsidR="006A639F" w:rsidRPr="00773C38" w:rsidRDefault="006A639F" w:rsidP="00503475">
            <w:pPr>
              <w:autoSpaceDN/>
              <w:spacing w:after="0" w:line="240" w:lineRule="auto"/>
              <w:contextualSpacing/>
              <w:jc w:val="both"/>
              <w:textAlignment w:val="auto"/>
              <w:rPr>
                <w:rFonts w:asciiTheme="minorHAnsi" w:hAnsiTheme="minorHAnsi" w:cs="Times New Roman"/>
                <w:lang w:eastAsia="ar-SA"/>
              </w:rPr>
            </w:pP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lastRenderedPageBreak/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773C38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773C38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773C38">
              <w:rPr>
                <w:b/>
                <w:sz w:val="22"/>
                <w:szCs w:val="22"/>
              </w:rPr>
              <w:t>Ocena i badanie ofert</w:t>
            </w:r>
          </w:p>
          <w:p w:rsidR="00503475" w:rsidRPr="00773C38" w:rsidRDefault="00503475" w:rsidP="00503475">
            <w:pPr>
              <w:pStyle w:val="Default"/>
              <w:spacing w:line="276" w:lineRule="auto"/>
              <w:ind w:left="1701" w:hanging="56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zasady korzystania z potencjału podmiotów trzecich (art. 22a PZP);</w:t>
            </w:r>
          </w:p>
          <w:p w:rsidR="00503475" w:rsidRPr="00773C38" w:rsidRDefault="00503475" w:rsidP="00503475">
            <w:pPr>
              <w:pStyle w:val="Default"/>
              <w:spacing w:line="276" w:lineRule="auto"/>
              <w:ind w:left="1701" w:hanging="56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tzw. „procedura odwrócona” oceny podmiotowej wykonawcy.</w:t>
            </w:r>
          </w:p>
          <w:p w:rsidR="00503475" w:rsidRPr="00773C38" w:rsidRDefault="00503475" w:rsidP="00503475">
            <w:pPr>
              <w:pStyle w:val="Default"/>
              <w:spacing w:line="276" w:lineRule="auto"/>
              <w:ind w:left="1701" w:hanging="56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składanie oświadczeń wstępnych oraz „dokumentów podmiotowych” i ich uzupełnianie przez wykonawców;</w:t>
            </w:r>
          </w:p>
          <w:p w:rsidR="00503475" w:rsidRPr="00773C38" w:rsidRDefault="00503475" w:rsidP="00503475">
            <w:pPr>
              <w:pStyle w:val="Default"/>
              <w:spacing w:line="276" w:lineRule="auto"/>
              <w:ind w:left="1701" w:hanging="56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773C38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weryfikacja rażąco niskiej ceny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773C38">
              <w:rPr>
                <w:b/>
                <w:sz w:val="22"/>
                <w:szCs w:val="22"/>
              </w:rPr>
              <w:t>Dokumentowanie postępowania.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b/>
                <w:sz w:val="22"/>
                <w:szCs w:val="22"/>
              </w:rPr>
            </w:pP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b/>
                <w:sz w:val="22"/>
                <w:szCs w:val="22"/>
              </w:rPr>
            </w:pPr>
            <w:r w:rsidRPr="00773C38">
              <w:rPr>
                <w:b/>
                <w:sz w:val="22"/>
                <w:szCs w:val="22"/>
              </w:rPr>
              <w:t>Umowy o zamówienie publiczne.</w:t>
            </w:r>
          </w:p>
          <w:p w:rsidR="006A639F" w:rsidRPr="00773C38" w:rsidRDefault="006A639F" w:rsidP="00503475">
            <w:pPr>
              <w:autoSpaceDN/>
              <w:spacing w:after="0" w:line="240" w:lineRule="auto"/>
              <w:ind w:left="720"/>
              <w:contextualSpacing/>
              <w:textAlignment w:val="auto"/>
              <w:rPr>
                <w:rFonts w:asciiTheme="minorHAnsi" w:hAnsiTheme="minorHAnsi" w:cs="Times New Roman"/>
                <w:lang w:eastAsia="ar-SA"/>
              </w:rPr>
            </w:pP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773C38" w:rsidRDefault="006A639F" w:rsidP="006A639F">
            <w:pPr>
              <w:pStyle w:val="NormalnyWeb"/>
              <w:spacing w:before="0" w:after="0" w:line="240" w:lineRule="auto"/>
              <w:jc w:val="both"/>
              <w:rPr>
                <w:szCs w:val="22"/>
              </w:rPr>
            </w:pPr>
            <w:r w:rsidRPr="00773C38">
              <w:rPr>
                <w:szCs w:val="22"/>
              </w:rPr>
              <w:t>Przerwa obiadowa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503475" w:rsidRPr="00773C38" w:rsidRDefault="00503475" w:rsidP="00503475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773C38">
              <w:rPr>
                <w:b/>
              </w:rPr>
              <w:t>Usługi społeczne.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3C38">
              <w:rPr>
                <w:rFonts w:ascii="Calibri" w:hAnsi="Calibri"/>
                <w:b/>
                <w:sz w:val="22"/>
                <w:szCs w:val="22"/>
              </w:rPr>
              <w:t>Najczęściej popełniane błędy przy udzielaniu zamówień (najnowsze orzecznictwo TSUE i KIO).</w:t>
            </w: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503475" w:rsidRPr="00773C38" w:rsidRDefault="00503475" w:rsidP="00503475">
            <w:pPr>
              <w:pStyle w:val="Akapitzlist"/>
              <w:spacing w:before="100" w:beforeAutospacing="1" w:after="100" w:afterAutospacing="1"/>
              <w:ind w:left="567" w:hanging="56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73C38">
              <w:rPr>
                <w:rFonts w:ascii="Calibri" w:hAnsi="Calibri"/>
                <w:b/>
                <w:sz w:val="22"/>
                <w:szCs w:val="22"/>
              </w:rPr>
              <w:t xml:space="preserve">Zasada konkurencyjności /omówienie/. </w:t>
            </w:r>
          </w:p>
          <w:p w:rsidR="006A639F" w:rsidRPr="00773C38" w:rsidRDefault="006A639F" w:rsidP="00503475">
            <w:pPr>
              <w:autoSpaceDN/>
              <w:spacing w:after="0" w:line="240" w:lineRule="auto"/>
              <w:ind w:left="720"/>
              <w:contextualSpacing/>
              <w:jc w:val="both"/>
              <w:textAlignment w:val="auto"/>
              <w:rPr>
                <w:rFonts w:cs="Times New Roman"/>
                <w:lang w:eastAsia="ar-SA"/>
              </w:rPr>
            </w:pPr>
          </w:p>
        </w:tc>
      </w:tr>
    </w:tbl>
    <w:p w:rsidR="00667CAF" w:rsidRPr="00667CAF" w:rsidRDefault="00667CAF" w:rsidP="0064799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bookmarkStart w:id="0" w:name="_GoBack"/>
      <w:bookmarkEnd w:id="0"/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3F6B3A" w:rsidRDefault="003F6B3A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C07E4B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sectPr w:rsidR="00C07E4B" w:rsidSect="00AC6754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92" w:rsidRDefault="00111292">
      <w:pPr>
        <w:spacing w:after="0" w:line="240" w:lineRule="auto"/>
      </w:pPr>
      <w:r>
        <w:separator/>
      </w:r>
    </w:p>
  </w:endnote>
  <w:endnote w:type="continuationSeparator" w:id="0">
    <w:p w:rsidR="00111292" w:rsidRDefault="0011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92" w:rsidRDefault="001112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1292" w:rsidRDefault="00111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AC43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282"/>
    <w:rsid w:val="000A1ED4"/>
    <w:rsid w:val="000E5A38"/>
    <w:rsid w:val="00111292"/>
    <w:rsid w:val="00165561"/>
    <w:rsid w:val="00180C51"/>
    <w:rsid w:val="001B3E22"/>
    <w:rsid w:val="001B5006"/>
    <w:rsid w:val="001D6B69"/>
    <w:rsid w:val="002605C7"/>
    <w:rsid w:val="002D0AB5"/>
    <w:rsid w:val="00311591"/>
    <w:rsid w:val="003A7A59"/>
    <w:rsid w:val="003F6B3A"/>
    <w:rsid w:val="00416082"/>
    <w:rsid w:val="0048554D"/>
    <w:rsid w:val="004918DE"/>
    <w:rsid w:val="004D5B05"/>
    <w:rsid w:val="00503475"/>
    <w:rsid w:val="005E1163"/>
    <w:rsid w:val="006114DA"/>
    <w:rsid w:val="0062225B"/>
    <w:rsid w:val="0064799E"/>
    <w:rsid w:val="0065767C"/>
    <w:rsid w:val="00667CAF"/>
    <w:rsid w:val="006701B0"/>
    <w:rsid w:val="006A639F"/>
    <w:rsid w:val="006D1D40"/>
    <w:rsid w:val="007209ED"/>
    <w:rsid w:val="007339F1"/>
    <w:rsid w:val="00762DF2"/>
    <w:rsid w:val="00773C38"/>
    <w:rsid w:val="00836767"/>
    <w:rsid w:val="00871166"/>
    <w:rsid w:val="00997403"/>
    <w:rsid w:val="009979B3"/>
    <w:rsid w:val="009F5557"/>
    <w:rsid w:val="009F71CF"/>
    <w:rsid w:val="00A13CF0"/>
    <w:rsid w:val="00A43282"/>
    <w:rsid w:val="00A512F3"/>
    <w:rsid w:val="00AC1E56"/>
    <w:rsid w:val="00AC43FD"/>
    <w:rsid w:val="00AC6754"/>
    <w:rsid w:val="00AF75C7"/>
    <w:rsid w:val="00B322FB"/>
    <w:rsid w:val="00C06235"/>
    <w:rsid w:val="00C07E4B"/>
    <w:rsid w:val="00C20DA1"/>
    <w:rsid w:val="00CB4FE4"/>
    <w:rsid w:val="00D601C5"/>
    <w:rsid w:val="00DE40E1"/>
    <w:rsid w:val="00E635C2"/>
    <w:rsid w:val="00E7563C"/>
    <w:rsid w:val="00EA252E"/>
    <w:rsid w:val="00ED2354"/>
    <w:rsid w:val="00F07AEC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754"/>
    <w:pPr>
      <w:widowControl/>
    </w:pPr>
  </w:style>
  <w:style w:type="paragraph" w:customStyle="1" w:styleId="Heading">
    <w:name w:val="Heading"/>
    <w:basedOn w:val="Standard"/>
    <w:next w:val="Textbody"/>
    <w:rsid w:val="00AC675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C6754"/>
    <w:pPr>
      <w:spacing w:after="120"/>
    </w:pPr>
  </w:style>
  <w:style w:type="paragraph" w:styleId="Lista">
    <w:name w:val="List"/>
    <w:basedOn w:val="Textbody"/>
    <w:rsid w:val="00AC6754"/>
    <w:rPr>
      <w:rFonts w:cs="Mangal"/>
    </w:rPr>
  </w:style>
  <w:style w:type="paragraph" w:styleId="Legenda">
    <w:name w:val="caption"/>
    <w:basedOn w:val="Standard"/>
    <w:rsid w:val="00AC67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6754"/>
    <w:pPr>
      <w:suppressLineNumbers/>
    </w:pPr>
    <w:rPr>
      <w:rFonts w:cs="Mangal"/>
    </w:rPr>
  </w:style>
  <w:style w:type="paragraph" w:styleId="Nagwek">
    <w:name w:val="header"/>
    <w:basedOn w:val="Standard"/>
    <w:rsid w:val="00AC675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AC6754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AC6754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AC6754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AC6754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AC6754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AC6754"/>
    <w:pPr>
      <w:suppressLineNumbers/>
    </w:pPr>
  </w:style>
  <w:style w:type="paragraph" w:customStyle="1" w:styleId="TableHeading">
    <w:name w:val="Table Heading"/>
    <w:basedOn w:val="TableContents"/>
    <w:rsid w:val="00AC6754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AC6754"/>
  </w:style>
  <w:style w:type="character" w:customStyle="1" w:styleId="StopkaZnak">
    <w:name w:val="Stopka Znak"/>
    <w:basedOn w:val="Domylnaczcionkaakapitu"/>
    <w:rsid w:val="00AC6754"/>
  </w:style>
  <w:style w:type="character" w:customStyle="1" w:styleId="TekstdymkaZnak">
    <w:name w:val="Tekst dymka Znak"/>
    <w:basedOn w:val="Domylnaczcionkaakapitu"/>
    <w:rsid w:val="00AC675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AC6754"/>
    <w:rPr>
      <w:color w:val="000080"/>
      <w:u w:val="single"/>
    </w:rPr>
  </w:style>
  <w:style w:type="character" w:customStyle="1" w:styleId="BulletSymbols">
    <w:name w:val="Bullet Symbols"/>
    <w:rsid w:val="00AC6754"/>
    <w:rPr>
      <w:rFonts w:ascii="OpenSymbol" w:eastAsia="OpenSymbol" w:hAnsi="OpenSymbol" w:cs="OpenSymbol"/>
    </w:rPr>
  </w:style>
  <w:style w:type="character" w:customStyle="1" w:styleId="WW8Num3z0">
    <w:name w:val="WW8Num3z0"/>
    <w:rsid w:val="00AC6754"/>
  </w:style>
  <w:style w:type="character" w:customStyle="1" w:styleId="WW8Num3z1">
    <w:name w:val="WW8Num3z1"/>
    <w:rsid w:val="00AC6754"/>
    <w:rPr>
      <w:szCs w:val="24"/>
      <w:lang w:val="pl-PL" w:eastAsia="pl-PL"/>
    </w:rPr>
  </w:style>
  <w:style w:type="character" w:customStyle="1" w:styleId="WW8Num3z2">
    <w:name w:val="WW8Num3z2"/>
    <w:rsid w:val="00AC6754"/>
  </w:style>
  <w:style w:type="character" w:customStyle="1" w:styleId="WW8Num1z0">
    <w:name w:val="WW8Num1z0"/>
    <w:rsid w:val="00AC6754"/>
  </w:style>
  <w:style w:type="character" w:customStyle="1" w:styleId="WW8Num1z1">
    <w:name w:val="WW8Num1z1"/>
    <w:rsid w:val="00AC6754"/>
  </w:style>
  <w:style w:type="character" w:customStyle="1" w:styleId="WW8Num1z2">
    <w:name w:val="WW8Num1z2"/>
    <w:rsid w:val="00AC6754"/>
  </w:style>
  <w:style w:type="character" w:customStyle="1" w:styleId="WW8Num9z0">
    <w:name w:val="WW8Num9z0"/>
    <w:rsid w:val="00AC6754"/>
    <w:rPr>
      <w:rFonts w:ascii="Symbol" w:hAnsi="Symbol" w:cs="Symbol"/>
      <w:sz w:val="20"/>
    </w:rPr>
  </w:style>
  <w:style w:type="character" w:customStyle="1" w:styleId="WW8Num9z1">
    <w:name w:val="WW8Num9z1"/>
    <w:rsid w:val="00AC6754"/>
    <w:rPr>
      <w:rFonts w:ascii="Courier New" w:hAnsi="Courier New" w:cs="Courier New"/>
      <w:sz w:val="20"/>
    </w:rPr>
  </w:style>
  <w:style w:type="character" w:customStyle="1" w:styleId="WW8Num9z2">
    <w:name w:val="WW8Num9z2"/>
    <w:rsid w:val="00AC6754"/>
    <w:rPr>
      <w:rFonts w:ascii="Wingdings" w:hAnsi="Wingdings" w:cs="Wingdings"/>
      <w:sz w:val="20"/>
    </w:rPr>
  </w:style>
  <w:style w:type="character" w:customStyle="1" w:styleId="StrongEmphasis">
    <w:name w:val="Strong Emphasis"/>
    <w:rsid w:val="00AC6754"/>
    <w:rPr>
      <w:b/>
      <w:bCs/>
    </w:rPr>
  </w:style>
  <w:style w:type="numbering" w:customStyle="1" w:styleId="RTFNum2">
    <w:name w:val="RTF_Num 2"/>
    <w:basedOn w:val="Bezlisty"/>
    <w:rsid w:val="00AC6754"/>
    <w:pPr>
      <w:numPr>
        <w:numId w:val="1"/>
      </w:numPr>
    </w:pPr>
  </w:style>
  <w:style w:type="numbering" w:customStyle="1" w:styleId="RTFNum3">
    <w:name w:val="RTF_Num 3"/>
    <w:basedOn w:val="Bezlisty"/>
    <w:rsid w:val="00AC6754"/>
    <w:pPr>
      <w:numPr>
        <w:numId w:val="2"/>
      </w:numPr>
    </w:pPr>
  </w:style>
  <w:style w:type="numbering" w:customStyle="1" w:styleId="RTFNum4">
    <w:name w:val="RTF_Num 4"/>
    <w:basedOn w:val="Bezlisty"/>
    <w:rsid w:val="00AC6754"/>
    <w:pPr>
      <w:numPr>
        <w:numId w:val="3"/>
      </w:numPr>
    </w:pPr>
  </w:style>
  <w:style w:type="numbering" w:customStyle="1" w:styleId="WW8Num3">
    <w:name w:val="WW8Num3"/>
    <w:basedOn w:val="Bezlisty"/>
    <w:rsid w:val="00AC6754"/>
    <w:pPr>
      <w:numPr>
        <w:numId w:val="4"/>
      </w:numPr>
    </w:pPr>
  </w:style>
  <w:style w:type="numbering" w:customStyle="1" w:styleId="WW8Num1">
    <w:name w:val="WW8Num1"/>
    <w:basedOn w:val="Bezlisty"/>
    <w:rsid w:val="00AC6754"/>
    <w:pPr>
      <w:numPr>
        <w:numId w:val="5"/>
      </w:numPr>
    </w:pPr>
  </w:style>
  <w:style w:type="numbering" w:customStyle="1" w:styleId="WW8Num9">
    <w:name w:val="WW8Num9"/>
    <w:basedOn w:val="Bezlisty"/>
    <w:rsid w:val="00AC6754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3475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15</cp:revision>
  <cp:lastPrinted>2016-11-15T21:46:00Z</cp:lastPrinted>
  <dcterms:created xsi:type="dcterms:W3CDTF">2017-05-15T05:31:00Z</dcterms:created>
  <dcterms:modified xsi:type="dcterms:W3CDTF">2018-07-11T06:41:00Z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