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180C51" w:rsidRDefault="008E0123" w:rsidP="0062225B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8E0123">
              <w:rPr>
                <w:rFonts w:asciiTheme="minorHAnsi" w:hAnsiTheme="minorHAnsi"/>
                <w:b/>
                <w:szCs w:val="22"/>
              </w:rPr>
              <w:t>Prawo zamówień publicznych i zasada konkurencyjności w ramach</w:t>
            </w:r>
            <w:r>
              <w:rPr>
                <w:rFonts w:asciiTheme="minorHAnsi" w:hAnsiTheme="minorHAnsi"/>
                <w:b/>
                <w:szCs w:val="22"/>
              </w:rPr>
              <w:br/>
            </w:r>
            <w:r w:rsidRPr="008E0123">
              <w:rPr>
                <w:rFonts w:asciiTheme="minorHAnsi" w:hAnsiTheme="minorHAnsi"/>
                <w:b/>
                <w:szCs w:val="22"/>
              </w:rPr>
              <w:t xml:space="preserve"> Europejskiego Funduszu Rozwoju Regionalnego w projektach</w:t>
            </w:r>
            <w:r>
              <w:rPr>
                <w:rFonts w:asciiTheme="minorHAnsi" w:hAnsiTheme="minorHAnsi"/>
                <w:b/>
                <w:szCs w:val="22"/>
              </w:rPr>
              <w:br/>
            </w:r>
            <w:r w:rsidRPr="008E0123">
              <w:rPr>
                <w:rFonts w:asciiTheme="minorHAnsi" w:hAnsiTheme="minorHAnsi"/>
                <w:b/>
                <w:szCs w:val="22"/>
              </w:rPr>
              <w:t xml:space="preserve"> współfinansowanych z Regionalnego Programu Województwa Śląskiego</w:t>
            </w:r>
            <w:r>
              <w:rPr>
                <w:rFonts w:asciiTheme="minorHAnsi" w:hAnsiTheme="minorHAnsi"/>
                <w:b/>
                <w:szCs w:val="22"/>
              </w:rPr>
              <w:br/>
            </w:r>
            <w:r w:rsidRPr="008E0123">
              <w:rPr>
                <w:rFonts w:asciiTheme="minorHAnsi" w:hAnsiTheme="minorHAnsi"/>
                <w:b/>
                <w:szCs w:val="22"/>
              </w:rPr>
              <w:t xml:space="preserve"> na lata 2014-2020</w:t>
            </w:r>
          </w:p>
        </w:tc>
      </w:tr>
      <w:tr w:rsidR="00F93282" w:rsidRPr="00667CAF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24D77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Krzysztof Puchacz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Miejsce szkolenia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7CAF" w:rsidRPr="00667CAF" w:rsidRDefault="00667CAF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Obiekt Wydziału Teologicznego Uniwersytetu Śląskiego</w:t>
            </w:r>
          </w:p>
          <w:p w:rsidR="00F93282" w:rsidRPr="00667CAF" w:rsidRDefault="00667CAF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 w:cs="Times New Roman"/>
              </w:rPr>
            </w:pPr>
            <w:r w:rsidRPr="00667CAF">
              <w:rPr>
                <w:rFonts w:asciiTheme="minorHAnsi" w:hAnsiTheme="minorHAnsi" w:cs="Times New Roman"/>
              </w:rPr>
              <w:t>40-005 Katowice, ul. Jordana 18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Śląskiego, Wydział Rozwoju Regionalnego</w:t>
            </w:r>
          </w:p>
        </w:tc>
      </w:tr>
    </w:tbl>
    <w:p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B0A00" w:rsidRPr="006A4913" w:rsidRDefault="008B0A00" w:rsidP="008B0A00">
            <w:pPr>
              <w:spacing w:after="0"/>
              <w:ind w:left="851" w:hanging="851"/>
              <w:contextualSpacing/>
              <w:jc w:val="both"/>
              <w:rPr>
                <w:b/>
                <w:bCs/>
              </w:rPr>
            </w:pPr>
            <w:r w:rsidRPr="006A4913">
              <w:rPr>
                <w:b/>
                <w:bCs/>
              </w:rPr>
              <w:t>Szacowanie wartości zamówienia publicznego.</w:t>
            </w:r>
          </w:p>
          <w:p w:rsidR="008B0A00" w:rsidRPr="006A4913" w:rsidRDefault="008B0A00" w:rsidP="008B0A00">
            <w:pPr>
              <w:spacing w:after="0"/>
              <w:ind w:left="851" w:hanging="851"/>
              <w:contextualSpacing/>
              <w:jc w:val="both"/>
              <w:rPr>
                <w:b/>
                <w:bCs/>
              </w:rPr>
            </w:pPr>
          </w:p>
          <w:p w:rsidR="008B0A00" w:rsidRPr="006A4913" w:rsidRDefault="008B0A00" w:rsidP="008B0A00">
            <w:pPr>
              <w:spacing w:after="0"/>
              <w:ind w:left="851" w:hanging="284"/>
              <w:contextualSpacing/>
              <w:jc w:val="both"/>
            </w:pPr>
            <w:r w:rsidRPr="006A4913">
              <w:rPr>
                <w:rFonts w:eastAsia="Arial"/>
              </w:rPr>
              <w:t>-</w:t>
            </w:r>
            <w:r w:rsidRPr="006A4913">
              <w:rPr>
                <w:rFonts w:eastAsia="Arial"/>
              </w:rPr>
              <w:tab/>
            </w:r>
            <w:r w:rsidRPr="006A4913">
              <w:t>należyta staranność przy szacowaniu wartości zamówienia</w:t>
            </w:r>
          </w:p>
          <w:p w:rsidR="008B0A00" w:rsidRPr="006A4913" w:rsidRDefault="008B0A00" w:rsidP="008B0A00">
            <w:pPr>
              <w:spacing w:after="0"/>
              <w:ind w:left="851" w:hanging="284"/>
              <w:contextualSpacing/>
              <w:jc w:val="both"/>
              <w:rPr>
                <w:rFonts w:eastAsia="Arial"/>
              </w:rPr>
            </w:pPr>
            <w:r w:rsidRPr="006A4913">
              <w:t xml:space="preserve">- </w:t>
            </w:r>
            <w:r w:rsidRPr="006A4913">
              <w:tab/>
              <w:t>z</w:t>
            </w:r>
            <w:r w:rsidRPr="006A4913">
              <w:rPr>
                <w:rFonts w:eastAsia="Arial"/>
              </w:rPr>
              <w:t>amówienia nieobjęte planem zamówień (zamówienia odrębne)</w:t>
            </w:r>
          </w:p>
          <w:p w:rsidR="008B0A00" w:rsidRPr="006A4913" w:rsidRDefault="008B0A00" w:rsidP="008B0A00">
            <w:pPr>
              <w:spacing w:after="0"/>
              <w:ind w:left="851" w:hanging="284"/>
              <w:contextualSpacing/>
              <w:jc w:val="both"/>
              <w:rPr>
                <w:rFonts w:eastAsia="Arial"/>
              </w:rPr>
            </w:pPr>
            <w:r w:rsidRPr="006A4913">
              <w:rPr>
                <w:rFonts w:eastAsia="Arial"/>
              </w:rPr>
              <w:t xml:space="preserve">- </w:t>
            </w:r>
            <w:r w:rsidRPr="006A4913">
              <w:rPr>
                <w:rFonts w:eastAsia="Arial"/>
              </w:rPr>
              <w:tab/>
              <w:t>zamówienia udzielane w częściach</w:t>
            </w:r>
          </w:p>
          <w:p w:rsidR="008B0A00" w:rsidRPr="006A4913" w:rsidRDefault="008B0A00" w:rsidP="008B0A00">
            <w:pPr>
              <w:spacing w:after="0"/>
              <w:ind w:left="851" w:hanging="284"/>
              <w:contextualSpacing/>
              <w:jc w:val="both"/>
              <w:rPr>
                <w:rFonts w:eastAsia="Arial"/>
              </w:rPr>
            </w:pPr>
            <w:r w:rsidRPr="006A4913">
              <w:rPr>
                <w:rFonts w:eastAsia="Arial"/>
              </w:rPr>
              <w:t xml:space="preserve">- </w:t>
            </w:r>
            <w:r w:rsidRPr="006A4913">
              <w:rPr>
                <w:rFonts w:eastAsia="Arial"/>
              </w:rPr>
              <w:tab/>
              <w:t>jak uniknąć zakazanego podziału zamówienia? (reguły interpretacyjne)</w:t>
            </w:r>
          </w:p>
          <w:p w:rsidR="00DE40E1" w:rsidRPr="006A639F" w:rsidRDefault="00DE40E1" w:rsidP="008B0A00">
            <w:pPr>
              <w:autoSpaceDN/>
              <w:spacing w:after="0" w:line="240" w:lineRule="auto"/>
              <w:ind w:left="720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</w:p>
        </w:tc>
      </w:tr>
      <w:tr w:rsidR="00EA252E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kawowa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B0A00" w:rsidRPr="006A4913" w:rsidRDefault="008B0A00" w:rsidP="008B0A00">
            <w:pPr>
              <w:pStyle w:val="Akapitzlist"/>
              <w:spacing w:before="100" w:beforeAutospacing="1" w:after="100" w:afterAutospacing="1"/>
              <w:ind w:left="567" w:hanging="56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A4913">
              <w:rPr>
                <w:rFonts w:ascii="Calibri" w:hAnsi="Calibri"/>
                <w:b/>
                <w:sz w:val="22"/>
                <w:szCs w:val="22"/>
              </w:rPr>
              <w:t>Kryteria oceny ofert.</w:t>
            </w:r>
          </w:p>
          <w:p w:rsidR="008B0A00" w:rsidRPr="006A4913" w:rsidRDefault="008B0A00" w:rsidP="008B0A00">
            <w:pPr>
              <w:pStyle w:val="Akapitzlist"/>
              <w:spacing w:before="100" w:beforeAutospacing="1" w:after="100" w:afterAutospacing="1"/>
              <w:ind w:left="567" w:hanging="56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8B0A00" w:rsidRPr="006A4913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6A4913">
              <w:rPr>
                <w:rFonts w:ascii="Calibri" w:hAnsi="Calibri"/>
                <w:sz w:val="22"/>
                <w:szCs w:val="22"/>
              </w:rPr>
              <w:t>-</w:t>
            </w:r>
            <w:r w:rsidRPr="006A4913">
              <w:rPr>
                <w:rFonts w:ascii="Calibri" w:hAnsi="Calibri"/>
                <w:sz w:val="22"/>
                <w:szCs w:val="22"/>
              </w:rPr>
              <w:tab/>
              <w:t>zasady konstruowania kryteriów oceny ofert</w:t>
            </w:r>
          </w:p>
          <w:p w:rsidR="008B0A00" w:rsidRPr="006A4913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6A4913">
              <w:rPr>
                <w:rFonts w:ascii="Calibri" w:hAnsi="Calibri"/>
                <w:sz w:val="22"/>
                <w:szCs w:val="22"/>
              </w:rPr>
              <w:t>-</w:t>
            </w:r>
            <w:r w:rsidRPr="006A4913">
              <w:rPr>
                <w:rFonts w:ascii="Calibri" w:hAnsi="Calibri"/>
                <w:sz w:val="22"/>
                <w:szCs w:val="22"/>
              </w:rPr>
              <w:tab/>
              <w:t>przykłady kryteriów oceny ofert (koszty w cyklu życia, jakość, funkcjonalność, termin realizacji, gwarancja, wartość techniczna itp.)</w:t>
            </w:r>
          </w:p>
          <w:p w:rsidR="008B0A00" w:rsidRPr="006A4913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6A4913">
              <w:rPr>
                <w:rFonts w:ascii="Calibri" w:hAnsi="Calibri"/>
                <w:sz w:val="22"/>
                <w:szCs w:val="22"/>
              </w:rPr>
              <w:t>-</w:t>
            </w:r>
            <w:r w:rsidRPr="006A4913">
              <w:rPr>
                <w:rFonts w:ascii="Calibri" w:hAnsi="Calibri"/>
                <w:sz w:val="22"/>
                <w:szCs w:val="22"/>
              </w:rPr>
              <w:tab/>
              <w:t>kryteria mierzalne i niemierzalne</w:t>
            </w:r>
          </w:p>
          <w:p w:rsidR="008B0A00" w:rsidRPr="006A4913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6A4913">
              <w:rPr>
                <w:rFonts w:ascii="Calibri" w:hAnsi="Calibri"/>
                <w:sz w:val="22"/>
                <w:szCs w:val="22"/>
              </w:rPr>
              <w:t xml:space="preserve">- </w:t>
            </w:r>
            <w:r w:rsidRPr="006A4913">
              <w:rPr>
                <w:rFonts w:ascii="Calibri" w:hAnsi="Calibri"/>
                <w:sz w:val="22"/>
                <w:szCs w:val="22"/>
              </w:rPr>
              <w:tab/>
              <w:t>weryfikacja kryteriów oceny ofert na podstawie dokumentów lub próbek w tym omówienie możliwości ich uzupe</w:t>
            </w:r>
            <w:r w:rsidRPr="006A4913">
              <w:rPr>
                <w:rFonts w:ascii="Calibri" w:hAnsi="Calibri"/>
                <w:sz w:val="22"/>
                <w:szCs w:val="22"/>
              </w:rPr>
              <w:t>ł</w:t>
            </w:r>
            <w:r w:rsidRPr="006A4913">
              <w:rPr>
                <w:rFonts w:ascii="Calibri" w:hAnsi="Calibri"/>
                <w:sz w:val="22"/>
                <w:szCs w:val="22"/>
              </w:rPr>
              <w:t>niania.</w:t>
            </w:r>
          </w:p>
          <w:p w:rsidR="008B0A00" w:rsidRPr="00133031" w:rsidRDefault="008B0A00" w:rsidP="008B0A00">
            <w:pPr>
              <w:spacing w:before="100" w:beforeAutospacing="1" w:after="100" w:afterAutospacing="1"/>
              <w:ind w:left="851" w:hanging="851"/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A4913">
              <w:rPr>
                <w:b/>
              </w:rPr>
              <w:t>Sposób wykazywania warunku udziału w postępowaniu w tym poleganie na potencjale podmiotów trzecich oraz podwykonawstwo.</w:t>
            </w:r>
          </w:p>
          <w:p w:rsidR="008B0A00" w:rsidRPr="006A4913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6A4913">
              <w:rPr>
                <w:rFonts w:ascii="Calibri" w:hAnsi="Calibri"/>
                <w:sz w:val="22"/>
                <w:szCs w:val="22"/>
              </w:rPr>
              <w:lastRenderedPageBreak/>
              <w:t>-</w:t>
            </w:r>
            <w:r w:rsidRPr="006A4913">
              <w:rPr>
                <w:rFonts w:ascii="Calibri" w:hAnsi="Calibri"/>
                <w:sz w:val="22"/>
                <w:szCs w:val="22"/>
              </w:rPr>
              <w:tab/>
              <w:t>sposób określenia warunku udziału w postępowaniu i jego wpływ na możliwość wspólnego ubiegania się o udzielenie z</w:t>
            </w:r>
            <w:r w:rsidRPr="006A4913">
              <w:rPr>
                <w:rFonts w:ascii="Calibri" w:hAnsi="Calibri"/>
                <w:sz w:val="22"/>
                <w:szCs w:val="22"/>
              </w:rPr>
              <w:t>a</w:t>
            </w:r>
            <w:r w:rsidRPr="006A4913">
              <w:rPr>
                <w:rFonts w:ascii="Calibri" w:hAnsi="Calibri"/>
                <w:sz w:val="22"/>
                <w:szCs w:val="22"/>
              </w:rPr>
              <w:t>mówienia oraz korzystania z zasobów podmiotów trz</w:t>
            </w:r>
            <w:r w:rsidRPr="006A4913">
              <w:rPr>
                <w:rFonts w:ascii="Calibri" w:hAnsi="Calibri"/>
                <w:sz w:val="22"/>
                <w:szCs w:val="22"/>
              </w:rPr>
              <w:t>e</w:t>
            </w:r>
            <w:r w:rsidRPr="006A4913">
              <w:rPr>
                <w:rFonts w:ascii="Calibri" w:hAnsi="Calibri"/>
                <w:sz w:val="22"/>
                <w:szCs w:val="22"/>
              </w:rPr>
              <w:t xml:space="preserve">cich </w:t>
            </w:r>
          </w:p>
          <w:p w:rsidR="008B0A00" w:rsidRPr="006A4913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6A4913">
              <w:rPr>
                <w:rFonts w:ascii="Calibri" w:hAnsi="Calibri"/>
                <w:sz w:val="22"/>
                <w:szCs w:val="22"/>
              </w:rPr>
              <w:t>-</w:t>
            </w:r>
            <w:r w:rsidRPr="006A4913">
              <w:rPr>
                <w:rFonts w:ascii="Calibri" w:hAnsi="Calibri"/>
                <w:sz w:val="22"/>
                <w:szCs w:val="22"/>
              </w:rPr>
              <w:tab/>
              <w:t>wspólne ubieganie się o udzielenie zamówienia</w:t>
            </w:r>
          </w:p>
          <w:p w:rsidR="008B0A00" w:rsidRPr="006A4913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6A4913">
              <w:rPr>
                <w:rFonts w:ascii="Calibri" w:hAnsi="Calibri"/>
                <w:sz w:val="22"/>
                <w:szCs w:val="22"/>
              </w:rPr>
              <w:t>-</w:t>
            </w:r>
            <w:r w:rsidRPr="006A4913">
              <w:rPr>
                <w:rFonts w:ascii="Calibri" w:hAnsi="Calibri"/>
                <w:sz w:val="22"/>
                <w:szCs w:val="22"/>
              </w:rPr>
              <w:tab/>
              <w:t>poleganie na zasobach podmiotów trzecich</w:t>
            </w:r>
          </w:p>
          <w:p w:rsidR="008B0A00" w:rsidRPr="006A4913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6A4913">
              <w:rPr>
                <w:rFonts w:ascii="Calibri" w:hAnsi="Calibri"/>
                <w:sz w:val="22"/>
                <w:szCs w:val="22"/>
              </w:rPr>
              <w:t>-</w:t>
            </w:r>
            <w:r w:rsidRPr="006A4913">
              <w:rPr>
                <w:rFonts w:ascii="Calibri" w:hAnsi="Calibri"/>
                <w:sz w:val="22"/>
                <w:szCs w:val="22"/>
              </w:rPr>
              <w:tab/>
              <w:t>możliwość zmiany sposobu wykazania warunku udziału w p</w:t>
            </w:r>
            <w:r w:rsidRPr="006A4913">
              <w:rPr>
                <w:rFonts w:ascii="Calibri" w:hAnsi="Calibri"/>
                <w:sz w:val="22"/>
                <w:szCs w:val="22"/>
              </w:rPr>
              <w:t>o</w:t>
            </w:r>
            <w:r w:rsidRPr="006A4913">
              <w:rPr>
                <w:rFonts w:ascii="Calibri" w:hAnsi="Calibri"/>
                <w:sz w:val="22"/>
                <w:szCs w:val="22"/>
              </w:rPr>
              <w:t>stępowaniu w trakcie trwania postępowania</w:t>
            </w:r>
          </w:p>
          <w:p w:rsidR="008B0A00" w:rsidRPr="006A4913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6A4913">
              <w:rPr>
                <w:rFonts w:ascii="Calibri" w:hAnsi="Calibri"/>
                <w:sz w:val="22"/>
                <w:szCs w:val="22"/>
              </w:rPr>
              <w:t>-</w:t>
            </w:r>
            <w:r w:rsidRPr="006A4913">
              <w:rPr>
                <w:rFonts w:ascii="Calibri" w:hAnsi="Calibri"/>
                <w:sz w:val="22"/>
                <w:szCs w:val="22"/>
              </w:rPr>
              <w:tab/>
              <w:t>poleganie na zasobach podmiotów trzecich a podwyk</w:t>
            </w:r>
            <w:r w:rsidRPr="006A4913">
              <w:rPr>
                <w:rFonts w:ascii="Calibri" w:hAnsi="Calibri"/>
                <w:sz w:val="22"/>
                <w:szCs w:val="22"/>
              </w:rPr>
              <w:t>o</w:t>
            </w:r>
            <w:r w:rsidRPr="006A4913">
              <w:rPr>
                <w:rFonts w:ascii="Calibri" w:hAnsi="Calibri"/>
                <w:sz w:val="22"/>
                <w:szCs w:val="22"/>
              </w:rPr>
              <w:t>nawstwo (art. 22a ust. 4 ustawy)</w:t>
            </w:r>
          </w:p>
          <w:p w:rsidR="008B0A00" w:rsidRPr="006A4913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6A4913">
              <w:rPr>
                <w:rFonts w:ascii="Calibri" w:hAnsi="Calibri"/>
                <w:sz w:val="22"/>
                <w:szCs w:val="22"/>
              </w:rPr>
              <w:t>-</w:t>
            </w:r>
            <w:r w:rsidRPr="006A4913">
              <w:rPr>
                <w:rFonts w:ascii="Calibri" w:hAnsi="Calibri"/>
                <w:sz w:val="22"/>
                <w:szCs w:val="22"/>
              </w:rPr>
              <w:tab/>
              <w:t>omówienie wyroku TSUE z 4 maja 2017 r. /</w:t>
            </w:r>
            <w:proofErr w:type="spellStart"/>
            <w:r w:rsidRPr="006A4913">
              <w:rPr>
                <w:rFonts w:ascii="Calibri" w:hAnsi="Calibri"/>
                <w:sz w:val="22"/>
                <w:szCs w:val="22"/>
              </w:rPr>
              <w:t>esaprojekt</w:t>
            </w:r>
            <w:proofErr w:type="spellEnd"/>
            <w:r w:rsidRPr="006A4913">
              <w:rPr>
                <w:rFonts w:ascii="Calibri" w:hAnsi="Calibri"/>
                <w:sz w:val="22"/>
                <w:szCs w:val="22"/>
              </w:rPr>
              <w:t>/</w:t>
            </w:r>
          </w:p>
          <w:p w:rsidR="008B0A00" w:rsidRPr="006A4913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6A4913">
              <w:rPr>
                <w:rFonts w:ascii="Calibri" w:hAnsi="Calibri"/>
                <w:sz w:val="22"/>
                <w:szCs w:val="22"/>
              </w:rPr>
              <w:t>-</w:t>
            </w:r>
            <w:r w:rsidRPr="006A4913">
              <w:rPr>
                <w:rFonts w:ascii="Calibri" w:hAnsi="Calibri"/>
                <w:sz w:val="22"/>
                <w:szCs w:val="22"/>
              </w:rPr>
              <w:tab/>
              <w:t>prawo wykonawcy do korzystania z podwykonawstwa a prawo zamawiającego do zastrzeżenia samodzielnego wykonania z</w:t>
            </w:r>
            <w:r w:rsidRPr="006A4913">
              <w:rPr>
                <w:rFonts w:ascii="Calibri" w:hAnsi="Calibri"/>
                <w:sz w:val="22"/>
                <w:szCs w:val="22"/>
              </w:rPr>
              <w:t>a</w:t>
            </w:r>
            <w:r w:rsidRPr="006A4913">
              <w:rPr>
                <w:rFonts w:ascii="Calibri" w:hAnsi="Calibri"/>
                <w:sz w:val="22"/>
                <w:szCs w:val="22"/>
              </w:rPr>
              <w:t>mówienia przez wykonawcę</w:t>
            </w:r>
          </w:p>
          <w:p w:rsidR="006A639F" w:rsidRPr="003F6B3A" w:rsidRDefault="006A639F" w:rsidP="008B0A00">
            <w:pPr>
              <w:autoSpaceDN/>
              <w:spacing w:after="0" w:line="240" w:lineRule="auto"/>
              <w:ind w:left="720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lastRenderedPageBreak/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kawowa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36653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36653F">
              <w:rPr>
                <w:rFonts w:asciiTheme="minorHAnsi" w:hAnsiTheme="minorHAnsi"/>
                <w:b/>
                <w:bCs/>
                <w:szCs w:val="22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B0A00" w:rsidRPr="0036653F" w:rsidRDefault="008B0A00" w:rsidP="008B0A00">
            <w:pPr>
              <w:spacing w:before="100" w:beforeAutospacing="1" w:after="100" w:afterAutospacing="1"/>
              <w:ind w:left="851" w:hanging="851"/>
              <w:contextualSpacing/>
              <w:jc w:val="both"/>
              <w:rPr>
                <w:b/>
              </w:rPr>
            </w:pPr>
            <w:r w:rsidRPr="0036653F">
              <w:rPr>
                <w:b/>
              </w:rPr>
              <w:t>Podstawy wykluczenia wykonawców z udziału w postępowaniu.</w:t>
            </w:r>
          </w:p>
          <w:p w:rsidR="008B0A00" w:rsidRPr="0036653F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36653F">
              <w:rPr>
                <w:rFonts w:ascii="Calibri" w:hAnsi="Calibri"/>
                <w:sz w:val="22"/>
                <w:szCs w:val="22"/>
              </w:rPr>
              <w:t>-</w:t>
            </w:r>
            <w:r w:rsidRPr="0036653F">
              <w:rPr>
                <w:rFonts w:ascii="Calibri" w:hAnsi="Calibri"/>
                <w:sz w:val="22"/>
                <w:szCs w:val="22"/>
              </w:rPr>
              <w:tab/>
              <w:t>przesłanki obligatoryjne – szczegółowe omówienie</w:t>
            </w:r>
          </w:p>
          <w:p w:rsidR="008B0A00" w:rsidRPr="0036653F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36653F">
              <w:rPr>
                <w:rFonts w:ascii="Calibri" w:hAnsi="Calibri"/>
                <w:sz w:val="22"/>
                <w:szCs w:val="22"/>
              </w:rPr>
              <w:t>-</w:t>
            </w:r>
            <w:r w:rsidRPr="0036653F">
              <w:rPr>
                <w:rFonts w:ascii="Calibri" w:hAnsi="Calibri"/>
                <w:sz w:val="22"/>
                <w:szCs w:val="22"/>
              </w:rPr>
              <w:tab/>
              <w:t>przesłanki fakultatywne – szczegółowe omówienie</w:t>
            </w:r>
          </w:p>
          <w:p w:rsidR="008B0A00" w:rsidRPr="0036653F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36653F">
              <w:rPr>
                <w:rFonts w:ascii="Calibri" w:hAnsi="Calibri"/>
                <w:sz w:val="22"/>
                <w:szCs w:val="22"/>
              </w:rPr>
              <w:t>-</w:t>
            </w:r>
            <w:r w:rsidRPr="0036653F">
              <w:rPr>
                <w:rFonts w:ascii="Calibri" w:hAnsi="Calibri"/>
                <w:sz w:val="22"/>
                <w:szCs w:val="22"/>
              </w:rPr>
              <w:tab/>
              <w:t>samooczyszczenie</w:t>
            </w:r>
          </w:p>
          <w:p w:rsidR="008B0A00" w:rsidRPr="0036653F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36653F">
              <w:rPr>
                <w:rFonts w:ascii="Calibri" w:hAnsi="Calibri"/>
                <w:sz w:val="22"/>
                <w:szCs w:val="22"/>
              </w:rPr>
              <w:t>-</w:t>
            </w:r>
            <w:r w:rsidRPr="0036653F">
              <w:rPr>
                <w:rFonts w:ascii="Calibri" w:hAnsi="Calibri"/>
                <w:sz w:val="22"/>
                <w:szCs w:val="22"/>
              </w:rPr>
              <w:tab/>
              <w:t>badanie podstaw wykluczenia wobec podmiotu udostępniając</w:t>
            </w:r>
            <w:r w:rsidRPr="0036653F">
              <w:rPr>
                <w:rFonts w:ascii="Calibri" w:hAnsi="Calibri"/>
                <w:sz w:val="22"/>
                <w:szCs w:val="22"/>
              </w:rPr>
              <w:t>e</w:t>
            </w:r>
            <w:r w:rsidRPr="0036653F">
              <w:rPr>
                <w:rFonts w:ascii="Calibri" w:hAnsi="Calibri"/>
                <w:sz w:val="22"/>
                <w:szCs w:val="22"/>
              </w:rPr>
              <w:t>go zasoby oraz skutki stwierdzenie ich wystąpienia (art. 22a ust. 6)</w:t>
            </w:r>
          </w:p>
          <w:p w:rsidR="008B0A00" w:rsidRPr="0036653F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B0A00" w:rsidRPr="0036653F" w:rsidRDefault="008B0A00" w:rsidP="008B0A0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36653F">
              <w:rPr>
                <w:b/>
              </w:rPr>
              <w:t>Jednolity Europejski Dokument Zamówienia.</w:t>
            </w:r>
          </w:p>
          <w:p w:rsidR="008B0A00" w:rsidRPr="0036653F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36653F">
              <w:rPr>
                <w:rFonts w:ascii="Calibri" w:hAnsi="Calibri"/>
                <w:sz w:val="22"/>
                <w:szCs w:val="22"/>
              </w:rPr>
              <w:t>-</w:t>
            </w:r>
            <w:r w:rsidRPr="0036653F">
              <w:rPr>
                <w:rFonts w:ascii="Calibri" w:hAnsi="Calibri"/>
                <w:sz w:val="22"/>
                <w:szCs w:val="22"/>
              </w:rPr>
              <w:tab/>
              <w:t>omówienie formularza JEDZ /instrukcja wypełniania/</w:t>
            </w:r>
          </w:p>
          <w:p w:rsidR="008B0A00" w:rsidRPr="0036653F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36653F">
              <w:rPr>
                <w:rFonts w:ascii="Calibri" w:hAnsi="Calibri"/>
                <w:sz w:val="22"/>
                <w:szCs w:val="22"/>
              </w:rPr>
              <w:t>-</w:t>
            </w:r>
            <w:r w:rsidRPr="0036653F">
              <w:rPr>
                <w:rFonts w:ascii="Calibri" w:hAnsi="Calibri"/>
                <w:sz w:val="22"/>
                <w:szCs w:val="22"/>
              </w:rPr>
              <w:tab/>
              <w:t>stosowanie systemu ESPD /warsztaty/</w:t>
            </w:r>
          </w:p>
          <w:p w:rsidR="008B0A00" w:rsidRPr="0036653F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36653F">
              <w:rPr>
                <w:rFonts w:ascii="Calibri" w:hAnsi="Calibri"/>
                <w:sz w:val="22"/>
                <w:szCs w:val="22"/>
              </w:rPr>
              <w:t>-</w:t>
            </w:r>
            <w:r w:rsidRPr="0036653F">
              <w:rPr>
                <w:rFonts w:ascii="Calibri" w:hAnsi="Calibri"/>
                <w:sz w:val="22"/>
                <w:szCs w:val="22"/>
              </w:rPr>
              <w:tab/>
              <w:t>skutki błędnie wypełnionego JEDZ dla zamawiającego i wyk</w:t>
            </w:r>
            <w:r w:rsidRPr="0036653F">
              <w:rPr>
                <w:rFonts w:ascii="Calibri" w:hAnsi="Calibri"/>
                <w:sz w:val="22"/>
                <w:szCs w:val="22"/>
              </w:rPr>
              <w:t>o</w:t>
            </w:r>
            <w:r w:rsidRPr="0036653F">
              <w:rPr>
                <w:rFonts w:ascii="Calibri" w:hAnsi="Calibri"/>
                <w:sz w:val="22"/>
                <w:szCs w:val="22"/>
              </w:rPr>
              <w:t>nawcy</w:t>
            </w:r>
          </w:p>
          <w:p w:rsidR="008B0A00" w:rsidRPr="0036653F" w:rsidRDefault="008B0A00" w:rsidP="008B0A00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8B0A00" w:rsidRPr="0036653F" w:rsidRDefault="008B0A00" w:rsidP="008B0A00">
            <w:pPr>
              <w:pStyle w:val="Akapitzlist"/>
              <w:spacing w:before="100" w:beforeAutospacing="1" w:after="100" w:afterAutospacing="1"/>
              <w:ind w:left="567" w:hanging="56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6653F">
              <w:rPr>
                <w:rFonts w:ascii="Calibri" w:hAnsi="Calibri"/>
                <w:b/>
                <w:sz w:val="22"/>
                <w:szCs w:val="22"/>
              </w:rPr>
              <w:t>Ocena i badanie ofert.</w:t>
            </w:r>
          </w:p>
          <w:p w:rsidR="008B0A00" w:rsidRPr="0036653F" w:rsidRDefault="008B0A00" w:rsidP="008B0A00">
            <w:pPr>
              <w:pStyle w:val="Default"/>
              <w:spacing w:line="276" w:lineRule="auto"/>
              <w:ind w:left="1134" w:hanging="567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36653F">
              <w:rPr>
                <w:color w:val="auto"/>
                <w:sz w:val="22"/>
                <w:szCs w:val="22"/>
              </w:rPr>
              <w:t>-</w:t>
            </w:r>
            <w:r w:rsidRPr="0036653F">
              <w:rPr>
                <w:color w:val="auto"/>
                <w:sz w:val="22"/>
                <w:szCs w:val="22"/>
              </w:rPr>
              <w:tab/>
              <w:t>tzw. „procedura odwrócona” oceny podmiotowej wykonawcy</w:t>
            </w:r>
          </w:p>
          <w:p w:rsidR="008B0A00" w:rsidRPr="0036653F" w:rsidRDefault="008B0A00" w:rsidP="008B0A00">
            <w:pPr>
              <w:pStyle w:val="Default"/>
              <w:spacing w:line="276" w:lineRule="auto"/>
              <w:ind w:left="1134" w:hanging="567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36653F">
              <w:rPr>
                <w:color w:val="auto"/>
                <w:sz w:val="22"/>
                <w:szCs w:val="22"/>
              </w:rPr>
              <w:t xml:space="preserve">- </w:t>
            </w:r>
            <w:r w:rsidRPr="0036653F">
              <w:rPr>
                <w:color w:val="auto"/>
                <w:sz w:val="22"/>
                <w:szCs w:val="22"/>
              </w:rPr>
              <w:tab/>
              <w:t xml:space="preserve">składanie oświadczeń wstępnych oraz „dokumentów </w:t>
            </w:r>
            <w:r w:rsidRPr="0036653F">
              <w:rPr>
                <w:color w:val="auto"/>
                <w:sz w:val="22"/>
                <w:szCs w:val="22"/>
              </w:rPr>
              <w:lastRenderedPageBreak/>
              <w:t>podmiotowych” i ich uzupełnianie przez wykonawców</w:t>
            </w:r>
          </w:p>
          <w:p w:rsidR="006A639F" w:rsidRPr="0036653F" w:rsidRDefault="006A639F" w:rsidP="008B0A00">
            <w:pPr>
              <w:autoSpaceDN/>
              <w:spacing w:after="0" w:line="240" w:lineRule="auto"/>
              <w:ind w:left="720"/>
              <w:contextualSpacing/>
              <w:textAlignment w:val="auto"/>
              <w:rPr>
                <w:rFonts w:cs="Times New Roman"/>
                <w:lang w:eastAsia="ar-SA"/>
              </w:rPr>
            </w:pP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lastRenderedPageBreak/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A4913" w:rsidRDefault="006A639F" w:rsidP="006A639F">
            <w:pPr>
              <w:pStyle w:val="NormalnyWeb"/>
              <w:spacing w:before="0" w:after="0" w:line="240" w:lineRule="auto"/>
              <w:jc w:val="both"/>
              <w:rPr>
                <w:szCs w:val="22"/>
              </w:rPr>
            </w:pPr>
            <w:r w:rsidRPr="006A4913">
              <w:rPr>
                <w:szCs w:val="22"/>
              </w:rPr>
              <w:t>Przerwa obiadowa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8B0A00" w:rsidRPr="006A4913" w:rsidRDefault="008B0A00" w:rsidP="008B0A00">
            <w:pPr>
              <w:ind w:left="550" w:hanging="567"/>
              <w:contextualSpacing/>
              <w:jc w:val="both"/>
              <w:rPr>
                <w:b/>
                <w:bCs/>
              </w:rPr>
            </w:pPr>
            <w:r w:rsidRPr="006A4913">
              <w:rPr>
                <w:b/>
                <w:bCs/>
              </w:rPr>
              <w:t xml:space="preserve">Elektronizacja zamówień publicznych </w:t>
            </w:r>
          </w:p>
          <w:p w:rsidR="008B0A00" w:rsidRPr="006A4913" w:rsidRDefault="008B0A00" w:rsidP="008B0A00">
            <w:pPr>
              <w:ind w:left="1134" w:hanging="567"/>
              <w:contextualSpacing/>
            </w:pPr>
            <w:r w:rsidRPr="006A4913">
              <w:rPr>
                <w:b/>
              </w:rPr>
              <w:t xml:space="preserve">- </w:t>
            </w:r>
            <w:r w:rsidRPr="006A4913">
              <w:rPr>
                <w:b/>
              </w:rPr>
              <w:tab/>
            </w:r>
            <w:r w:rsidRPr="006A4913">
              <w:t>formy czynności prawnych w kodeksie cywilnym (pisemna i elektroniczna) a sposoby doręczenia</w:t>
            </w:r>
          </w:p>
          <w:p w:rsidR="008B0A00" w:rsidRPr="006A4913" w:rsidRDefault="008B0A00" w:rsidP="008B0A00">
            <w:pPr>
              <w:ind w:left="1134" w:hanging="567"/>
              <w:contextualSpacing/>
            </w:pPr>
            <w:r w:rsidRPr="006A4913">
              <w:t xml:space="preserve">- </w:t>
            </w:r>
            <w:r w:rsidRPr="006A4913">
              <w:tab/>
              <w:t>zasada pisemności w Prawie zamówień publicznych</w:t>
            </w:r>
          </w:p>
          <w:p w:rsidR="008B0A00" w:rsidRPr="006A4913" w:rsidRDefault="008B0A00" w:rsidP="008B0A00">
            <w:pPr>
              <w:ind w:left="1134" w:hanging="567"/>
              <w:contextualSpacing/>
            </w:pPr>
            <w:r w:rsidRPr="006A4913">
              <w:t xml:space="preserve">- </w:t>
            </w:r>
            <w:r w:rsidRPr="006A4913">
              <w:tab/>
              <w:t xml:space="preserve">elektronizacja zamówień publicznych w okresie przejściowym do 18.10.2018 r. </w:t>
            </w:r>
          </w:p>
          <w:p w:rsidR="008B0A00" w:rsidRPr="006A4913" w:rsidRDefault="008B0A00" w:rsidP="008B0A00">
            <w:pPr>
              <w:ind w:left="1134" w:hanging="567"/>
              <w:contextualSpacing/>
            </w:pPr>
            <w:r w:rsidRPr="006A4913">
              <w:t xml:space="preserve">- </w:t>
            </w:r>
            <w:r w:rsidRPr="006A4913">
              <w:tab/>
              <w:t>definicja środków komunikacji elektronicznej i dokumentu elektronicznego. Elektroniczna kopia dokumentu</w:t>
            </w:r>
          </w:p>
          <w:p w:rsidR="008B0A00" w:rsidRPr="006A4913" w:rsidRDefault="008B0A00" w:rsidP="008B0A00">
            <w:pPr>
              <w:ind w:left="1134" w:hanging="567"/>
              <w:contextualSpacing/>
            </w:pPr>
            <w:r w:rsidRPr="006A4913">
              <w:t>-</w:t>
            </w:r>
            <w:r w:rsidRPr="006A4913">
              <w:tab/>
              <w:t>narzędzia i urządzenia wymagane do zapewnienia zgodności z przepisami o elektronizacji zamówień publicznych obowiązkowe od 18.10.2018 r.</w:t>
            </w:r>
          </w:p>
          <w:p w:rsidR="008B0A00" w:rsidRPr="006A4913" w:rsidRDefault="008B0A00" w:rsidP="008B0A00">
            <w:pPr>
              <w:ind w:left="1134" w:hanging="567"/>
              <w:contextualSpacing/>
            </w:pPr>
            <w:r w:rsidRPr="006A4913">
              <w:rPr>
                <w:b/>
              </w:rPr>
              <w:t xml:space="preserve"> </w:t>
            </w:r>
            <w:r w:rsidRPr="006A4913">
              <w:t xml:space="preserve">- </w:t>
            </w:r>
            <w:r w:rsidRPr="006A4913">
              <w:tab/>
              <w:t>prowadzenie postępowania przy użyciu środków komunikacji elektronicznej krok po kroku</w:t>
            </w:r>
          </w:p>
          <w:p w:rsidR="008B0A00" w:rsidRPr="006A4913" w:rsidRDefault="008B0A00" w:rsidP="008B0A00">
            <w:pPr>
              <w:ind w:left="1134" w:hanging="567"/>
              <w:contextualSpacing/>
            </w:pPr>
            <w:r w:rsidRPr="006A4913">
              <w:t>-</w:t>
            </w:r>
            <w:r w:rsidRPr="006A4913">
              <w:tab/>
              <w:t xml:space="preserve">e-fakturowanie </w:t>
            </w:r>
          </w:p>
          <w:p w:rsidR="008B0A00" w:rsidRPr="006A4913" w:rsidRDefault="008B0A00" w:rsidP="008B0A00">
            <w:pPr>
              <w:ind w:left="1134" w:hanging="567"/>
              <w:contextualSpacing/>
            </w:pPr>
          </w:p>
          <w:p w:rsidR="008B0A00" w:rsidRPr="006A4913" w:rsidRDefault="008B0A00" w:rsidP="008B0A00">
            <w:pPr>
              <w:pStyle w:val="Akapitzlist"/>
              <w:spacing w:before="100" w:beforeAutospacing="1" w:after="100" w:afterAutospacing="1"/>
              <w:ind w:left="567" w:hanging="56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A4913">
              <w:rPr>
                <w:rFonts w:ascii="Calibri" w:hAnsi="Calibri"/>
                <w:b/>
                <w:sz w:val="22"/>
                <w:szCs w:val="22"/>
              </w:rPr>
              <w:t xml:space="preserve">Zasada konkurencyjności /omówienie/. </w:t>
            </w:r>
          </w:p>
          <w:p w:rsidR="006A639F" w:rsidRPr="006A4913" w:rsidRDefault="006A639F" w:rsidP="008B0A00">
            <w:pPr>
              <w:autoSpaceDN/>
              <w:spacing w:after="0" w:line="240" w:lineRule="auto"/>
              <w:ind w:left="720"/>
              <w:contextualSpacing/>
              <w:jc w:val="both"/>
              <w:textAlignment w:val="auto"/>
              <w:rPr>
                <w:rFonts w:cs="Times New Roman"/>
                <w:lang w:eastAsia="ar-SA"/>
              </w:rPr>
            </w:pPr>
          </w:p>
        </w:tc>
        <w:bookmarkStart w:id="0" w:name="_GoBack"/>
        <w:bookmarkEnd w:id="0"/>
      </w:tr>
    </w:tbl>
    <w:p w:rsidR="00667CAF" w:rsidRPr="00667CAF" w:rsidRDefault="00667CAF" w:rsidP="008B0A00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sectPr w:rsidR="00667CAF" w:rsidRPr="00667CAF" w:rsidSect="004E1E0E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85" w:rsidRDefault="00225985">
      <w:pPr>
        <w:spacing w:after="0" w:line="240" w:lineRule="auto"/>
      </w:pPr>
      <w:r>
        <w:separator/>
      </w:r>
    </w:p>
  </w:endnote>
  <w:endnote w:type="continuationSeparator" w:id="0">
    <w:p w:rsidR="00225985" w:rsidRDefault="0022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85" w:rsidRDefault="002259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25985" w:rsidRDefault="0022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DD" w:rsidRDefault="001B5006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9DD" w:rsidRDefault="003665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282"/>
    <w:rsid w:val="000A1ED4"/>
    <w:rsid w:val="000B7B2A"/>
    <w:rsid w:val="000E5A38"/>
    <w:rsid w:val="00180C51"/>
    <w:rsid w:val="001B3E22"/>
    <w:rsid w:val="001B5006"/>
    <w:rsid w:val="001D6B69"/>
    <w:rsid w:val="00225985"/>
    <w:rsid w:val="002605C7"/>
    <w:rsid w:val="002D0AB5"/>
    <w:rsid w:val="00311591"/>
    <w:rsid w:val="0036653F"/>
    <w:rsid w:val="003A7A59"/>
    <w:rsid w:val="003F6B3A"/>
    <w:rsid w:val="00416082"/>
    <w:rsid w:val="0048554D"/>
    <w:rsid w:val="004918DE"/>
    <w:rsid w:val="004D5B05"/>
    <w:rsid w:val="004E1E0E"/>
    <w:rsid w:val="005E1163"/>
    <w:rsid w:val="0062225B"/>
    <w:rsid w:val="00624D77"/>
    <w:rsid w:val="0064799E"/>
    <w:rsid w:val="0065767C"/>
    <w:rsid w:val="00667CAF"/>
    <w:rsid w:val="006701B0"/>
    <w:rsid w:val="006A4913"/>
    <w:rsid w:val="006A639F"/>
    <w:rsid w:val="006D1D40"/>
    <w:rsid w:val="007209ED"/>
    <w:rsid w:val="007339F1"/>
    <w:rsid w:val="00762DF2"/>
    <w:rsid w:val="007F4A21"/>
    <w:rsid w:val="00836767"/>
    <w:rsid w:val="008B0A00"/>
    <w:rsid w:val="008E0123"/>
    <w:rsid w:val="009979B3"/>
    <w:rsid w:val="009F5557"/>
    <w:rsid w:val="009F71CF"/>
    <w:rsid w:val="00A13CF0"/>
    <w:rsid w:val="00A43282"/>
    <w:rsid w:val="00A512F3"/>
    <w:rsid w:val="00AC1E56"/>
    <w:rsid w:val="00AF75C7"/>
    <w:rsid w:val="00B322FB"/>
    <w:rsid w:val="00C06235"/>
    <w:rsid w:val="00C07E4B"/>
    <w:rsid w:val="00C20DA1"/>
    <w:rsid w:val="00CB4FE4"/>
    <w:rsid w:val="00D601C5"/>
    <w:rsid w:val="00DE40E1"/>
    <w:rsid w:val="00E635C2"/>
    <w:rsid w:val="00E7563C"/>
    <w:rsid w:val="00EA252E"/>
    <w:rsid w:val="00ED2354"/>
    <w:rsid w:val="00F07AEC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1E0E"/>
    <w:pPr>
      <w:widowControl/>
    </w:pPr>
  </w:style>
  <w:style w:type="paragraph" w:customStyle="1" w:styleId="Heading">
    <w:name w:val="Heading"/>
    <w:basedOn w:val="Standard"/>
    <w:next w:val="Textbody"/>
    <w:rsid w:val="004E1E0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4E1E0E"/>
    <w:pPr>
      <w:spacing w:after="120"/>
    </w:pPr>
  </w:style>
  <w:style w:type="paragraph" w:styleId="Lista">
    <w:name w:val="List"/>
    <w:basedOn w:val="Textbody"/>
    <w:rsid w:val="004E1E0E"/>
    <w:rPr>
      <w:rFonts w:cs="Mangal"/>
    </w:rPr>
  </w:style>
  <w:style w:type="paragraph" w:styleId="Legenda">
    <w:name w:val="caption"/>
    <w:basedOn w:val="Standard"/>
    <w:rsid w:val="004E1E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E1E0E"/>
    <w:pPr>
      <w:suppressLineNumbers/>
    </w:pPr>
    <w:rPr>
      <w:rFonts w:cs="Mangal"/>
    </w:rPr>
  </w:style>
  <w:style w:type="paragraph" w:styleId="Nagwek">
    <w:name w:val="header"/>
    <w:basedOn w:val="Standard"/>
    <w:rsid w:val="004E1E0E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4E1E0E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4E1E0E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rsid w:val="004E1E0E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rsid w:val="004E1E0E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rsid w:val="004E1E0E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4E1E0E"/>
    <w:pPr>
      <w:suppressLineNumbers/>
    </w:pPr>
  </w:style>
  <w:style w:type="paragraph" w:customStyle="1" w:styleId="TableHeading">
    <w:name w:val="Table Heading"/>
    <w:basedOn w:val="TableContents"/>
    <w:rsid w:val="004E1E0E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4E1E0E"/>
  </w:style>
  <w:style w:type="character" w:customStyle="1" w:styleId="StopkaZnak">
    <w:name w:val="Stopka Znak"/>
    <w:basedOn w:val="Domylnaczcionkaakapitu"/>
    <w:rsid w:val="004E1E0E"/>
  </w:style>
  <w:style w:type="character" w:customStyle="1" w:styleId="TekstdymkaZnak">
    <w:name w:val="Tekst dymka Znak"/>
    <w:basedOn w:val="Domylnaczcionkaakapitu"/>
    <w:rsid w:val="004E1E0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4E1E0E"/>
    <w:rPr>
      <w:color w:val="000080"/>
      <w:u w:val="single"/>
    </w:rPr>
  </w:style>
  <w:style w:type="character" w:customStyle="1" w:styleId="BulletSymbols">
    <w:name w:val="Bullet Symbols"/>
    <w:rsid w:val="004E1E0E"/>
    <w:rPr>
      <w:rFonts w:ascii="OpenSymbol" w:eastAsia="OpenSymbol" w:hAnsi="OpenSymbol" w:cs="OpenSymbol"/>
    </w:rPr>
  </w:style>
  <w:style w:type="character" w:customStyle="1" w:styleId="WW8Num3z0">
    <w:name w:val="WW8Num3z0"/>
    <w:rsid w:val="004E1E0E"/>
  </w:style>
  <w:style w:type="character" w:customStyle="1" w:styleId="WW8Num3z1">
    <w:name w:val="WW8Num3z1"/>
    <w:rsid w:val="004E1E0E"/>
    <w:rPr>
      <w:szCs w:val="24"/>
      <w:lang w:val="pl-PL" w:eastAsia="pl-PL"/>
    </w:rPr>
  </w:style>
  <w:style w:type="character" w:customStyle="1" w:styleId="WW8Num3z2">
    <w:name w:val="WW8Num3z2"/>
    <w:rsid w:val="004E1E0E"/>
  </w:style>
  <w:style w:type="character" w:customStyle="1" w:styleId="WW8Num1z0">
    <w:name w:val="WW8Num1z0"/>
    <w:rsid w:val="004E1E0E"/>
  </w:style>
  <w:style w:type="character" w:customStyle="1" w:styleId="WW8Num1z1">
    <w:name w:val="WW8Num1z1"/>
    <w:rsid w:val="004E1E0E"/>
  </w:style>
  <w:style w:type="character" w:customStyle="1" w:styleId="WW8Num1z2">
    <w:name w:val="WW8Num1z2"/>
    <w:rsid w:val="004E1E0E"/>
  </w:style>
  <w:style w:type="character" w:customStyle="1" w:styleId="WW8Num9z0">
    <w:name w:val="WW8Num9z0"/>
    <w:rsid w:val="004E1E0E"/>
    <w:rPr>
      <w:rFonts w:ascii="Symbol" w:hAnsi="Symbol" w:cs="Symbol"/>
      <w:sz w:val="20"/>
    </w:rPr>
  </w:style>
  <w:style w:type="character" w:customStyle="1" w:styleId="WW8Num9z1">
    <w:name w:val="WW8Num9z1"/>
    <w:rsid w:val="004E1E0E"/>
    <w:rPr>
      <w:rFonts w:ascii="Courier New" w:hAnsi="Courier New" w:cs="Courier New"/>
      <w:sz w:val="20"/>
    </w:rPr>
  </w:style>
  <w:style w:type="character" w:customStyle="1" w:styleId="WW8Num9z2">
    <w:name w:val="WW8Num9z2"/>
    <w:rsid w:val="004E1E0E"/>
    <w:rPr>
      <w:rFonts w:ascii="Wingdings" w:hAnsi="Wingdings" w:cs="Wingdings"/>
      <w:sz w:val="20"/>
    </w:rPr>
  </w:style>
  <w:style w:type="character" w:customStyle="1" w:styleId="StrongEmphasis">
    <w:name w:val="Strong Emphasis"/>
    <w:rsid w:val="004E1E0E"/>
    <w:rPr>
      <w:b/>
      <w:bCs/>
    </w:rPr>
  </w:style>
  <w:style w:type="numbering" w:customStyle="1" w:styleId="RTFNum2">
    <w:name w:val="RTF_Num 2"/>
    <w:basedOn w:val="Bezlisty"/>
    <w:rsid w:val="004E1E0E"/>
    <w:pPr>
      <w:numPr>
        <w:numId w:val="1"/>
      </w:numPr>
    </w:pPr>
  </w:style>
  <w:style w:type="numbering" w:customStyle="1" w:styleId="RTFNum3">
    <w:name w:val="RTF_Num 3"/>
    <w:basedOn w:val="Bezlisty"/>
    <w:rsid w:val="004E1E0E"/>
    <w:pPr>
      <w:numPr>
        <w:numId w:val="2"/>
      </w:numPr>
    </w:pPr>
  </w:style>
  <w:style w:type="numbering" w:customStyle="1" w:styleId="RTFNum4">
    <w:name w:val="RTF_Num 4"/>
    <w:basedOn w:val="Bezlisty"/>
    <w:rsid w:val="004E1E0E"/>
    <w:pPr>
      <w:numPr>
        <w:numId w:val="3"/>
      </w:numPr>
    </w:pPr>
  </w:style>
  <w:style w:type="numbering" w:customStyle="1" w:styleId="WW8Num3">
    <w:name w:val="WW8Num3"/>
    <w:basedOn w:val="Bezlisty"/>
    <w:rsid w:val="004E1E0E"/>
    <w:pPr>
      <w:numPr>
        <w:numId w:val="4"/>
      </w:numPr>
    </w:pPr>
  </w:style>
  <w:style w:type="numbering" w:customStyle="1" w:styleId="WW8Num1">
    <w:name w:val="WW8Num1"/>
    <w:basedOn w:val="Bezlisty"/>
    <w:rsid w:val="004E1E0E"/>
    <w:pPr>
      <w:numPr>
        <w:numId w:val="5"/>
      </w:numPr>
    </w:pPr>
  </w:style>
  <w:style w:type="numbering" w:customStyle="1" w:styleId="WW8Num9">
    <w:name w:val="WW8Num9"/>
    <w:basedOn w:val="Bezlisty"/>
    <w:rsid w:val="004E1E0E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B0A00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="Ari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15</cp:revision>
  <cp:lastPrinted>2016-11-15T21:46:00Z</cp:lastPrinted>
  <dcterms:created xsi:type="dcterms:W3CDTF">2017-05-15T05:31:00Z</dcterms:created>
  <dcterms:modified xsi:type="dcterms:W3CDTF">2018-07-11T06:49:00Z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